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360" w:lineRule="auto"/>
        <w:jc w:val="center"/>
        <w:outlineLvl w:val="9"/>
        <w:rPr>
          <w:rFonts w:ascii="Arial Black" w:hAnsi="Arial Black" w:eastAsia="黑体"/>
          <w:b/>
          <w:spacing w:val="36"/>
          <w:sz w:val="52"/>
          <w:szCs w:val="52"/>
        </w:rPr>
      </w:pPr>
      <w:bookmarkStart w:id="0" w:name="_Toc29476"/>
      <w:r>
        <w:rPr>
          <w:rFonts w:hint="eastAsia" w:ascii="Arial Black" w:hAnsi="Arial Black" w:eastAsia="黑体"/>
          <w:b/>
          <w:bCs/>
          <w:spacing w:val="36"/>
          <w:sz w:val="52"/>
          <w:szCs w:val="52"/>
        </w:rPr>
        <w:t>周口市公共资源交易中心</w:t>
      </w:r>
      <w:bookmarkEnd w:id="0"/>
    </w:p>
    <w:p>
      <w:pPr>
        <w:tabs>
          <w:tab w:val="left" w:pos="315"/>
          <w:tab w:val="left" w:pos="8820"/>
        </w:tabs>
        <w:spacing w:line="360" w:lineRule="auto"/>
        <w:ind w:right="267" w:rightChars="127"/>
        <w:jc w:val="center"/>
        <w:outlineLvl w:val="9"/>
        <w:rPr>
          <w:rFonts w:ascii="仿宋_GB2312" w:eastAsia="仿宋_GB2312"/>
          <w:b/>
          <w:bCs/>
          <w:sz w:val="48"/>
        </w:rPr>
      </w:pPr>
    </w:p>
    <w:p>
      <w:pPr>
        <w:tabs>
          <w:tab w:val="left" w:pos="315"/>
          <w:tab w:val="left" w:pos="8820"/>
        </w:tabs>
        <w:spacing w:line="360" w:lineRule="auto"/>
        <w:ind w:right="267" w:rightChars="127"/>
        <w:jc w:val="center"/>
        <w:outlineLvl w:val="9"/>
        <w:rPr>
          <w:rFonts w:ascii="微软简标宋" w:eastAsia="黑体"/>
          <w:b/>
          <w:bCs/>
          <w:sz w:val="52"/>
        </w:rPr>
      </w:pPr>
      <w:bookmarkStart w:id="1" w:name="_Toc29585"/>
      <w:r>
        <w:rPr>
          <w:rFonts w:hint="eastAsia" w:ascii="微软简标宋" w:eastAsia="黑体"/>
          <w:b/>
          <w:bCs/>
          <w:sz w:val="52"/>
        </w:rPr>
        <w:t>竞争性磋商文件</w:t>
      </w:r>
      <w:bookmarkEnd w:id="1"/>
    </w:p>
    <w:p>
      <w:pPr>
        <w:tabs>
          <w:tab w:val="left" w:pos="315"/>
          <w:tab w:val="left" w:pos="8820"/>
        </w:tabs>
        <w:spacing w:line="360" w:lineRule="auto"/>
        <w:ind w:right="267" w:rightChars="127"/>
        <w:jc w:val="center"/>
        <w:outlineLvl w:val="9"/>
        <w:rPr>
          <w:rFonts w:ascii="仿宋_GB2312" w:eastAsia="仿宋_GB2312"/>
          <w:sz w:val="44"/>
        </w:rPr>
      </w:pPr>
    </w:p>
    <w:p>
      <w:pPr>
        <w:tabs>
          <w:tab w:val="left" w:pos="315"/>
          <w:tab w:val="left" w:pos="8820"/>
        </w:tabs>
        <w:spacing w:line="360" w:lineRule="auto"/>
        <w:ind w:right="267" w:rightChars="127"/>
        <w:outlineLvl w:val="9"/>
        <w:rPr>
          <w:rFonts w:ascii="仿宋_GB2312" w:eastAsia="仿宋_GB2312"/>
          <w:sz w:val="44"/>
        </w:rPr>
      </w:pPr>
    </w:p>
    <w:p>
      <w:pPr>
        <w:tabs>
          <w:tab w:val="left" w:pos="315"/>
          <w:tab w:val="left" w:pos="8820"/>
        </w:tabs>
        <w:spacing w:line="360" w:lineRule="auto"/>
        <w:ind w:right="267" w:rightChars="127"/>
        <w:outlineLvl w:val="9"/>
        <w:rPr>
          <w:rFonts w:ascii="仿宋_GB2312" w:eastAsia="仿宋_GB2312"/>
          <w:b/>
          <w:bCs/>
          <w:sz w:val="36"/>
        </w:rPr>
      </w:pPr>
    </w:p>
    <w:p>
      <w:pPr>
        <w:tabs>
          <w:tab w:val="left" w:pos="315"/>
          <w:tab w:val="left" w:pos="8820"/>
        </w:tabs>
        <w:spacing w:line="360" w:lineRule="auto"/>
        <w:ind w:right="267" w:rightChars="127"/>
        <w:outlineLvl w:val="9"/>
        <w:rPr>
          <w:rFonts w:ascii="仿宋_GB2312" w:eastAsia="仿宋_GB2312"/>
          <w:b/>
          <w:bCs/>
          <w:sz w:val="36"/>
        </w:rPr>
      </w:pPr>
    </w:p>
    <w:p>
      <w:pPr>
        <w:tabs>
          <w:tab w:val="left" w:pos="315"/>
          <w:tab w:val="left" w:pos="8820"/>
        </w:tabs>
        <w:spacing w:line="360" w:lineRule="auto"/>
        <w:ind w:right="267" w:rightChars="127"/>
        <w:jc w:val="center"/>
        <w:outlineLvl w:val="9"/>
        <w:rPr>
          <w:rFonts w:ascii="宋体" w:hAnsi="宋体"/>
          <w:sz w:val="32"/>
        </w:rPr>
      </w:pPr>
    </w:p>
    <w:p>
      <w:pPr>
        <w:tabs>
          <w:tab w:val="left" w:pos="315"/>
          <w:tab w:val="left" w:pos="8820"/>
        </w:tabs>
        <w:spacing w:line="360" w:lineRule="auto"/>
        <w:ind w:right="267" w:rightChars="127"/>
        <w:jc w:val="center"/>
        <w:outlineLvl w:val="9"/>
        <w:rPr>
          <w:rFonts w:ascii="微软简标宋" w:eastAsia="黑体"/>
          <w:b/>
          <w:bCs/>
          <w:sz w:val="52"/>
        </w:rPr>
      </w:pPr>
    </w:p>
    <w:p>
      <w:pPr>
        <w:tabs>
          <w:tab w:val="left" w:pos="315"/>
          <w:tab w:val="left" w:pos="8820"/>
        </w:tabs>
        <w:spacing w:line="360" w:lineRule="auto"/>
        <w:ind w:right="267" w:rightChars="127"/>
        <w:jc w:val="left"/>
        <w:outlineLvl w:val="9"/>
        <w:rPr>
          <w:rFonts w:ascii="微软简标宋" w:eastAsia="黑体"/>
          <w:b/>
          <w:bCs/>
          <w:sz w:val="30"/>
          <w:szCs w:val="30"/>
        </w:rPr>
      </w:pPr>
      <w:bookmarkStart w:id="2" w:name="_Toc25097"/>
      <w:r>
        <w:rPr>
          <w:rFonts w:hint="eastAsia" w:ascii="微软简标宋" w:eastAsia="黑体"/>
          <w:b/>
          <w:bCs/>
          <w:sz w:val="30"/>
          <w:szCs w:val="30"/>
        </w:rPr>
        <w:t>项目名称: 周口市林业保护中心2023年古树名木保护项目</w:t>
      </w:r>
      <w:bookmarkEnd w:id="2"/>
    </w:p>
    <w:p>
      <w:pPr>
        <w:tabs>
          <w:tab w:val="left" w:pos="315"/>
          <w:tab w:val="left" w:pos="8820"/>
        </w:tabs>
        <w:spacing w:line="360" w:lineRule="auto"/>
        <w:ind w:right="267" w:rightChars="127"/>
        <w:jc w:val="left"/>
        <w:outlineLvl w:val="9"/>
        <w:rPr>
          <w:rFonts w:ascii="微软简标宋" w:eastAsia="黑体"/>
          <w:b/>
          <w:bCs/>
          <w:sz w:val="30"/>
          <w:szCs w:val="30"/>
        </w:rPr>
      </w:pPr>
      <w:bookmarkStart w:id="3" w:name="_Toc24278"/>
      <w:r>
        <w:rPr>
          <w:rFonts w:hint="eastAsia" w:ascii="微软简标宋" w:eastAsia="黑体"/>
          <w:b/>
          <w:bCs/>
          <w:sz w:val="30"/>
          <w:szCs w:val="30"/>
        </w:rPr>
        <w:t>项目编号: 2023-12-583</w:t>
      </w:r>
      <w:bookmarkEnd w:id="3"/>
    </w:p>
    <w:p>
      <w:pPr>
        <w:pStyle w:val="9"/>
        <w:spacing w:line="360" w:lineRule="auto"/>
        <w:outlineLvl w:val="9"/>
        <w:rPr>
          <w:rFonts w:ascii="微软简标宋" w:eastAsia="黑体"/>
          <w:b/>
          <w:bCs/>
          <w:sz w:val="52"/>
          <w:szCs w:val="24"/>
        </w:rPr>
      </w:pPr>
    </w:p>
    <w:p>
      <w:pPr>
        <w:pStyle w:val="9"/>
        <w:spacing w:line="360" w:lineRule="auto"/>
        <w:outlineLvl w:val="9"/>
        <w:rPr>
          <w:rFonts w:ascii="宋体" w:hAnsi="宋体"/>
          <w:b/>
          <w:sz w:val="32"/>
        </w:rPr>
      </w:pPr>
    </w:p>
    <w:p>
      <w:pPr>
        <w:pStyle w:val="9"/>
        <w:spacing w:line="360" w:lineRule="auto"/>
        <w:outlineLvl w:val="9"/>
        <w:rPr>
          <w:rFonts w:ascii="宋体" w:hAnsi="宋体"/>
          <w:b/>
          <w:sz w:val="32"/>
        </w:rPr>
      </w:pPr>
    </w:p>
    <w:p>
      <w:pPr>
        <w:pStyle w:val="9"/>
        <w:spacing w:line="360" w:lineRule="auto"/>
        <w:jc w:val="center"/>
        <w:outlineLvl w:val="9"/>
        <w:rPr>
          <w:rFonts w:hint="eastAsia" w:ascii="黑体" w:hAnsi="黑体" w:eastAsia="黑体" w:cs="黑体"/>
          <w:b/>
          <w:bCs/>
          <w:sz w:val="30"/>
          <w:szCs w:val="30"/>
          <w:highlight w:val="none"/>
        </w:rPr>
      </w:pPr>
      <w:r>
        <w:rPr>
          <w:rFonts w:hint="eastAsia" w:ascii="黑体" w:hAnsi="黑体" w:eastAsia="黑体" w:cs="黑体"/>
          <w:b/>
          <w:bCs/>
          <w:color w:val="000000"/>
          <w:sz w:val="30"/>
          <w:szCs w:val="30"/>
          <w:highlight w:val="none"/>
          <w:shd w:val="clear" w:color="auto" w:fill="FFFFFF"/>
          <w:lang w:val="en-US" w:eastAsia="zh-CN"/>
        </w:rPr>
        <w:t>2024</w:t>
      </w:r>
      <w:r>
        <w:rPr>
          <w:rFonts w:hint="eastAsia" w:ascii="黑体" w:hAnsi="黑体" w:eastAsia="黑体" w:cs="黑体"/>
          <w:b/>
          <w:bCs/>
          <w:sz w:val="30"/>
          <w:szCs w:val="30"/>
          <w:highlight w:val="none"/>
        </w:rPr>
        <w:t>年</w:t>
      </w:r>
      <w:r>
        <w:rPr>
          <w:rFonts w:hint="eastAsia" w:ascii="黑体" w:hAnsi="黑体" w:eastAsia="黑体" w:cs="黑体"/>
          <w:b/>
          <w:bCs/>
          <w:color w:val="000000"/>
          <w:sz w:val="30"/>
          <w:szCs w:val="30"/>
          <w:highlight w:val="none"/>
          <w:shd w:val="clear" w:color="auto" w:fill="FFFFFF"/>
          <w:lang w:val="en-US" w:eastAsia="zh-CN"/>
        </w:rPr>
        <w:t>05</w:t>
      </w:r>
      <w:r>
        <w:rPr>
          <w:rFonts w:hint="eastAsia" w:ascii="黑体" w:hAnsi="黑体" w:eastAsia="黑体" w:cs="黑体"/>
          <w:b/>
          <w:bCs/>
          <w:sz w:val="30"/>
          <w:szCs w:val="30"/>
          <w:highlight w:val="none"/>
        </w:rPr>
        <w:t>月</w:t>
      </w:r>
      <w:r>
        <w:rPr>
          <w:rFonts w:hint="eastAsia" w:ascii="黑体" w:hAnsi="黑体" w:eastAsia="黑体" w:cs="黑体"/>
          <w:b/>
          <w:bCs/>
          <w:color w:val="000000"/>
          <w:sz w:val="30"/>
          <w:szCs w:val="30"/>
          <w:highlight w:val="none"/>
          <w:shd w:val="clear" w:color="auto" w:fill="FFFFFF"/>
          <w:lang w:val="en-US" w:eastAsia="zh-CN"/>
        </w:rPr>
        <w:t>23</w:t>
      </w:r>
      <w:r>
        <w:rPr>
          <w:rFonts w:hint="eastAsia" w:ascii="黑体" w:hAnsi="黑体" w:eastAsia="黑体" w:cs="黑体"/>
          <w:b/>
          <w:bCs/>
          <w:sz w:val="30"/>
          <w:szCs w:val="30"/>
          <w:highlight w:val="none"/>
        </w:rPr>
        <w:t>日</w:t>
      </w:r>
    </w:p>
    <w:p>
      <w:pPr>
        <w:pStyle w:val="9"/>
        <w:jc w:val="center"/>
        <w:rPr>
          <w:rFonts w:ascii="宋体" w:hAnsi="宋体"/>
          <w:b/>
          <w:sz w:val="32"/>
        </w:rPr>
      </w:pPr>
    </w:p>
    <w:p>
      <w:pPr>
        <w:rPr>
          <w:rFonts w:ascii="仿宋_GB2312" w:eastAsia="仿宋_GB2312"/>
          <w:b/>
          <w:sz w:val="30"/>
          <w:szCs w:val="30"/>
        </w:rPr>
      </w:pPr>
    </w:p>
    <w:p>
      <w:pPr>
        <w:pStyle w:val="24"/>
        <w:ind w:firstLine="210"/>
      </w:pPr>
    </w:p>
    <w:sdt>
      <w:sdtPr>
        <w:rPr>
          <w:rFonts w:hint="eastAsia" w:ascii="宋体" w:hAnsi="宋体" w:eastAsia="宋体" w:cs="宋体"/>
          <w:b/>
          <w:bCs/>
          <w:kern w:val="2"/>
          <w:sz w:val="32"/>
          <w:szCs w:val="32"/>
          <w:lang w:val="en-US" w:eastAsia="zh-CN" w:bidi="ar-SA"/>
        </w:rPr>
        <w:id w:val="147468523"/>
        <w15:color w:val="DBDBDB"/>
        <w:docPartObj>
          <w:docPartGallery w:val="Table of Contents"/>
          <w:docPartUnique/>
        </w:docPartObj>
      </w:sdtPr>
      <w:sdtEndPr>
        <w:rPr>
          <w:rFonts w:hint="eastAsia" w:ascii="宋体" w:hAnsi="宋体" w:eastAsia="宋体" w:cs="宋体"/>
          <w:b/>
          <w:bCs/>
          <w:kern w:val="2"/>
          <w:sz w:val="21"/>
          <w:szCs w:val="32"/>
          <w:lang w:val="en-US" w:eastAsia="zh-CN" w:bidi="ar-SA"/>
        </w:rPr>
      </w:sdtEndPr>
      <w:sdtContent>
        <w:p>
          <w:pPr>
            <w:spacing w:before="0" w:beforeLines="0" w:after="0" w:afterLines="0" w:line="480" w:lineRule="auto"/>
            <w:ind w:left="0" w:leftChars="0" w:right="0" w:rightChars="0" w:firstLine="0" w:firstLineChars="0"/>
            <w:jc w:val="center"/>
            <w:rPr>
              <w:rFonts w:hint="eastAsia" w:ascii="宋体" w:hAnsi="宋体" w:eastAsia="宋体" w:cs="宋体"/>
              <w:b/>
              <w:bCs/>
              <w:sz w:val="32"/>
              <w:szCs w:val="32"/>
            </w:rPr>
          </w:pPr>
          <w:r>
            <w:rPr>
              <w:rFonts w:hint="eastAsia" w:ascii="宋体" w:hAnsi="宋体" w:eastAsia="宋体" w:cs="宋体"/>
              <w:b/>
              <w:bCs/>
              <w:sz w:val="32"/>
              <w:szCs w:val="32"/>
            </w:rPr>
            <w:t>目</w:t>
          </w:r>
          <w:r>
            <w:rPr>
              <w:rFonts w:hint="eastAsia" w:ascii="宋体" w:hAnsi="宋体" w:eastAsia="宋体" w:cs="宋体"/>
              <w:b/>
              <w:bCs/>
              <w:sz w:val="32"/>
              <w:szCs w:val="32"/>
              <w:lang w:val="en-US" w:eastAsia="zh-CN"/>
            </w:rPr>
            <w:t xml:space="preserve"> </w:t>
          </w:r>
          <w:r>
            <w:rPr>
              <w:rFonts w:hint="eastAsia" w:ascii="宋体" w:hAnsi="宋体" w:eastAsia="宋体" w:cs="宋体"/>
              <w:b/>
              <w:bCs/>
              <w:sz w:val="32"/>
              <w:szCs w:val="32"/>
            </w:rPr>
            <w:t>录</w:t>
          </w:r>
        </w:p>
        <w:p>
          <w:pPr>
            <w:pStyle w:val="80"/>
            <w:tabs>
              <w:tab w:val="right" w:leader="middleDot" w:pos="8845"/>
            </w:tabs>
            <w:spacing w:line="480" w:lineRule="auto"/>
            <w:rPr>
              <w:rFonts w:hint="eastAsia" w:ascii="宋体" w:hAnsi="宋体" w:eastAsia="宋体" w:cs="宋体"/>
              <w:b/>
              <w:sz w:val="24"/>
              <w:szCs w:val="24"/>
            </w:rPr>
          </w:pPr>
          <w:r>
            <w:rPr>
              <w:rFonts w:hint="eastAsia" w:ascii="宋体" w:hAnsi="宋体" w:eastAsia="宋体" w:cs="宋体"/>
              <w:b/>
              <w:sz w:val="24"/>
              <w:szCs w:val="24"/>
              <w:lang w:eastAsia="zh-CN"/>
            </w:rPr>
            <w:fldChar w:fldCharType="begin"/>
          </w:r>
          <w:r>
            <w:rPr>
              <w:rFonts w:hint="eastAsia" w:ascii="宋体" w:hAnsi="宋体" w:eastAsia="宋体" w:cs="宋体"/>
              <w:b/>
              <w:sz w:val="24"/>
              <w:szCs w:val="24"/>
              <w:lang w:eastAsia="zh-CN"/>
            </w:rPr>
            <w:instrText xml:space="preserve">TOC \o "1-2" \h \u </w:instrText>
          </w:r>
          <w:r>
            <w:rPr>
              <w:rFonts w:hint="eastAsia" w:ascii="宋体" w:hAnsi="宋体" w:eastAsia="宋体" w:cs="宋体"/>
              <w:b/>
              <w:sz w:val="24"/>
              <w:szCs w:val="24"/>
              <w:lang w:eastAsia="zh-CN"/>
            </w:rPr>
            <w:fldChar w:fldCharType="separate"/>
          </w:r>
          <w:r>
            <w:rPr>
              <w:rFonts w:hint="eastAsia" w:ascii="宋体" w:hAnsi="宋体" w:eastAsia="宋体" w:cs="宋体"/>
              <w:b/>
              <w:sz w:val="24"/>
              <w:szCs w:val="24"/>
              <w:lang w:eastAsia="zh-CN"/>
            </w:rPr>
            <w:fldChar w:fldCharType="begin"/>
          </w:r>
          <w:r>
            <w:rPr>
              <w:rFonts w:hint="eastAsia" w:ascii="宋体" w:hAnsi="宋体" w:eastAsia="宋体" w:cs="宋体"/>
              <w:b/>
              <w:sz w:val="24"/>
              <w:szCs w:val="24"/>
              <w:lang w:eastAsia="zh-CN"/>
            </w:rPr>
            <w:instrText xml:space="preserve"> HYPERLINK \l _Toc2439 </w:instrText>
          </w:r>
          <w:r>
            <w:rPr>
              <w:rFonts w:hint="eastAsia" w:ascii="宋体" w:hAnsi="宋体" w:eastAsia="宋体" w:cs="宋体"/>
              <w:b/>
              <w:sz w:val="24"/>
              <w:szCs w:val="24"/>
              <w:lang w:eastAsia="zh-CN"/>
            </w:rPr>
            <w:fldChar w:fldCharType="separate"/>
          </w:r>
          <w:r>
            <w:rPr>
              <w:rFonts w:hint="eastAsia" w:ascii="宋体" w:hAnsi="宋体" w:eastAsia="宋体" w:cs="宋体"/>
              <w:b/>
              <w:sz w:val="24"/>
              <w:szCs w:val="24"/>
            </w:rPr>
            <w:t>第一章    竞争性磋商邀请函</w:t>
          </w:r>
          <w:r>
            <w:rPr>
              <w:rFonts w:hint="eastAsia" w:ascii="宋体" w:hAnsi="宋体" w:eastAsia="宋体" w:cs="宋体"/>
              <w:b/>
              <w:sz w:val="24"/>
              <w:szCs w:val="24"/>
            </w:rPr>
            <w:tab/>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PAGEREF _Toc2439 \h </w:instrText>
          </w:r>
          <w:r>
            <w:rPr>
              <w:rFonts w:hint="eastAsia" w:ascii="宋体" w:hAnsi="宋体" w:eastAsia="宋体" w:cs="宋体"/>
              <w:b/>
              <w:sz w:val="24"/>
              <w:szCs w:val="24"/>
            </w:rPr>
            <w:fldChar w:fldCharType="separate"/>
          </w:r>
          <w:r>
            <w:rPr>
              <w:rFonts w:hint="eastAsia" w:ascii="宋体" w:hAnsi="宋体" w:eastAsia="宋体" w:cs="宋体"/>
              <w:b/>
              <w:sz w:val="24"/>
              <w:szCs w:val="24"/>
            </w:rPr>
            <w:t>- 3 -</w:t>
          </w:r>
          <w:r>
            <w:rPr>
              <w:rFonts w:hint="eastAsia" w:ascii="宋体" w:hAnsi="宋体" w:eastAsia="宋体" w:cs="宋体"/>
              <w:b/>
              <w:sz w:val="24"/>
              <w:szCs w:val="24"/>
            </w:rPr>
            <w:fldChar w:fldCharType="end"/>
          </w:r>
          <w:r>
            <w:rPr>
              <w:rFonts w:hint="eastAsia" w:ascii="宋体" w:hAnsi="宋体" w:eastAsia="宋体" w:cs="宋体"/>
              <w:b/>
              <w:sz w:val="24"/>
              <w:szCs w:val="24"/>
              <w:lang w:eastAsia="zh-CN"/>
            </w:rPr>
            <w:fldChar w:fldCharType="end"/>
          </w:r>
        </w:p>
        <w:p>
          <w:pPr>
            <w:pStyle w:val="80"/>
            <w:tabs>
              <w:tab w:val="right" w:leader="middleDot" w:pos="8845"/>
            </w:tabs>
            <w:spacing w:line="480" w:lineRule="auto"/>
            <w:rPr>
              <w:rFonts w:hint="eastAsia" w:ascii="宋体" w:hAnsi="宋体" w:eastAsia="宋体" w:cs="宋体"/>
              <w:b/>
              <w:sz w:val="24"/>
              <w:szCs w:val="24"/>
            </w:rPr>
          </w:pPr>
          <w:r>
            <w:rPr>
              <w:rFonts w:hint="eastAsia" w:ascii="宋体" w:hAnsi="宋体" w:eastAsia="宋体" w:cs="宋体"/>
              <w:b/>
              <w:sz w:val="24"/>
              <w:szCs w:val="24"/>
              <w:lang w:eastAsia="zh-CN"/>
            </w:rPr>
            <w:fldChar w:fldCharType="begin"/>
          </w:r>
          <w:r>
            <w:rPr>
              <w:rFonts w:hint="eastAsia" w:ascii="宋体" w:hAnsi="宋体" w:eastAsia="宋体" w:cs="宋体"/>
              <w:b/>
              <w:sz w:val="24"/>
              <w:szCs w:val="24"/>
              <w:lang w:eastAsia="zh-CN"/>
            </w:rPr>
            <w:instrText xml:space="preserve"> HYPERLINK \l _Toc3387 </w:instrText>
          </w:r>
          <w:r>
            <w:rPr>
              <w:rFonts w:hint="eastAsia" w:ascii="宋体" w:hAnsi="宋体" w:eastAsia="宋体" w:cs="宋体"/>
              <w:b/>
              <w:sz w:val="24"/>
              <w:szCs w:val="24"/>
              <w:lang w:eastAsia="zh-CN"/>
            </w:rPr>
            <w:fldChar w:fldCharType="separate"/>
          </w:r>
          <w:r>
            <w:rPr>
              <w:rFonts w:hint="eastAsia" w:ascii="宋体" w:hAnsi="宋体" w:eastAsia="宋体" w:cs="宋体"/>
              <w:b/>
              <w:sz w:val="24"/>
              <w:szCs w:val="24"/>
            </w:rPr>
            <w:t>第二章    供应商须知</w:t>
          </w:r>
          <w:r>
            <w:rPr>
              <w:rFonts w:hint="eastAsia" w:ascii="宋体" w:hAnsi="宋体" w:eastAsia="宋体" w:cs="宋体"/>
              <w:b/>
              <w:sz w:val="24"/>
              <w:szCs w:val="24"/>
            </w:rPr>
            <w:tab/>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PAGEREF _Toc3387 \h </w:instrText>
          </w:r>
          <w:r>
            <w:rPr>
              <w:rFonts w:hint="eastAsia" w:ascii="宋体" w:hAnsi="宋体" w:eastAsia="宋体" w:cs="宋体"/>
              <w:b/>
              <w:sz w:val="24"/>
              <w:szCs w:val="24"/>
            </w:rPr>
            <w:fldChar w:fldCharType="separate"/>
          </w:r>
          <w:r>
            <w:rPr>
              <w:rFonts w:hint="eastAsia" w:ascii="宋体" w:hAnsi="宋体" w:eastAsia="宋体" w:cs="宋体"/>
              <w:b/>
              <w:sz w:val="24"/>
              <w:szCs w:val="24"/>
            </w:rPr>
            <w:t>- 6 -</w:t>
          </w:r>
          <w:r>
            <w:rPr>
              <w:rFonts w:hint="eastAsia" w:ascii="宋体" w:hAnsi="宋体" w:eastAsia="宋体" w:cs="宋体"/>
              <w:b/>
              <w:sz w:val="24"/>
              <w:szCs w:val="24"/>
            </w:rPr>
            <w:fldChar w:fldCharType="end"/>
          </w:r>
          <w:r>
            <w:rPr>
              <w:rFonts w:hint="eastAsia" w:ascii="宋体" w:hAnsi="宋体" w:eastAsia="宋体" w:cs="宋体"/>
              <w:b/>
              <w:sz w:val="24"/>
              <w:szCs w:val="24"/>
              <w:lang w:eastAsia="zh-CN"/>
            </w:rPr>
            <w:fldChar w:fldCharType="end"/>
          </w:r>
        </w:p>
        <w:p>
          <w:pPr>
            <w:pStyle w:val="80"/>
            <w:tabs>
              <w:tab w:val="right" w:leader="middleDot" w:pos="8845"/>
            </w:tabs>
            <w:spacing w:line="480" w:lineRule="auto"/>
            <w:rPr>
              <w:rFonts w:hint="eastAsia" w:ascii="宋体" w:hAnsi="宋体" w:eastAsia="宋体" w:cs="宋体"/>
              <w:b/>
              <w:sz w:val="24"/>
              <w:szCs w:val="24"/>
            </w:rPr>
          </w:pPr>
          <w:r>
            <w:rPr>
              <w:rFonts w:hint="eastAsia" w:ascii="宋体" w:hAnsi="宋体" w:eastAsia="宋体" w:cs="宋体"/>
              <w:b/>
              <w:sz w:val="24"/>
              <w:szCs w:val="24"/>
              <w:lang w:eastAsia="zh-CN"/>
            </w:rPr>
            <w:fldChar w:fldCharType="begin"/>
          </w:r>
          <w:r>
            <w:rPr>
              <w:rFonts w:hint="eastAsia" w:ascii="宋体" w:hAnsi="宋体" w:eastAsia="宋体" w:cs="宋体"/>
              <w:b/>
              <w:sz w:val="24"/>
              <w:szCs w:val="24"/>
              <w:lang w:eastAsia="zh-CN"/>
            </w:rPr>
            <w:instrText xml:space="preserve"> HYPERLINK \l _Toc28100 </w:instrText>
          </w:r>
          <w:r>
            <w:rPr>
              <w:rFonts w:hint="eastAsia" w:ascii="宋体" w:hAnsi="宋体" w:eastAsia="宋体" w:cs="宋体"/>
              <w:b/>
              <w:sz w:val="24"/>
              <w:szCs w:val="24"/>
              <w:lang w:eastAsia="zh-CN"/>
            </w:rPr>
            <w:fldChar w:fldCharType="separate"/>
          </w:r>
          <w:r>
            <w:rPr>
              <w:rFonts w:hint="eastAsia" w:ascii="宋体" w:hAnsi="宋体" w:eastAsia="宋体" w:cs="宋体"/>
              <w:b/>
              <w:sz w:val="24"/>
              <w:szCs w:val="24"/>
            </w:rPr>
            <w:t>第三章    采购项目内容及要求</w:t>
          </w:r>
          <w:r>
            <w:rPr>
              <w:rFonts w:hint="eastAsia" w:ascii="宋体" w:hAnsi="宋体" w:eastAsia="宋体" w:cs="宋体"/>
              <w:b/>
              <w:sz w:val="24"/>
              <w:szCs w:val="24"/>
            </w:rPr>
            <w:tab/>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PAGEREF _Toc28100 \h </w:instrText>
          </w:r>
          <w:r>
            <w:rPr>
              <w:rFonts w:hint="eastAsia" w:ascii="宋体" w:hAnsi="宋体" w:eastAsia="宋体" w:cs="宋体"/>
              <w:b/>
              <w:sz w:val="24"/>
              <w:szCs w:val="24"/>
            </w:rPr>
            <w:fldChar w:fldCharType="separate"/>
          </w:r>
          <w:r>
            <w:rPr>
              <w:rFonts w:hint="eastAsia" w:ascii="宋体" w:hAnsi="宋体" w:eastAsia="宋体" w:cs="宋体"/>
              <w:b/>
              <w:sz w:val="24"/>
              <w:szCs w:val="24"/>
            </w:rPr>
            <w:t>- 27 -</w:t>
          </w:r>
          <w:r>
            <w:rPr>
              <w:rFonts w:hint="eastAsia" w:ascii="宋体" w:hAnsi="宋体" w:eastAsia="宋体" w:cs="宋体"/>
              <w:b/>
              <w:sz w:val="24"/>
              <w:szCs w:val="24"/>
            </w:rPr>
            <w:fldChar w:fldCharType="end"/>
          </w:r>
          <w:r>
            <w:rPr>
              <w:rFonts w:hint="eastAsia" w:ascii="宋体" w:hAnsi="宋体" w:eastAsia="宋体" w:cs="宋体"/>
              <w:b/>
              <w:sz w:val="24"/>
              <w:szCs w:val="24"/>
              <w:lang w:eastAsia="zh-CN"/>
            </w:rPr>
            <w:fldChar w:fldCharType="end"/>
          </w:r>
        </w:p>
        <w:p>
          <w:pPr>
            <w:pStyle w:val="80"/>
            <w:tabs>
              <w:tab w:val="right" w:leader="middleDot" w:pos="8845"/>
            </w:tabs>
            <w:spacing w:line="480" w:lineRule="auto"/>
            <w:rPr>
              <w:rFonts w:hint="eastAsia" w:ascii="宋体" w:hAnsi="宋体" w:eastAsia="宋体" w:cs="宋体"/>
              <w:b/>
              <w:sz w:val="24"/>
              <w:szCs w:val="24"/>
            </w:rPr>
          </w:pPr>
          <w:r>
            <w:rPr>
              <w:rFonts w:hint="eastAsia" w:ascii="宋体" w:hAnsi="宋体" w:eastAsia="宋体" w:cs="宋体"/>
              <w:b/>
              <w:sz w:val="24"/>
              <w:szCs w:val="24"/>
              <w:lang w:eastAsia="zh-CN"/>
            </w:rPr>
            <w:fldChar w:fldCharType="begin"/>
          </w:r>
          <w:r>
            <w:rPr>
              <w:rFonts w:hint="eastAsia" w:ascii="宋体" w:hAnsi="宋体" w:eastAsia="宋体" w:cs="宋体"/>
              <w:b/>
              <w:sz w:val="24"/>
              <w:szCs w:val="24"/>
              <w:lang w:eastAsia="zh-CN"/>
            </w:rPr>
            <w:instrText xml:space="preserve"> HYPERLINK \l _Toc3642 </w:instrText>
          </w:r>
          <w:r>
            <w:rPr>
              <w:rFonts w:hint="eastAsia" w:ascii="宋体" w:hAnsi="宋体" w:eastAsia="宋体" w:cs="宋体"/>
              <w:b/>
              <w:sz w:val="24"/>
              <w:szCs w:val="24"/>
              <w:lang w:eastAsia="zh-CN"/>
            </w:rPr>
            <w:fldChar w:fldCharType="separate"/>
          </w:r>
          <w:r>
            <w:rPr>
              <w:rFonts w:hint="eastAsia" w:ascii="宋体" w:hAnsi="宋体" w:eastAsia="宋体" w:cs="宋体"/>
              <w:b/>
              <w:bCs/>
              <w:sz w:val="24"/>
              <w:szCs w:val="24"/>
            </w:rPr>
            <w:t>第四章</w:t>
          </w:r>
          <w:r>
            <w:rPr>
              <w:rFonts w:hint="eastAsia" w:ascii="宋体" w:hAnsi="宋体" w:eastAsia="宋体" w:cs="宋体"/>
              <w:b/>
              <w:sz w:val="24"/>
              <w:szCs w:val="24"/>
            </w:rPr>
            <w:t xml:space="preserve">    </w:t>
          </w:r>
          <w:r>
            <w:rPr>
              <w:rFonts w:hint="eastAsia" w:ascii="宋体" w:hAnsi="宋体" w:eastAsia="宋体" w:cs="宋体"/>
              <w:b/>
              <w:bCs/>
              <w:sz w:val="24"/>
              <w:szCs w:val="24"/>
            </w:rPr>
            <w:t>响应性文件内容及格式</w:t>
          </w:r>
          <w:r>
            <w:rPr>
              <w:rFonts w:hint="eastAsia" w:ascii="宋体" w:hAnsi="宋体" w:eastAsia="宋体" w:cs="宋体"/>
              <w:b/>
              <w:sz w:val="24"/>
              <w:szCs w:val="24"/>
            </w:rPr>
            <w:tab/>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PAGEREF _Toc3642 \h </w:instrText>
          </w:r>
          <w:r>
            <w:rPr>
              <w:rFonts w:hint="eastAsia" w:ascii="宋体" w:hAnsi="宋体" w:eastAsia="宋体" w:cs="宋体"/>
              <w:b/>
              <w:sz w:val="24"/>
              <w:szCs w:val="24"/>
            </w:rPr>
            <w:fldChar w:fldCharType="separate"/>
          </w:r>
          <w:r>
            <w:rPr>
              <w:rFonts w:hint="eastAsia" w:ascii="宋体" w:hAnsi="宋体" w:eastAsia="宋体" w:cs="宋体"/>
              <w:b/>
              <w:sz w:val="24"/>
              <w:szCs w:val="24"/>
            </w:rPr>
            <w:t>- 35 -</w:t>
          </w:r>
          <w:r>
            <w:rPr>
              <w:rFonts w:hint="eastAsia" w:ascii="宋体" w:hAnsi="宋体" w:eastAsia="宋体" w:cs="宋体"/>
              <w:b/>
              <w:sz w:val="24"/>
              <w:szCs w:val="24"/>
            </w:rPr>
            <w:fldChar w:fldCharType="end"/>
          </w:r>
          <w:r>
            <w:rPr>
              <w:rFonts w:hint="eastAsia" w:ascii="宋体" w:hAnsi="宋体" w:eastAsia="宋体" w:cs="宋体"/>
              <w:b/>
              <w:sz w:val="24"/>
              <w:szCs w:val="24"/>
              <w:lang w:eastAsia="zh-CN"/>
            </w:rPr>
            <w:fldChar w:fldCharType="end"/>
          </w:r>
        </w:p>
        <w:p>
          <w:pPr>
            <w:pStyle w:val="80"/>
            <w:tabs>
              <w:tab w:val="right" w:leader="middleDot" w:pos="8845"/>
            </w:tabs>
            <w:spacing w:line="480" w:lineRule="auto"/>
            <w:rPr>
              <w:rFonts w:hint="eastAsia" w:ascii="宋体" w:hAnsi="宋体" w:eastAsia="宋体" w:cs="宋体"/>
              <w:b/>
              <w:sz w:val="24"/>
              <w:szCs w:val="24"/>
            </w:rPr>
          </w:pPr>
          <w:r>
            <w:rPr>
              <w:rFonts w:hint="eastAsia" w:ascii="宋体" w:hAnsi="宋体" w:eastAsia="宋体" w:cs="宋体"/>
              <w:b/>
              <w:sz w:val="24"/>
              <w:szCs w:val="24"/>
              <w:lang w:eastAsia="zh-CN"/>
            </w:rPr>
            <w:fldChar w:fldCharType="begin"/>
          </w:r>
          <w:r>
            <w:rPr>
              <w:rFonts w:hint="eastAsia" w:ascii="宋体" w:hAnsi="宋体" w:eastAsia="宋体" w:cs="宋体"/>
              <w:b/>
              <w:sz w:val="24"/>
              <w:szCs w:val="24"/>
              <w:lang w:eastAsia="zh-CN"/>
            </w:rPr>
            <w:instrText xml:space="preserve"> HYPERLINK \l _Toc16825 </w:instrText>
          </w:r>
          <w:r>
            <w:rPr>
              <w:rFonts w:hint="eastAsia" w:ascii="宋体" w:hAnsi="宋体" w:eastAsia="宋体" w:cs="宋体"/>
              <w:b/>
              <w:sz w:val="24"/>
              <w:szCs w:val="24"/>
              <w:lang w:eastAsia="zh-CN"/>
            </w:rPr>
            <w:fldChar w:fldCharType="separate"/>
          </w:r>
          <w:r>
            <w:rPr>
              <w:rFonts w:hint="eastAsia" w:ascii="宋体" w:hAnsi="宋体" w:eastAsia="宋体" w:cs="宋体"/>
              <w:b/>
              <w:bCs w:val="0"/>
              <w:sz w:val="24"/>
              <w:szCs w:val="24"/>
            </w:rPr>
            <w:t>第五章</w:t>
          </w:r>
          <w:r>
            <w:rPr>
              <w:rFonts w:hint="eastAsia" w:ascii="宋体" w:hAnsi="宋体" w:eastAsia="宋体" w:cs="宋体"/>
              <w:b/>
              <w:sz w:val="24"/>
              <w:szCs w:val="24"/>
            </w:rPr>
            <w:t xml:space="preserve">    </w:t>
          </w:r>
          <w:r>
            <w:rPr>
              <w:rFonts w:hint="eastAsia" w:ascii="宋体" w:hAnsi="宋体" w:eastAsia="宋体" w:cs="宋体"/>
              <w:b/>
              <w:bCs w:val="0"/>
              <w:w w:val="92"/>
              <w:sz w:val="24"/>
              <w:szCs w:val="24"/>
              <w:lang w:val="en-US"/>
            </w:rPr>
            <w:t>周口市</w:t>
          </w:r>
          <w:r>
            <w:rPr>
              <w:rFonts w:hint="eastAsia" w:ascii="宋体" w:hAnsi="宋体" w:eastAsia="宋体" w:cs="宋体"/>
              <w:b/>
              <w:bCs w:val="0"/>
              <w:sz w:val="24"/>
              <w:szCs w:val="24"/>
              <w:lang w:val="en-US"/>
            </w:rPr>
            <w:t>政府采购合同（服务类）标准文本</w:t>
          </w:r>
          <w:r>
            <w:rPr>
              <w:rFonts w:hint="eastAsia" w:ascii="宋体" w:hAnsi="宋体" w:eastAsia="宋体" w:cs="宋体"/>
              <w:b/>
              <w:sz w:val="24"/>
              <w:szCs w:val="24"/>
            </w:rPr>
            <w:tab/>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PAGEREF _Toc16825 \h </w:instrText>
          </w:r>
          <w:r>
            <w:rPr>
              <w:rFonts w:hint="eastAsia" w:ascii="宋体" w:hAnsi="宋体" w:eastAsia="宋体" w:cs="宋体"/>
              <w:b/>
              <w:sz w:val="24"/>
              <w:szCs w:val="24"/>
            </w:rPr>
            <w:fldChar w:fldCharType="separate"/>
          </w:r>
          <w:r>
            <w:rPr>
              <w:rFonts w:hint="eastAsia" w:ascii="宋体" w:hAnsi="宋体" w:eastAsia="宋体" w:cs="宋体"/>
              <w:b/>
              <w:sz w:val="24"/>
              <w:szCs w:val="24"/>
            </w:rPr>
            <w:t>- 48 -</w:t>
          </w:r>
          <w:r>
            <w:rPr>
              <w:rFonts w:hint="eastAsia" w:ascii="宋体" w:hAnsi="宋体" w:eastAsia="宋体" w:cs="宋体"/>
              <w:b/>
              <w:sz w:val="24"/>
              <w:szCs w:val="24"/>
            </w:rPr>
            <w:fldChar w:fldCharType="end"/>
          </w:r>
          <w:r>
            <w:rPr>
              <w:rFonts w:hint="eastAsia" w:ascii="宋体" w:hAnsi="宋体" w:eastAsia="宋体" w:cs="宋体"/>
              <w:b/>
              <w:sz w:val="24"/>
              <w:szCs w:val="24"/>
              <w:lang w:eastAsia="zh-CN"/>
            </w:rPr>
            <w:fldChar w:fldCharType="end"/>
          </w:r>
        </w:p>
        <w:p>
          <w:pPr>
            <w:pStyle w:val="80"/>
            <w:tabs>
              <w:tab w:val="right" w:leader="middleDot" w:pos="8845"/>
            </w:tabs>
            <w:spacing w:line="480" w:lineRule="auto"/>
            <w:ind w:firstLine="1205" w:firstLineChars="500"/>
            <w:rPr>
              <w:rFonts w:hint="eastAsia" w:ascii="宋体" w:hAnsi="宋体" w:eastAsia="宋体" w:cs="宋体"/>
              <w:b/>
              <w:sz w:val="24"/>
              <w:szCs w:val="24"/>
            </w:rPr>
          </w:pPr>
          <w:r>
            <w:rPr>
              <w:rFonts w:hint="eastAsia" w:ascii="宋体" w:hAnsi="宋体" w:eastAsia="宋体" w:cs="宋体"/>
              <w:b/>
              <w:sz w:val="24"/>
              <w:szCs w:val="24"/>
              <w:lang w:eastAsia="zh-CN"/>
            </w:rPr>
            <w:fldChar w:fldCharType="begin"/>
          </w:r>
          <w:r>
            <w:rPr>
              <w:rFonts w:hint="eastAsia" w:ascii="宋体" w:hAnsi="宋体" w:eastAsia="宋体" w:cs="宋体"/>
              <w:b/>
              <w:sz w:val="24"/>
              <w:szCs w:val="24"/>
              <w:lang w:eastAsia="zh-CN"/>
            </w:rPr>
            <w:instrText xml:space="preserve"> HYPERLINK \l _Toc3616 </w:instrText>
          </w:r>
          <w:r>
            <w:rPr>
              <w:rFonts w:hint="eastAsia" w:ascii="宋体" w:hAnsi="宋体" w:eastAsia="宋体" w:cs="宋体"/>
              <w:b/>
              <w:sz w:val="24"/>
              <w:szCs w:val="24"/>
              <w:lang w:eastAsia="zh-CN"/>
            </w:rPr>
            <w:fldChar w:fldCharType="separate"/>
          </w:r>
          <w:r>
            <w:rPr>
              <w:rFonts w:hint="eastAsia" w:ascii="宋体" w:hAnsi="宋体" w:eastAsia="宋体" w:cs="宋体"/>
              <w:b/>
              <w:sz w:val="24"/>
              <w:szCs w:val="24"/>
            </w:rPr>
            <w:t>周口市政府采购合同融资政策告知函</w:t>
          </w:r>
          <w:r>
            <w:rPr>
              <w:rFonts w:hint="eastAsia" w:ascii="宋体" w:hAnsi="宋体" w:eastAsia="宋体" w:cs="宋体"/>
              <w:b/>
              <w:sz w:val="24"/>
              <w:szCs w:val="24"/>
            </w:rPr>
            <w:tab/>
          </w: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 PAGEREF _Toc3616 \h </w:instrText>
          </w:r>
          <w:r>
            <w:rPr>
              <w:rFonts w:hint="eastAsia" w:ascii="宋体" w:hAnsi="宋体" w:eastAsia="宋体" w:cs="宋体"/>
              <w:b/>
              <w:sz w:val="24"/>
              <w:szCs w:val="24"/>
            </w:rPr>
            <w:fldChar w:fldCharType="separate"/>
          </w:r>
          <w:r>
            <w:rPr>
              <w:rFonts w:hint="eastAsia" w:ascii="宋体" w:hAnsi="宋体" w:eastAsia="宋体" w:cs="宋体"/>
              <w:b/>
              <w:sz w:val="24"/>
              <w:szCs w:val="24"/>
            </w:rPr>
            <w:t>- 55 -</w:t>
          </w:r>
          <w:r>
            <w:rPr>
              <w:rFonts w:hint="eastAsia" w:ascii="宋体" w:hAnsi="宋体" w:eastAsia="宋体" w:cs="宋体"/>
              <w:b/>
              <w:sz w:val="24"/>
              <w:szCs w:val="24"/>
            </w:rPr>
            <w:fldChar w:fldCharType="end"/>
          </w:r>
          <w:r>
            <w:rPr>
              <w:rFonts w:hint="eastAsia" w:ascii="宋体" w:hAnsi="宋体" w:eastAsia="宋体" w:cs="宋体"/>
              <w:b/>
              <w:sz w:val="24"/>
              <w:szCs w:val="24"/>
              <w:lang w:eastAsia="zh-CN"/>
            </w:rPr>
            <w:fldChar w:fldCharType="end"/>
          </w:r>
        </w:p>
        <w:p>
          <w:pPr>
            <w:spacing w:line="480" w:lineRule="auto"/>
            <w:ind w:firstLine="1687" w:firstLineChars="700"/>
            <w:rPr>
              <w:rFonts w:hint="eastAsia" w:ascii="宋体" w:hAnsi="宋体" w:cs="宋体"/>
              <w:b/>
              <w:sz w:val="32"/>
              <w:szCs w:val="32"/>
              <w:lang w:eastAsia="zh-CN"/>
            </w:rPr>
          </w:pPr>
          <w:r>
            <w:rPr>
              <w:rFonts w:hint="eastAsia" w:ascii="宋体" w:hAnsi="宋体" w:eastAsia="宋体" w:cs="宋体"/>
              <w:b/>
              <w:sz w:val="24"/>
              <w:szCs w:val="24"/>
              <w:lang w:eastAsia="zh-CN"/>
            </w:rPr>
            <w:fldChar w:fldCharType="end"/>
          </w:r>
        </w:p>
      </w:sdtContent>
    </w:sdt>
    <w:p>
      <w:pPr>
        <w:spacing w:line="800" w:lineRule="exact"/>
        <w:ind w:firstLine="2249" w:firstLineChars="700"/>
        <w:rPr>
          <w:rFonts w:hint="eastAsia" w:ascii="宋体" w:hAnsi="宋体" w:cs="宋体"/>
          <w:b/>
          <w:sz w:val="32"/>
          <w:szCs w:val="32"/>
          <w:lang w:val="en-US" w:eastAsia="zh-CN"/>
        </w:rPr>
      </w:pPr>
    </w:p>
    <w:p>
      <w:pPr>
        <w:spacing w:line="800" w:lineRule="exact"/>
        <w:ind w:firstLine="2249" w:firstLineChars="700"/>
        <w:rPr>
          <w:rFonts w:hint="eastAsia" w:ascii="宋体" w:hAnsi="宋体" w:cs="宋体"/>
          <w:b/>
          <w:sz w:val="32"/>
          <w:szCs w:val="32"/>
        </w:rPr>
      </w:pPr>
    </w:p>
    <w:p>
      <w:pPr>
        <w:spacing w:line="360" w:lineRule="auto"/>
        <w:jc w:val="center"/>
        <w:outlineLvl w:val="0"/>
        <w:rPr>
          <w:rFonts w:ascii="宋体" w:hAnsi="宋体" w:cs="宋体"/>
          <w:b/>
          <w:sz w:val="32"/>
          <w:szCs w:val="32"/>
        </w:rPr>
      </w:pPr>
      <w:r>
        <w:rPr>
          <w:rFonts w:hint="eastAsia" w:ascii="仿宋_GB2312" w:eastAsia="仿宋_GB2312"/>
          <w:b/>
          <w:sz w:val="32"/>
          <w:szCs w:val="32"/>
        </w:rPr>
        <w:br w:type="page"/>
      </w:r>
      <w:bookmarkStart w:id="4" w:name="_Toc2439"/>
      <w:r>
        <w:rPr>
          <w:rFonts w:hint="eastAsia" w:ascii="宋体" w:hAnsi="宋体" w:cs="宋体"/>
          <w:b/>
          <w:sz w:val="32"/>
          <w:szCs w:val="32"/>
        </w:rPr>
        <w:t>第一章    竞争性磋商邀请函</w:t>
      </w:r>
      <w:bookmarkEnd w:id="4"/>
    </w:p>
    <w:p>
      <w:pPr>
        <w:pStyle w:val="37"/>
        <w:spacing w:line="360" w:lineRule="auto"/>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u w:val="single"/>
          <w:lang w:val="en-US" w:eastAsia="zh-CN"/>
        </w:rPr>
        <w:t>周口市林业保护中心2023年古树名木保护项目</w:t>
      </w:r>
      <w:r>
        <w:rPr>
          <w:rFonts w:hint="eastAsia" w:ascii="宋体" w:hAnsi="宋体" w:eastAsia="宋体" w:cs="宋体"/>
          <w:i w:val="0"/>
          <w:iCs w:val="0"/>
          <w:sz w:val="24"/>
          <w:szCs w:val="24"/>
          <w:lang w:val="en-US" w:eastAsia="zh-CN"/>
        </w:rPr>
        <w:t>的潜在投标人应在周口市公共资源交易中心网（http://jyzx.zhoukou.gov.cn）获取招标文件，并</w:t>
      </w:r>
      <w:r>
        <w:rPr>
          <w:rFonts w:hint="eastAsia" w:ascii="宋体" w:hAnsi="宋体" w:eastAsia="宋体" w:cs="宋体"/>
          <w:i w:val="0"/>
          <w:iCs w:val="0"/>
          <w:sz w:val="24"/>
          <w:szCs w:val="24"/>
          <w:highlight w:val="none"/>
          <w:lang w:val="en-US" w:eastAsia="zh-CN"/>
        </w:rPr>
        <w:t>于</w:t>
      </w:r>
      <w:r>
        <w:rPr>
          <w:rFonts w:hint="eastAsia" w:ascii="宋体" w:hAnsi="宋体" w:cs="宋体"/>
          <w:i w:val="0"/>
          <w:iCs w:val="0"/>
          <w:sz w:val="24"/>
          <w:szCs w:val="24"/>
          <w:highlight w:val="none"/>
          <w:lang w:val="en-US" w:eastAsia="zh-CN"/>
        </w:rPr>
        <w:t>2024</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06</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03</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1"/>
        <w:rPr>
          <w:rFonts w:hint="eastAsia" w:asciiTheme="minorEastAsia" w:hAnsiTheme="minorEastAsia" w:eastAsiaTheme="minorEastAsia" w:cstheme="minorEastAsia"/>
          <w:b w:val="0"/>
          <w:sz w:val="24"/>
          <w:szCs w:val="24"/>
        </w:rPr>
      </w:pPr>
      <w:bookmarkStart w:id="5" w:name="_Toc35393629"/>
      <w:bookmarkStart w:id="6" w:name="_Toc28359012"/>
      <w:bookmarkStart w:id="7" w:name="_Toc31004"/>
      <w:bookmarkStart w:id="8" w:name="_Toc28359089"/>
      <w:bookmarkStart w:id="9" w:name="_Toc35393798"/>
      <w:r>
        <w:rPr>
          <w:rFonts w:hint="eastAsia" w:asciiTheme="minorEastAsia" w:hAnsiTheme="minorEastAsia" w:eastAsiaTheme="minorEastAsia" w:cstheme="minorEastAsia"/>
          <w:b w:val="0"/>
          <w:sz w:val="24"/>
          <w:szCs w:val="24"/>
        </w:rPr>
        <w:t>一、项目基本情况</w:t>
      </w:r>
      <w:bookmarkEnd w:id="5"/>
      <w:bookmarkEnd w:id="6"/>
      <w:bookmarkEnd w:id="7"/>
      <w:bookmarkEnd w:id="8"/>
      <w:bookmarkEnd w:id="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项目编号：2023-12-583</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rPr>
        <w:t>项目名称：周口市林业保护中心2023年古树名木保护项目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预算金额：</w:t>
      </w:r>
      <w:r>
        <w:rPr>
          <w:rFonts w:hint="eastAsia" w:asciiTheme="minorEastAsia" w:hAnsiTheme="minorEastAsia" w:eastAsiaTheme="minorEastAsia" w:cstheme="minorEastAsia"/>
          <w:i w:val="0"/>
          <w:iCs w:val="0"/>
          <w:sz w:val="24"/>
          <w:szCs w:val="24"/>
          <w:lang w:val="en-US" w:eastAsia="zh-CN"/>
        </w:rPr>
        <w:t>105万元</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最高限价：105万元</w:t>
      </w:r>
    </w:p>
    <w:p>
      <w:pPr>
        <w:pStyle w:val="23"/>
        <w:keepNext w:val="0"/>
        <w:keepLines w:val="0"/>
        <w:pageBreakBefore w:val="0"/>
        <w:kinsoku/>
        <w:wordWrap/>
        <w:overflowPunct/>
        <w:topLinePunct w:val="0"/>
        <w:bidi w:val="0"/>
        <w:snapToGrid w:val="0"/>
        <w:spacing w:before="0" w:beforeAutospacing="0" w:after="0" w:afterAutospacing="0" w:line="360" w:lineRule="auto"/>
        <w:ind w:firstLine="480"/>
        <w:jc w:val="both"/>
        <w:textAlignment w:val="auto"/>
        <w:outlineLvl w:val="9"/>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5566"/>
        <w:gridCol w:w="1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Align w:val="center"/>
          </w:tcPr>
          <w:p>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auto"/>
              <w:jc w:val="center"/>
              <w:textAlignment w:val="auto"/>
              <w:outlineLvl w:val="9"/>
              <w:rPr>
                <w:rFonts w:hint="eastAsia"/>
                <w:vertAlign w:val="baseline"/>
              </w:rPr>
            </w:pPr>
            <w:r>
              <w:rPr>
                <w:rFonts w:hint="eastAsia" w:cs="宋体" w:asciiTheme="minorEastAsia" w:hAnsiTheme="minorEastAsia" w:eastAsiaTheme="minorEastAsia"/>
                <w:kern w:val="2"/>
                <w:szCs w:val="24"/>
              </w:rPr>
              <w:t>包号</w:t>
            </w:r>
          </w:p>
        </w:tc>
        <w:tc>
          <w:tcPr>
            <w:tcW w:w="5566" w:type="dxa"/>
            <w:vAlign w:val="center"/>
          </w:tcPr>
          <w:p>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auto"/>
              <w:jc w:val="center"/>
              <w:textAlignment w:val="auto"/>
              <w:outlineLvl w:val="9"/>
              <w:rPr>
                <w:rFonts w:hint="eastAsia"/>
                <w:vertAlign w:val="baseline"/>
              </w:rPr>
            </w:pPr>
            <w:r>
              <w:rPr>
                <w:rFonts w:hint="eastAsia" w:cs="宋体" w:asciiTheme="minorEastAsia" w:hAnsiTheme="minorEastAsia" w:eastAsiaTheme="minorEastAsia"/>
                <w:kern w:val="2"/>
                <w:szCs w:val="24"/>
              </w:rPr>
              <w:t>包名称</w:t>
            </w:r>
          </w:p>
        </w:tc>
        <w:tc>
          <w:tcPr>
            <w:tcW w:w="1577" w:type="dxa"/>
            <w:vAlign w:val="center"/>
          </w:tcPr>
          <w:p>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auto"/>
              <w:jc w:val="center"/>
              <w:textAlignment w:val="auto"/>
              <w:outlineLvl w:val="9"/>
              <w:rPr>
                <w:rFonts w:hint="eastAsia"/>
                <w:vertAlign w:val="baseline"/>
              </w:rPr>
            </w:pPr>
            <w:r>
              <w:rPr>
                <w:rFonts w:hint="eastAsia" w:cs="宋体" w:asciiTheme="minorEastAsia" w:hAnsiTheme="minorEastAsia" w:eastAsiaTheme="minorEastAsia"/>
                <w:kern w:val="2"/>
                <w:szCs w:val="24"/>
              </w:rPr>
              <w:t>包最高限价万元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202" w:type="dxa"/>
            <w:vAlign w:val="center"/>
          </w:tcPr>
          <w:p>
            <w:pPr>
              <w:pStyle w:val="23"/>
              <w:keepNext w:val="0"/>
              <w:keepLines w:val="0"/>
              <w:pageBreakBefore w:val="0"/>
              <w:shd w:val="clear" w:color="auto" w:fill="FFFFFF"/>
              <w:kinsoku/>
              <w:wordWrap/>
              <w:overflowPunct/>
              <w:topLinePunct w:val="0"/>
              <w:bidi w:val="0"/>
              <w:adjustRightInd w:val="0"/>
              <w:snapToGrid w:val="0"/>
              <w:spacing w:before="0" w:beforeAutospacing="0" w:after="0" w:afterAutospacing="0" w:line="360" w:lineRule="auto"/>
              <w:jc w:val="center"/>
              <w:textAlignment w:val="auto"/>
              <w:outlineLvl w:val="9"/>
              <w:rPr>
                <w:rFonts w:hint="eastAsia"/>
                <w:vertAlign w:val="baseline"/>
              </w:rPr>
            </w:pPr>
            <w:r>
              <w:rPr>
                <w:rFonts w:hint="eastAsia" w:cs="宋体" w:asciiTheme="minorEastAsia" w:hAnsiTheme="minorEastAsia" w:eastAsiaTheme="minorEastAsia"/>
                <w:kern w:val="2"/>
                <w:szCs w:val="24"/>
              </w:rPr>
              <w:t>1</w:t>
            </w:r>
          </w:p>
        </w:tc>
        <w:tc>
          <w:tcPr>
            <w:tcW w:w="5566" w:type="dxa"/>
            <w:vAlign w:val="center"/>
          </w:tcPr>
          <w:p>
            <w:pPr>
              <w:keepNext w:val="0"/>
              <w:keepLines w:val="0"/>
              <w:pageBreakBefore w:val="0"/>
              <w:kinsoku/>
              <w:wordWrap/>
              <w:overflowPunct/>
              <w:topLinePunct w:val="0"/>
              <w:bidi w:val="0"/>
              <w:adjustRightInd w:val="0"/>
              <w:snapToGrid w:val="0"/>
              <w:spacing w:line="360" w:lineRule="auto"/>
              <w:jc w:val="center"/>
              <w:textAlignment w:val="auto"/>
              <w:outlineLvl w:val="9"/>
              <w:rPr>
                <w:rFonts w:hint="eastAsia"/>
                <w:vertAlign w:val="baseline"/>
              </w:rPr>
            </w:pPr>
            <w:r>
              <w:rPr>
                <w:rFonts w:hint="eastAsia"/>
                <w:vertAlign w:val="baseline"/>
              </w:rPr>
              <w:t>周口市林业保护中心2023年古树名木保护项目</w:t>
            </w:r>
          </w:p>
        </w:tc>
        <w:tc>
          <w:tcPr>
            <w:tcW w:w="1577" w:type="dxa"/>
            <w:vAlign w:val="center"/>
          </w:tcPr>
          <w:p>
            <w:pPr>
              <w:keepNext w:val="0"/>
              <w:keepLines w:val="0"/>
              <w:pageBreakBefore w:val="0"/>
              <w:kinsoku/>
              <w:wordWrap/>
              <w:overflowPunct/>
              <w:topLinePunct w:val="0"/>
              <w:bidi w:val="0"/>
              <w:adjustRightInd w:val="0"/>
              <w:snapToGrid w:val="0"/>
              <w:spacing w:line="360" w:lineRule="auto"/>
              <w:jc w:val="center"/>
              <w:textAlignment w:val="auto"/>
              <w:outlineLvl w:val="9"/>
              <w:rPr>
                <w:rFonts w:hint="default" w:eastAsia="宋体"/>
                <w:vertAlign w:val="baseline"/>
                <w:lang w:val="en-US" w:eastAsia="zh-CN"/>
              </w:rPr>
            </w:pPr>
            <w:r>
              <w:rPr>
                <w:rFonts w:hint="eastAsia" w:cs="宋体" w:asciiTheme="minorEastAsia" w:hAnsiTheme="minorEastAsia" w:eastAsiaTheme="minorEastAsia"/>
                <w:sz w:val="24"/>
                <w:lang w:val="en-US" w:eastAsia="zh-CN"/>
              </w:rPr>
              <w:t>105</w:t>
            </w:r>
          </w:p>
        </w:tc>
      </w:tr>
    </w:tbl>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lang w:eastAsia="zh-CN"/>
        </w:rPr>
      </w:pPr>
      <w:r>
        <w:rPr>
          <w:rFonts w:hint="eastAsia" w:asciiTheme="minorEastAsia" w:hAnsiTheme="minorEastAsia" w:eastAsiaTheme="minorEastAsia" w:cstheme="minorEastAsia"/>
          <w:i w:val="0"/>
          <w:iCs w:val="0"/>
          <w:sz w:val="24"/>
          <w:szCs w:val="24"/>
        </w:rPr>
        <w:t>采购需求：（包括但不限于标的的名称、数量、简要技术需求或服务要求等）完成古树名木保护项目涉及的古树复壮和古树保护工作</w:t>
      </w:r>
      <w:r>
        <w:rPr>
          <w:rFonts w:hint="eastAsia" w:asciiTheme="minorEastAsia" w:hAnsiTheme="minorEastAsia" w:eastAsiaTheme="minorEastAsia" w:cstheme="minorEastAsia"/>
          <w:i w:val="0"/>
          <w:iCs w:val="0"/>
          <w:sz w:val="24"/>
          <w:szCs w:val="24"/>
          <w:lang w:eastAsia="zh-CN"/>
        </w:rPr>
        <w:t>；</w:t>
      </w:r>
      <w:r>
        <w:rPr>
          <w:rFonts w:hint="eastAsia" w:asciiTheme="minorEastAsia" w:hAnsiTheme="minorEastAsia" w:eastAsiaTheme="minorEastAsia" w:cstheme="minorEastAsia"/>
          <w:i w:val="0"/>
          <w:iCs w:val="0"/>
          <w:sz w:val="24"/>
          <w:szCs w:val="24"/>
        </w:rPr>
        <w:t>详见磋商文件</w:t>
      </w:r>
      <w:r>
        <w:rPr>
          <w:rFonts w:hint="eastAsia" w:asciiTheme="minorEastAsia" w:hAnsiTheme="minorEastAsia" w:eastAsiaTheme="minorEastAsia" w:cstheme="minorEastAsia"/>
          <w:i w:val="0"/>
          <w:iCs w:val="0"/>
          <w:sz w:val="24"/>
          <w:szCs w:val="24"/>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合同履行期限：合同签订后</w:t>
      </w:r>
      <w:r>
        <w:rPr>
          <w:rFonts w:hint="eastAsia" w:asciiTheme="minorEastAsia" w:hAnsiTheme="minorEastAsia" w:eastAsiaTheme="minorEastAsia" w:cstheme="minorEastAsia"/>
          <w:i w:val="0"/>
          <w:iCs w:val="0"/>
          <w:sz w:val="24"/>
          <w:szCs w:val="24"/>
          <w:highlight w:val="none"/>
          <w:lang w:val="en-US" w:eastAsia="zh-CN"/>
        </w:rPr>
        <w:t>120</w:t>
      </w:r>
      <w:r>
        <w:rPr>
          <w:rFonts w:hint="eastAsia" w:asciiTheme="minorEastAsia" w:hAnsiTheme="minorEastAsia" w:eastAsiaTheme="minorEastAsia" w:cstheme="minorEastAsia"/>
          <w:i w:val="0"/>
          <w:iCs w:val="0"/>
          <w:sz w:val="24"/>
          <w:szCs w:val="24"/>
          <w:highlight w:val="none"/>
        </w:rPr>
        <w:t>日历天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lang w:val="en-US" w:eastAsia="zh-CN"/>
        </w:rPr>
      </w:pPr>
      <w:bookmarkStart w:id="10" w:name="_Toc28359013"/>
      <w:bookmarkStart w:id="11" w:name="_Toc35393630"/>
      <w:bookmarkStart w:id="12" w:name="_Toc35393799"/>
      <w:bookmarkStart w:id="13" w:name="_Toc28359090"/>
      <w:r>
        <w:rPr>
          <w:rFonts w:hint="eastAsia" w:ascii="宋体" w:hAnsi="宋体" w:eastAsia="宋体" w:cs="宋体"/>
          <w:i w:val="0"/>
          <w:iCs w:val="0"/>
          <w:color w:val="auto"/>
          <w:sz w:val="24"/>
          <w:szCs w:val="24"/>
        </w:rPr>
        <w:t>是否接受进口产品：否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本项目是否为只面向中小企业采购：是。采购预留金额 105</w:t>
      </w:r>
      <w:r>
        <w:rPr>
          <w:rFonts w:hint="eastAsia" w:asciiTheme="minorEastAsia" w:hAnsiTheme="minorEastAsia" w:eastAsiaTheme="minorEastAsia" w:cstheme="minorEastAsia"/>
          <w:b w:val="0"/>
          <w:sz w:val="24"/>
          <w:szCs w:val="24"/>
          <w:lang w:val="en-US" w:eastAsia="zh-CN"/>
        </w:rPr>
        <w:t xml:space="preserve"> </w:t>
      </w:r>
      <w:r>
        <w:rPr>
          <w:rFonts w:hint="eastAsia" w:asciiTheme="minorEastAsia" w:hAnsiTheme="minorEastAsia" w:eastAsiaTheme="minorEastAsia" w:cstheme="minorEastAsia"/>
          <w:b w:val="0"/>
          <w:sz w:val="24"/>
          <w:szCs w:val="24"/>
        </w:rPr>
        <w:t>万元 ， 必须提</w:t>
      </w:r>
    </w:p>
    <w:p>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供中小企业声明函。</w:t>
      </w:r>
    </w:p>
    <w:p>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1"/>
        <w:rPr>
          <w:rFonts w:hint="eastAsia" w:asciiTheme="minorEastAsia" w:hAnsiTheme="minorEastAsia" w:eastAsiaTheme="minorEastAsia" w:cstheme="minorEastAsia"/>
          <w:b w:val="0"/>
          <w:sz w:val="24"/>
          <w:szCs w:val="24"/>
        </w:rPr>
      </w:pPr>
      <w:bookmarkStart w:id="14" w:name="_Toc8851"/>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bookmarkEnd w:id="14"/>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（1）具有独立承担民事责任的能力； </w:t>
      </w:r>
    </w:p>
    <w:p>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（2）具有良好的商业信誉和健全的财务会计制度； </w:t>
      </w:r>
    </w:p>
    <w:p>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（3）具有履行合同所必需的设备和专业技术能力； </w:t>
      </w:r>
    </w:p>
    <w:p>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（4）有依法缴纳税收和社会保障资金的良好记录； </w:t>
      </w:r>
    </w:p>
    <w:p>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sz w:val="24"/>
        </w:rPr>
      </w:pPr>
      <w:r>
        <w:rPr>
          <w:rFonts w:hint="eastAsia"/>
          <w:sz w:val="24"/>
        </w:rPr>
        <w:t xml:space="preserve">（5）参加政府采购活动前三年内，在经营活动中没有重大违法记录； </w:t>
      </w:r>
    </w:p>
    <w:p>
      <w:pPr>
        <w:keepNext w:val="0"/>
        <w:keepLines w:val="0"/>
        <w:pageBreakBefore w:val="0"/>
        <w:kinsoku/>
        <w:wordWrap/>
        <w:overflowPunct/>
        <w:topLinePunct w:val="0"/>
        <w:bidi w:val="0"/>
        <w:adjustRightInd w:val="0"/>
        <w:snapToGrid w:val="0"/>
        <w:spacing w:line="360" w:lineRule="auto"/>
        <w:ind w:firstLine="480" w:firstLineChars="200"/>
        <w:textAlignment w:val="auto"/>
        <w:outlineLvl w:val="9"/>
        <w:rPr>
          <w:rFonts w:hint="eastAsia"/>
        </w:rPr>
      </w:pPr>
      <w:r>
        <w:rPr>
          <w:rFonts w:hint="eastAsia"/>
          <w:sz w:val="24"/>
        </w:rPr>
        <w:t xml:space="preserve">（6）法律、行政法规规定的其他条件。 </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Theme="minorEastAsia" w:hAnsiTheme="minorEastAsia" w:eastAsiaTheme="minorEastAsia" w:cstheme="minorEastAsia"/>
          <w:i w:val="0"/>
          <w:iCs w:val="0"/>
          <w:sz w:val="24"/>
          <w:szCs w:val="24"/>
        </w:rPr>
      </w:pPr>
      <w:bookmarkStart w:id="15" w:name="_Toc28359014"/>
      <w:bookmarkStart w:id="16" w:name="_Toc28359091"/>
      <w:r>
        <w:rPr>
          <w:rFonts w:hint="eastAsia" w:asciiTheme="minorEastAsia" w:hAnsiTheme="minorEastAsia" w:eastAsiaTheme="minorEastAsia" w:cstheme="minorEastAsia"/>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rPr>
      </w:pPr>
      <w:r>
        <w:rPr>
          <w:rFonts w:hint="eastAsia" w:asciiTheme="minorEastAsia" w:hAnsiTheme="minorEastAsia" w:eastAsiaTheme="minorEastAsia" w:cstheme="minorEastAsia"/>
          <w:i w:val="0"/>
          <w:iCs w:val="0"/>
          <w:sz w:val="24"/>
          <w:szCs w:val="24"/>
        </w:rPr>
        <w:t>3.本项目的特定资格要求：</w:t>
      </w:r>
      <w:r>
        <w:rPr>
          <w:rFonts w:hint="eastAsia" w:ascii="宋体" w:hAnsi="宋体" w:eastAsia="宋体" w:cs="宋体"/>
          <w:i w:val="0"/>
          <w:iCs w:val="0"/>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9"/>
        <w:rPr>
          <w:rFonts w:hint="eastAsia"/>
        </w:rPr>
      </w:pPr>
    </w:p>
    <w:p>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1"/>
        <w:rPr>
          <w:rFonts w:hint="eastAsia" w:asciiTheme="minorEastAsia" w:hAnsiTheme="minorEastAsia" w:eastAsiaTheme="minorEastAsia" w:cstheme="minorEastAsia"/>
          <w:b w:val="0"/>
          <w:sz w:val="24"/>
          <w:szCs w:val="24"/>
        </w:rPr>
      </w:pPr>
      <w:bookmarkStart w:id="17" w:name="_Toc35393800"/>
      <w:bookmarkStart w:id="18" w:name="_Toc10230"/>
      <w:bookmarkStart w:id="19" w:name="_Toc35393631"/>
      <w:r>
        <w:rPr>
          <w:rFonts w:hint="eastAsia" w:asciiTheme="minorEastAsia" w:hAnsiTheme="minorEastAsia" w:eastAsiaTheme="minorEastAsia" w:cstheme="minorEastAsia"/>
          <w:b w:val="0"/>
          <w:sz w:val="24"/>
          <w:szCs w:val="24"/>
        </w:rPr>
        <w:t>三、获取采购文件</w:t>
      </w:r>
      <w:bookmarkEnd w:id="15"/>
      <w:bookmarkEnd w:id="16"/>
      <w:bookmarkEnd w:id="17"/>
      <w:bookmarkEnd w:id="18"/>
      <w:bookmarkEnd w:id="19"/>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2024</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05</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23</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rPr>
        <w:t xml:space="preserve"> </w:t>
      </w:r>
      <w:r>
        <w:rPr>
          <w:rFonts w:hint="eastAsia" w:asciiTheme="minorEastAsia" w:hAnsiTheme="minorEastAsia" w:eastAsiaTheme="minorEastAsia" w:cstheme="minorEastAsia"/>
          <w:i w:val="0"/>
          <w:iCs w:val="0"/>
          <w:sz w:val="24"/>
          <w:szCs w:val="24"/>
          <w:u w:val="single"/>
          <w:lang w:val="en-US" w:eastAsia="zh-CN"/>
        </w:rPr>
        <w:t>2024</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 xml:space="preserve">05 </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30</w:t>
      </w:r>
      <w:r>
        <w:rPr>
          <w:rFonts w:hint="eastAsia" w:asciiTheme="minorEastAsia" w:hAnsiTheme="minorEastAsia" w:eastAsiaTheme="minorEastAsia" w:cstheme="minorEastAsia"/>
          <w:i w:val="0"/>
          <w:iCs w:val="0"/>
          <w:sz w:val="24"/>
          <w:szCs w:val="24"/>
          <w:u w:val="single"/>
        </w:rPr>
        <w:t>日，每天上午00:00至12:00，下午12:00至23:59</w:t>
      </w:r>
      <w:r>
        <w:rPr>
          <w:rFonts w:hint="eastAsia" w:asciiTheme="minorEastAsia" w:hAnsiTheme="minorEastAsia" w:eastAsiaTheme="minorEastAsia" w:cstheme="minorEastAsia"/>
          <w:i w:val="0"/>
          <w:iCs w:val="0"/>
          <w:sz w:val="24"/>
          <w:szCs w:val="24"/>
        </w:rPr>
        <w:t>（北京时间，法定节假日除外）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outlineLvl w:val="9"/>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1"/>
        <w:rPr>
          <w:rFonts w:hint="eastAsia" w:asciiTheme="minorEastAsia" w:hAnsiTheme="minorEastAsia" w:eastAsiaTheme="minorEastAsia" w:cstheme="minorEastAsia"/>
          <w:b w:val="0"/>
          <w:sz w:val="24"/>
          <w:szCs w:val="24"/>
        </w:rPr>
      </w:pPr>
      <w:bookmarkStart w:id="20" w:name="_Toc35393632"/>
      <w:bookmarkStart w:id="21" w:name="_Toc28359092"/>
      <w:bookmarkStart w:id="22" w:name="_Toc28359015"/>
      <w:bookmarkStart w:id="23" w:name="_Toc35393801"/>
      <w:bookmarkStart w:id="24" w:name="_Toc4900"/>
      <w:r>
        <w:rPr>
          <w:rFonts w:hint="eastAsia" w:asciiTheme="minorEastAsia" w:hAnsiTheme="minorEastAsia" w:eastAsiaTheme="minorEastAsia" w:cstheme="minorEastAsia"/>
          <w:b w:val="0"/>
          <w:sz w:val="24"/>
          <w:szCs w:val="24"/>
        </w:rPr>
        <w:t>四、响应文件提交</w:t>
      </w:r>
      <w:bookmarkEnd w:id="20"/>
      <w:bookmarkEnd w:id="21"/>
      <w:bookmarkEnd w:id="22"/>
      <w:bookmarkEnd w:id="23"/>
      <w:bookmarkEnd w:id="24"/>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2024</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06</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03</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1"/>
        <w:rPr>
          <w:rFonts w:hint="eastAsia" w:asciiTheme="minorEastAsia" w:hAnsiTheme="minorEastAsia" w:eastAsiaTheme="minorEastAsia" w:cstheme="minorEastAsia"/>
          <w:b w:val="0"/>
          <w:i w:val="0"/>
          <w:iCs w:val="0"/>
          <w:sz w:val="24"/>
          <w:szCs w:val="24"/>
        </w:rPr>
      </w:pPr>
      <w:bookmarkStart w:id="25" w:name="_Toc28359016"/>
      <w:bookmarkStart w:id="26" w:name="_Toc7559"/>
      <w:bookmarkStart w:id="27" w:name="_Toc35393633"/>
      <w:bookmarkStart w:id="28" w:name="_Toc35393802"/>
      <w:bookmarkStart w:id="29" w:name="_Toc28359093"/>
      <w:r>
        <w:rPr>
          <w:rFonts w:hint="eastAsia" w:asciiTheme="minorEastAsia" w:hAnsiTheme="minorEastAsia" w:eastAsiaTheme="minorEastAsia" w:cstheme="minorEastAsia"/>
          <w:b w:val="0"/>
          <w:i w:val="0"/>
          <w:iCs w:val="0"/>
          <w:sz w:val="24"/>
          <w:szCs w:val="24"/>
        </w:rPr>
        <w:t>五、开启（竞争性磋商方式必须填写）</w:t>
      </w:r>
      <w:bookmarkEnd w:id="25"/>
      <w:bookmarkEnd w:id="26"/>
      <w:bookmarkEnd w:id="27"/>
      <w:bookmarkEnd w:id="28"/>
      <w:bookmarkEnd w:id="2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2024</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06</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03</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outlineLvl w:val="9"/>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1"/>
        <w:rPr>
          <w:rFonts w:hint="eastAsia" w:asciiTheme="minorEastAsia" w:hAnsiTheme="minorEastAsia" w:eastAsiaTheme="minorEastAsia" w:cstheme="minorEastAsia"/>
          <w:b w:val="0"/>
          <w:sz w:val="24"/>
          <w:szCs w:val="24"/>
        </w:rPr>
      </w:pPr>
      <w:bookmarkStart w:id="30" w:name="_Toc8394"/>
      <w:bookmarkStart w:id="31" w:name="_Toc28359017"/>
      <w:bookmarkStart w:id="32" w:name="_Toc35393803"/>
      <w:bookmarkStart w:id="33" w:name="_Toc28359094"/>
      <w:bookmarkStart w:id="34" w:name="_Toc35393634"/>
      <w:r>
        <w:rPr>
          <w:rFonts w:hint="eastAsia" w:asciiTheme="minorEastAsia" w:hAnsiTheme="minorEastAsia" w:eastAsiaTheme="minorEastAsia" w:cstheme="minorEastAsia"/>
          <w:b w:val="0"/>
          <w:sz w:val="24"/>
          <w:szCs w:val="24"/>
        </w:rPr>
        <w:t>六、公告期限</w:t>
      </w:r>
      <w:bookmarkEnd w:id="30"/>
      <w:bookmarkEnd w:id="31"/>
      <w:bookmarkEnd w:id="32"/>
      <w:bookmarkEnd w:id="33"/>
      <w:bookmarkEnd w:id="34"/>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sz w:val="24"/>
          <w:szCs w:val="24"/>
        </w:rPr>
      </w:pPr>
      <w:bookmarkStart w:id="35" w:name="_Toc35393635"/>
      <w:bookmarkStart w:id="36" w:name="_Toc35393804"/>
      <w:r>
        <w:rPr>
          <w:rFonts w:hint="eastAsia" w:asciiTheme="minorEastAsia" w:hAnsiTheme="minorEastAsia" w:eastAsiaTheme="minorEastAsia" w:cstheme="minorEastAsia"/>
          <w:b w:val="0"/>
          <w:sz w:val="24"/>
          <w:szCs w:val="24"/>
        </w:rPr>
        <w:t>七、其他补充事宜</w:t>
      </w:r>
      <w:bookmarkEnd w:id="35"/>
      <w:bookmarkEnd w:id="36"/>
    </w:p>
    <w:p>
      <w:pPr>
        <w:keepNext w:val="0"/>
        <w:keepLines w:val="0"/>
        <w:pageBreakBefore w:val="0"/>
        <w:widowControl w:val="0"/>
        <w:kinsoku/>
        <w:wordWrap/>
        <w:overflowPunct/>
        <w:topLinePunct w:val="0"/>
        <w:autoSpaceDE w:val="0"/>
        <w:autoSpaceDN w:val="0"/>
        <w:bidi w:val="0"/>
        <w:adjustRightInd/>
        <w:snapToGrid/>
        <w:spacing w:line="360" w:lineRule="auto"/>
        <w:jc w:val="left"/>
        <w:textAlignment w:val="auto"/>
        <w:outlineLvl w:val="9"/>
        <w:rPr>
          <w:rFonts w:hint="eastAsia" w:asciiTheme="minorEastAsia" w:hAnsiTheme="minorEastAsia" w:eastAsiaTheme="minorEastAsia" w:cstheme="minorEastAsia"/>
          <w:b w:val="0"/>
          <w:sz w:val="24"/>
          <w:szCs w:val="24"/>
        </w:rPr>
      </w:pPr>
      <w:bookmarkStart w:id="37" w:name="_Toc35393636"/>
      <w:bookmarkStart w:id="38" w:name="_Toc28359018"/>
      <w:bookmarkStart w:id="39" w:name="_Toc35393805"/>
      <w:bookmarkStart w:id="40" w:name="_Toc28359095"/>
      <w:r>
        <w:rPr>
          <w:rFonts w:hint="eastAsia" w:asciiTheme="minorEastAsia" w:hAnsiTheme="minorEastAsia" w:eastAsiaTheme="minorEastAsia" w:cstheme="minorEastAsia"/>
          <w:b w:val="0"/>
          <w:sz w:val="24"/>
          <w:szCs w:val="24"/>
        </w:rPr>
        <w:t>八、凡对本次采购提出询问，请按以下方式联系。</w:t>
      </w:r>
      <w:bookmarkEnd w:id="37"/>
      <w:bookmarkEnd w:id="38"/>
      <w:bookmarkEnd w:id="39"/>
      <w:bookmarkEnd w:id="4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称：周口市林业保护中心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rPr>
      </w:pPr>
      <w:r>
        <w:rPr>
          <w:rFonts w:hint="eastAsia" w:ascii="宋体" w:hAnsi="宋体" w:eastAsia="宋体" w:cs="宋体"/>
          <w:i w:val="0"/>
          <w:iCs w:val="0"/>
          <w:sz w:val="24"/>
          <w:szCs w:val="24"/>
        </w:rPr>
        <w:t>地</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rPr>
        <w:t>址：周口市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项目联系人：陈宏义</w:t>
      </w:r>
      <w:r>
        <w:rPr>
          <w:rFonts w:hint="eastAsia" w:ascii="宋体" w:hAnsi="宋体" w:eastAsia="宋体" w:cs="宋体"/>
          <w:i w:val="0"/>
          <w:iCs w:val="0"/>
          <w:sz w:val="24"/>
          <w:szCs w:val="24"/>
          <w:lang w:val="en-US" w:eastAsia="zh-CN"/>
        </w:rPr>
        <w:t xml:space="preserve">  </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rPr>
        <w:t xml:space="preserve">联系方式：19103942236　　　　　　　　　　　 </w:t>
      </w:r>
      <w:bookmarkStart w:id="41" w:name="_Toc28359086"/>
      <w:bookmarkStart w:id="42" w:name="_Toc2835900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41"/>
      <w:bookmarkEnd w:id="4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rPr>
      </w:pPr>
      <w:r>
        <w:rPr>
          <w:rFonts w:hint="eastAsia" w:ascii="宋体" w:hAnsi="宋体" w:eastAsia="宋体" w:cs="宋体"/>
          <w:i w:val="0"/>
          <w:iCs w:val="0"/>
          <w:sz w:val="24"/>
          <w:szCs w:val="24"/>
        </w:rPr>
        <w:t>名 称：周口市公共资源交易中心政府采购中心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曹晨阳</w:t>
      </w:r>
      <w:r>
        <w:rPr>
          <w:rFonts w:hint="eastAsia" w:ascii="宋体" w:hAnsi="宋体" w:eastAsia="宋体" w:cs="宋体"/>
          <w:i w:val="0"/>
          <w:iCs w:val="0"/>
          <w:sz w:val="24"/>
          <w:szCs w:val="24"/>
          <w:lang w:val="en-US" w:eastAsia="zh-CN"/>
        </w:rPr>
        <w:t xml:space="preserve">   </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43" w:name="_Toc28359010"/>
      <w:bookmarkStart w:id="44" w:name="_Toc28359087"/>
      <w:r>
        <w:rPr>
          <w:rFonts w:hint="eastAsia" w:ascii="宋体" w:hAnsi="宋体" w:cs="宋体"/>
          <w:i w:val="0"/>
          <w:iCs w:val="0"/>
          <w:sz w:val="24"/>
          <w:szCs w:val="24"/>
          <w:lang w:val="en-US" w:eastAsia="zh-CN"/>
        </w:rPr>
        <w:t>0394-8106517</w:t>
      </w:r>
      <w:r>
        <w:rPr>
          <w:rFonts w:hint="eastAsia" w:ascii="宋体" w:hAnsi="宋体" w:eastAsia="宋体" w:cs="宋体"/>
          <w:i w:val="0"/>
          <w:iCs w:val="0"/>
          <w:sz w:val="24"/>
          <w:szCs w:val="24"/>
        </w:rPr>
        <w:t>　　　　　　　　</w:t>
      </w:r>
    </w:p>
    <w:bookmarkEnd w:id="43"/>
    <w:bookmarkEnd w:id="44"/>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3.监督单位：周口市财政局政府采购监督管理科</w:t>
      </w:r>
    </w:p>
    <w:p>
      <w:pPr>
        <w:pStyle w:val="35"/>
        <w:keepNext w:val="0"/>
        <w:keepLines w:val="0"/>
        <w:pageBreakBefore w:val="0"/>
        <w:kinsoku/>
        <w:wordWrap/>
        <w:overflowPunct/>
        <w:topLinePunct w:val="0"/>
        <w:bidi w:val="0"/>
        <w:spacing w:line="360" w:lineRule="auto"/>
        <w:ind w:firstLine="720" w:firstLineChars="300"/>
        <w:textAlignment w:val="auto"/>
        <w:outlineLvl w:val="9"/>
        <w:rPr>
          <w:rFonts w:hint="default"/>
          <w:lang w:val="en-US" w:eastAsia="zh-CN"/>
        </w:rPr>
      </w:pP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lang w:val="en-US" w:eastAsia="zh-CN"/>
        </w:rPr>
        <w:t xml:space="preserve">0394-8319709 </w:t>
      </w:r>
    </w:p>
    <w:p>
      <w:pPr>
        <w:pStyle w:val="35"/>
        <w:numPr>
          <w:ilvl w:val="0"/>
          <w:numId w:val="0"/>
        </w:numPr>
        <w:spacing w:line="360" w:lineRule="auto"/>
        <w:outlineLvl w:val="9"/>
        <w:rPr>
          <w:rFonts w:hint="default"/>
          <w:lang w:val="en-US" w:eastAsia="zh-CN"/>
        </w:rPr>
      </w:pPr>
    </w:p>
    <w:p>
      <w:pPr>
        <w:pStyle w:val="2"/>
        <w:adjustRightInd w:val="0"/>
        <w:snapToGrid w:val="0"/>
        <w:spacing w:line="360" w:lineRule="auto"/>
        <w:ind w:firstLine="2040" w:firstLineChars="850"/>
        <w:jc w:val="right"/>
        <w:outlineLvl w:val="9"/>
        <w:rPr>
          <w:rFonts w:hint="eastAsia" w:ascii="宋体" w:hAnsi="宋体" w:eastAsia="宋体" w:cs="宋体"/>
          <w:sz w:val="24"/>
          <w:szCs w:val="24"/>
          <w:lang w:eastAsia="zh-CN"/>
        </w:rPr>
      </w:pPr>
      <w:bookmarkStart w:id="45" w:name="_Toc23851"/>
      <w:r>
        <w:rPr>
          <w:rFonts w:hint="eastAsia" w:ascii="宋体" w:hAnsi="宋体" w:eastAsia="宋体" w:cs="宋体"/>
          <w:sz w:val="24"/>
          <w:szCs w:val="24"/>
        </w:rPr>
        <w:t>周口市公共资源交易中心政府采购中心</w:t>
      </w:r>
      <w:bookmarkEnd w:id="45"/>
    </w:p>
    <w:p>
      <w:pPr>
        <w:pStyle w:val="20"/>
        <w:adjustRightInd w:val="0"/>
        <w:spacing w:line="360" w:lineRule="auto"/>
        <w:ind w:firstLine="3360" w:firstLineChars="1400"/>
        <w:jc w:val="right"/>
        <w:outlineLvl w:val="9"/>
        <w:rPr>
          <w:rFonts w:hint="eastAsia" w:ascii="宋体" w:hAnsi="宋体" w:eastAsia="宋体" w:cs="宋体"/>
        </w:rPr>
      </w:pPr>
      <w:r>
        <w:rPr>
          <w:rFonts w:hint="eastAsia" w:ascii="宋体" w:hAnsi="宋体" w:cs="宋体"/>
          <w:sz w:val="24"/>
          <w:szCs w:val="24"/>
          <w:lang w:val="en-US" w:eastAsia="zh-CN"/>
        </w:rPr>
        <w:t>2024</w:t>
      </w:r>
      <w:r>
        <w:rPr>
          <w:rFonts w:hint="eastAsia" w:ascii="宋体" w:hAnsi="宋体" w:eastAsia="宋体" w:cs="宋体"/>
          <w:sz w:val="24"/>
          <w:szCs w:val="24"/>
        </w:rPr>
        <w:t>年</w:t>
      </w:r>
      <w:r>
        <w:rPr>
          <w:rFonts w:hint="eastAsia" w:ascii="宋体" w:hAnsi="宋体" w:cs="宋体"/>
          <w:color w:val="000000"/>
          <w:sz w:val="24"/>
          <w:szCs w:val="24"/>
          <w:lang w:val="en-US" w:eastAsia="zh-CN"/>
        </w:rPr>
        <w:t>05</w:t>
      </w:r>
      <w:r>
        <w:rPr>
          <w:rFonts w:hint="eastAsia" w:ascii="宋体" w:hAnsi="宋体" w:eastAsia="宋体" w:cs="宋体"/>
          <w:sz w:val="24"/>
          <w:szCs w:val="24"/>
        </w:rPr>
        <w:t>月</w:t>
      </w:r>
      <w:r>
        <w:rPr>
          <w:rFonts w:hint="eastAsia" w:ascii="宋体" w:hAnsi="宋体" w:cs="宋体"/>
          <w:sz w:val="24"/>
          <w:szCs w:val="24"/>
          <w:lang w:val="en-US" w:eastAsia="zh-CN"/>
        </w:rPr>
        <w:t>23</w:t>
      </w:r>
      <w:bookmarkStart w:id="70" w:name="_GoBack"/>
      <w:bookmarkEnd w:id="70"/>
      <w:r>
        <w:rPr>
          <w:rFonts w:hint="eastAsia" w:ascii="宋体" w:hAnsi="宋体" w:eastAsia="宋体" w:cs="宋体"/>
          <w:sz w:val="24"/>
          <w:szCs w:val="24"/>
        </w:rPr>
        <w:t>日</w:t>
      </w:r>
      <w:r>
        <w:rPr>
          <w:rFonts w:hint="eastAsia" w:ascii="宋体" w:hAnsi="宋体" w:eastAsia="宋体" w:cs="宋体"/>
          <w:i w:val="0"/>
          <w:iCs w:val="0"/>
          <w:sz w:val="24"/>
          <w:szCs w:val="24"/>
        </w:rPr>
        <w:t>　　</w:t>
      </w:r>
    </w:p>
    <w:p>
      <w:pPr>
        <w:pStyle w:val="25"/>
        <w:adjustRightInd w:val="0"/>
        <w:snapToGrid w:val="0"/>
        <w:spacing w:line="360" w:lineRule="auto"/>
        <w:ind w:firstLine="0" w:firstLineChars="0"/>
      </w:pPr>
    </w:p>
    <w:p>
      <w:pPr>
        <w:pStyle w:val="25"/>
        <w:ind w:firstLine="0" w:firstLineChars="0"/>
      </w:pPr>
    </w:p>
    <w:p>
      <w:pPr>
        <w:jc w:val="center"/>
        <w:outlineLvl w:val="0"/>
        <w:rPr>
          <w:rFonts w:ascii="宋体" w:hAnsi="宋体" w:cs="宋体"/>
          <w:b/>
          <w:sz w:val="32"/>
          <w:szCs w:val="32"/>
        </w:rPr>
      </w:pPr>
      <w:r>
        <w:rPr>
          <w:rFonts w:ascii="宋体" w:hAnsi="宋体" w:cs="宋体"/>
          <w:b/>
          <w:sz w:val="32"/>
          <w:szCs w:val="32"/>
        </w:rPr>
        <w:br w:type="page"/>
      </w:r>
      <w:bookmarkStart w:id="46" w:name="_Toc3387"/>
      <w:r>
        <w:rPr>
          <w:rFonts w:hint="eastAsia" w:ascii="宋体" w:hAnsi="宋体" w:cs="宋体"/>
          <w:b/>
          <w:sz w:val="32"/>
          <w:szCs w:val="32"/>
        </w:rPr>
        <w:t>第二章    供应商须知</w:t>
      </w:r>
      <w:bookmarkEnd w:id="46"/>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ascii="宋体" w:hAnsi="宋体"/>
                <w:szCs w:val="21"/>
              </w:rPr>
            </w:pPr>
            <w:r>
              <w:rPr>
                <w:rFonts w:hint="eastAsia" w:ascii="宋体" w:hAnsi="宋体" w:cs="楷体_GB2312"/>
                <w:sz w:val="32"/>
                <w:szCs w:val="32"/>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Lines="50"/>
              <w:jc w:val="center"/>
              <w:rPr>
                <w:rFonts w:ascii="宋体" w:hAnsi="宋体" w:cs="宋体"/>
                <w:sz w:val="24"/>
              </w:rPr>
            </w:pPr>
            <w:r>
              <w:rPr>
                <w:rFonts w:hint="eastAsia" w:ascii="宋体" w:hAnsi="宋体" w:cs="宋体"/>
                <w:sz w:val="24"/>
              </w:rPr>
              <w:t>序号</w:t>
            </w:r>
          </w:p>
        </w:tc>
        <w:tc>
          <w:tcPr>
            <w:tcW w:w="1995" w:type="dxa"/>
            <w:vAlign w:val="center"/>
          </w:tcPr>
          <w:p>
            <w:pPr>
              <w:spacing w:beforeLines="50"/>
              <w:jc w:val="center"/>
              <w:rPr>
                <w:rFonts w:ascii="宋体" w:hAnsi="宋体" w:cs="宋体"/>
                <w:sz w:val="24"/>
              </w:rPr>
            </w:pPr>
            <w:r>
              <w:rPr>
                <w:rFonts w:hint="eastAsia" w:ascii="宋体" w:hAnsi="宋体" w:cs="宋体"/>
                <w:sz w:val="24"/>
              </w:rPr>
              <w:t>条款</w:t>
            </w:r>
          </w:p>
        </w:tc>
        <w:tc>
          <w:tcPr>
            <w:tcW w:w="6615" w:type="dxa"/>
            <w:vAlign w:val="center"/>
          </w:tcPr>
          <w:p>
            <w:pPr>
              <w:rPr>
                <w:rFonts w:ascii="宋体" w:hAnsi="宋体" w:cs="宋体"/>
                <w:sz w:val="24"/>
              </w:rPr>
            </w:pPr>
            <w:r>
              <w:rPr>
                <w:rFonts w:hint="eastAsia" w:ascii="宋体" w:hAnsi="宋体" w:cs="宋体"/>
                <w:sz w:val="24"/>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jc w:val="center"/>
              <w:rPr>
                <w:rFonts w:ascii="宋体" w:hAnsi="宋体" w:cs="宋体"/>
                <w:sz w:val="24"/>
              </w:rPr>
            </w:pPr>
            <w:r>
              <w:rPr>
                <w:rFonts w:hint="eastAsia" w:ascii="宋体" w:hAnsi="宋体" w:cs="宋体"/>
                <w:sz w:val="24"/>
              </w:rPr>
              <w:t>项目概况</w:t>
            </w:r>
          </w:p>
        </w:tc>
        <w:tc>
          <w:tcPr>
            <w:tcW w:w="6615" w:type="dxa"/>
            <w:vAlign w:val="center"/>
          </w:tcPr>
          <w:p>
            <w:pPr>
              <w:rPr>
                <w:rFonts w:ascii="宋体" w:hAnsi="宋体" w:cs="宋体"/>
                <w:color w:val="000000"/>
                <w:sz w:val="24"/>
              </w:rPr>
            </w:pPr>
            <w:r>
              <w:rPr>
                <w:rFonts w:hint="eastAsia" w:ascii="宋体" w:hAnsi="宋体" w:cs="宋体"/>
                <w:color w:val="000000"/>
                <w:sz w:val="24"/>
              </w:rPr>
              <w:t>项目名称：周口市林业保护中心2023年古树名木保护项目</w:t>
            </w:r>
          </w:p>
          <w:p>
            <w:pPr>
              <w:rPr>
                <w:rFonts w:ascii="宋体" w:hAnsi="宋体" w:cs="宋体"/>
                <w:color w:val="000000"/>
                <w:sz w:val="24"/>
              </w:rPr>
            </w:pPr>
            <w:r>
              <w:rPr>
                <w:rFonts w:hint="eastAsia" w:ascii="宋体" w:hAnsi="宋体" w:cs="宋体"/>
                <w:color w:val="000000"/>
                <w:sz w:val="24"/>
              </w:rPr>
              <w:t>采购内容：周口市林业保护中心2023年古树名木保护项目</w:t>
            </w:r>
          </w:p>
          <w:p>
            <w:pPr>
              <w:rPr>
                <w:rFonts w:ascii="宋体" w:hAnsi="宋体" w:cs="宋体"/>
                <w:color w:val="000000"/>
                <w:sz w:val="24"/>
              </w:rPr>
            </w:pPr>
            <w:r>
              <w:rPr>
                <w:rFonts w:hint="eastAsia" w:ascii="宋体" w:hAnsi="宋体" w:cs="宋体"/>
                <w:color w:val="000000"/>
                <w:sz w:val="24"/>
              </w:rPr>
              <w:t>采购人：周口市林业保护中心</w:t>
            </w:r>
          </w:p>
          <w:p>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1"/>
              </w:numPr>
              <w:spacing w:beforeLines="50"/>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pPr>
              <w:snapToGrid w:val="0"/>
              <w:rPr>
                <w:rFonts w:ascii="宋体" w:hAnsi="宋体" w:cs="宋体"/>
                <w:sz w:val="24"/>
              </w:rPr>
            </w:pPr>
            <w:r>
              <w:rPr>
                <w:rFonts w:hint="eastAsia" w:ascii="宋体" w:hAnsi="宋体" w:cs="宋体"/>
                <w:sz w:val="24"/>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Lines="50"/>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pPr>
              <w:rPr>
                <w:rFonts w:ascii="宋体" w:hAnsi="宋体" w:cs="宋体"/>
                <w:sz w:val="24"/>
              </w:rPr>
            </w:pPr>
            <w:r>
              <w:rPr>
                <w:rFonts w:hint="eastAsia" w:ascii="宋体" w:hAnsi="宋体" w:cs="宋体"/>
                <w:sz w:val="24"/>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b/>
                <w:bCs/>
                <w:color w:val="auto"/>
                <w:sz w:val="24"/>
              </w:rPr>
            </w:pPr>
            <w:r>
              <w:rPr>
                <w:rFonts w:hint="eastAsia" w:ascii="宋体" w:hAnsi="宋体" w:cs="宋体"/>
                <w:b/>
                <w:bCs/>
                <w:color w:val="auto"/>
                <w:sz w:val="24"/>
              </w:rPr>
              <w:t>响应文件有效期</w:t>
            </w:r>
          </w:p>
        </w:tc>
        <w:tc>
          <w:tcPr>
            <w:tcW w:w="6615" w:type="dxa"/>
            <w:vAlign w:val="center"/>
          </w:tcPr>
          <w:p>
            <w:pPr>
              <w:rPr>
                <w:rFonts w:ascii="宋体" w:hAnsi="宋体" w:cs="宋体"/>
                <w:b/>
                <w:bCs/>
                <w:color w:val="auto"/>
                <w:sz w:val="24"/>
              </w:rPr>
            </w:pPr>
            <w:r>
              <w:rPr>
                <w:rFonts w:hint="eastAsia" w:ascii="宋体" w:hAnsi="宋体" w:cs="宋体"/>
                <w:b/>
                <w:bCs/>
                <w:color w:val="auto"/>
                <w:sz w:val="24"/>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pPr>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pPr>
              <w:ind w:firstLine="480" w:firstLineChars="200"/>
              <w:rPr>
                <w:rFonts w:ascii="宋体" w:hAnsi="宋体" w:cs="宋体"/>
                <w:sz w:val="24"/>
              </w:rPr>
            </w:pPr>
            <w:r>
              <w:rPr>
                <w:rFonts w:hint="eastAsia" w:ascii="宋体" w:hAnsi="宋体" w:cs="宋体"/>
                <w:sz w:val="24"/>
                <w:lang w:val="en-US" w:eastAsia="zh-CN"/>
              </w:rPr>
              <w:t>详见竞争性</w:t>
            </w:r>
            <w:r>
              <w:rPr>
                <w:rFonts w:hint="eastAsia" w:ascii="宋体" w:hAnsi="宋体" w:cs="宋体"/>
                <w:sz w:val="24"/>
              </w:rPr>
              <w:t xml:space="preserve">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pPr>
              <w:tabs>
                <w:tab w:val="left" w:pos="8640"/>
              </w:tabs>
              <w:ind w:left="-2" w:leftChars="-1" w:firstLine="240" w:firstLineChars="100"/>
              <w:rPr>
                <w:rFonts w:ascii="宋体" w:hAnsi="宋体" w:cs="宋体"/>
                <w:sz w:val="24"/>
              </w:rPr>
            </w:pPr>
            <w:r>
              <w:rPr>
                <w:rFonts w:hint="eastAsia" w:ascii="宋体" w:hAnsi="宋体" w:cs="宋体"/>
                <w:sz w:val="24"/>
              </w:rPr>
              <w:t>详见竞争性磋商公告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pPr>
              <w:tabs>
                <w:tab w:val="left" w:pos="8640"/>
              </w:tabs>
              <w:rPr>
                <w:rFonts w:ascii="宋体" w:hAnsi="宋体" w:cs="宋体"/>
                <w:sz w:val="24"/>
              </w:rPr>
            </w:pPr>
            <w:r>
              <w:rPr>
                <w:rFonts w:hint="eastAsia" w:ascii="宋体" w:hAnsi="宋体" w:cs="宋体"/>
                <w:sz w:val="24"/>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Lines="50"/>
              <w:jc w:val="center"/>
              <w:rPr>
                <w:rFonts w:ascii="宋体" w:hAnsi="宋体" w:cs="宋体"/>
                <w:sz w:val="24"/>
              </w:rPr>
            </w:pPr>
          </w:p>
        </w:tc>
        <w:tc>
          <w:tcPr>
            <w:tcW w:w="1995" w:type="dxa"/>
            <w:vAlign w:val="center"/>
          </w:tcPr>
          <w:p>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1"/>
              </w:numPr>
              <w:spacing w:beforeLines="50"/>
              <w:jc w:val="center"/>
              <w:rPr>
                <w:rFonts w:ascii="宋体" w:hAnsi="宋体" w:cs="宋体"/>
                <w:sz w:val="24"/>
                <w:highlight w:val="none"/>
              </w:rPr>
            </w:pPr>
          </w:p>
        </w:tc>
        <w:tc>
          <w:tcPr>
            <w:tcW w:w="1995" w:type="dxa"/>
            <w:vAlign w:val="center"/>
          </w:tcPr>
          <w:p>
            <w:pPr>
              <w:spacing w:line="360" w:lineRule="auto"/>
              <w:jc w:val="center"/>
              <w:rPr>
                <w:rFonts w:hint="eastAsia" w:ascii="宋体" w:hAnsi="宋体" w:cs="宋体"/>
                <w:b/>
                <w:bCs/>
                <w:sz w:val="24"/>
                <w:highlight w:val="none"/>
              </w:rPr>
            </w:pPr>
            <w:r>
              <w:rPr>
                <w:rFonts w:hint="eastAsia" w:ascii="宋体" w:hAnsi="宋体" w:cs="宋体"/>
                <w:b/>
                <w:bCs/>
                <w:sz w:val="24"/>
                <w:highlight w:val="none"/>
              </w:rPr>
              <w:t>服务期限</w:t>
            </w:r>
          </w:p>
          <w:p>
            <w:pPr>
              <w:spacing w:line="360" w:lineRule="auto"/>
              <w:jc w:val="center"/>
              <w:rPr>
                <w:rFonts w:hint="default" w:ascii="宋体" w:hAnsi="宋体" w:eastAsia="宋体" w:cs="宋体"/>
                <w:b/>
                <w:bCs/>
                <w:sz w:val="24"/>
                <w:highlight w:val="none"/>
                <w:lang w:val="en-US" w:eastAsia="zh-CN"/>
              </w:rPr>
            </w:pPr>
            <w:r>
              <w:rPr>
                <w:rFonts w:hint="eastAsia" w:ascii="宋体" w:hAnsi="宋体" w:cs="宋体"/>
                <w:b/>
                <w:bCs/>
                <w:sz w:val="24"/>
                <w:highlight w:val="none"/>
                <w:lang w:eastAsia="zh-CN"/>
              </w:rPr>
              <w:t>（</w:t>
            </w:r>
            <w:r>
              <w:rPr>
                <w:rFonts w:hint="eastAsia" w:ascii="宋体" w:hAnsi="宋体" w:cs="宋体"/>
                <w:b/>
                <w:bCs/>
                <w:sz w:val="24"/>
                <w:highlight w:val="none"/>
                <w:lang w:val="en-US" w:eastAsia="zh-CN"/>
              </w:rPr>
              <w:t>实施期）</w:t>
            </w:r>
          </w:p>
        </w:tc>
        <w:tc>
          <w:tcPr>
            <w:tcW w:w="6615" w:type="dxa"/>
            <w:vAlign w:val="center"/>
          </w:tcPr>
          <w:p>
            <w:pPr>
              <w:spacing w:line="360" w:lineRule="auto"/>
              <w:jc w:val="left"/>
              <w:rPr>
                <w:rFonts w:ascii="宋体" w:hAnsi="宋体" w:cs="宋体"/>
                <w:b/>
                <w:bCs/>
                <w:sz w:val="24"/>
                <w:highlight w:val="none"/>
              </w:rPr>
            </w:pPr>
            <w:r>
              <w:rPr>
                <w:rFonts w:hint="eastAsia" w:ascii="宋体" w:hAnsi="宋体" w:cs="宋体"/>
                <w:b/>
                <w:bCs/>
                <w:sz w:val="24"/>
                <w:highlight w:val="none"/>
              </w:rPr>
              <w:t>合同签订后</w:t>
            </w:r>
            <w:r>
              <w:rPr>
                <w:rFonts w:hint="eastAsia" w:ascii="宋体" w:hAnsi="宋体" w:cs="宋体"/>
                <w:b/>
                <w:bCs/>
                <w:sz w:val="24"/>
                <w:highlight w:val="none"/>
                <w:lang w:val="en-US" w:eastAsia="zh-CN"/>
              </w:rPr>
              <w:t>120</w:t>
            </w:r>
            <w:r>
              <w:rPr>
                <w:rFonts w:hint="eastAsia" w:ascii="宋体" w:hAnsi="宋体" w:cs="宋体"/>
                <w:b/>
                <w:bCs/>
                <w:sz w:val="24"/>
                <w:highlight w:val="none"/>
              </w:rPr>
              <w:t>日历天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1"/>
              </w:numPr>
              <w:spacing w:beforeLines="50"/>
              <w:jc w:val="center"/>
              <w:rPr>
                <w:rFonts w:ascii="宋体" w:hAnsi="宋体" w:cs="宋体"/>
                <w:sz w:val="24"/>
                <w:highlight w:val="none"/>
              </w:rPr>
            </w:pPr>
          </w:p>
        </w:tc>
        <w:tc>
          <w:tcPr>
            <w:tcW w:w="1995" w:type="dxa"/>
            <w:vAlign w:val="center"/>
          </w:tcPr>
          <w:p>
            <w:pPr>
              <w:spacing w:beforeLines="50" w:line="360" w:lineRule="auto"/>
              <w:ind w:firstLine="14" w:firstLineChars="6"/>
              <w:jc w:val="center"/>
              <w:rPr>
                <w:rFonts w:ascii="宋体" w:hAnsi="宋体" w:cs="宋体"/>
                <w:b/>
                <w:bCs/>
                <w:sz w:val="24"/>
                <w:highlight w:val="none"/>
              </w:rPr>
            </w:pPr>
            <w:r>
              <w:rPr>
                <w:rFonts w:hint="eastAsia" w:ascii="宋体" w:hAnsi="宋体" w:cs="宋体"/>
                <w:b/>
                <w:bCs/>
                <w:sz w:val="24"/>
                <w:highlight w:val="none"/>
              </w:rPr>
              <w:t>付款方式</w:t>
            </w:r>
          </w:p>
        </w:tc>
        <w:tc>
          <w:tcPr>
            <w:tcW w:w="6615" w:type="dxa"/>
            <w:vAlign w:val="center"/>
          </w:tcPr>
          <w:p>
            <w:pPr>
              <w:tabs>
                <w:tab w:val="left" w:pos="8640"/>
              </w:tabs>
              <w:spacing w:line="360" w:lineRule="auto"/>
              <w:jc w:val="left"/>
              <w:rPr>
                <w:rFonts w:ascii="宋体" w:hAnsi="宋体" w:cs="宋体"/>
                <w:b/>
                <w:bCs/>
                <w:sz w:val="24"/>
                <w:highlight w:val="none"/>
              </w:rPr>
            </w:pPr>
            <w:r>
              <w:rPr>
                <w:rFonts w:hint="eastAsia" w:ascii="宋体" w:hAnsi="宋体" w:cs="宋体"/>
                <w:b/>
                <w:bCs/>
                <w:color w:val="auto"/>
                <w:sz w:val="24"/>
                <w:highlight w:val="none"/>
              </w:rPr>
              <w:t>项目进场支付合同总价</w:t>
            </w:r>
            <w:r>
              <w:rPr>
                <w:rFonts w:hint="eastAsia" w:ascii="宋体" w:hAnsi="宋体" w:cs="宋体"/>
                <w:b/>
                <w:bCs/>
                <w:color w:val="auto"/>
                <w:sz w:val="24"/>
                <w:highlight w:val="none"/>
                <w:lang w:val="en-US" w:eastAsia="zh-CN"/>
              </w:rPr>
              <w:t>款</w:t>
            </w:r>
            <w:r>
              <w:rPr>
                <w:rFonts w:hint="eastAsia" w:ascii="宋体" w:hAnsi="宋体" w:cs="宋体"/>
                <w:b/>
                <w:bCs/>
                <w:color w:val="auto"/>
                <w:sz w:val="24"/>
                <w:highlight w:val="none"/>
              </w:rPr>
              <w:t>的</w:t>
            </w:r>
            <w:r>
              <w:rPr>
                <w:rFonts w:hint="eastAsia" w:ascii="宋体" w:hAnsi="宋体" w:cs="宋体"/>
                <w:b/>
                <w:bCs/>
                <w:color w:val="auto"/>
                <w:sz w:val="24"/>
                <w:highlight w:val="none"/>
                <w:lang w:val="en-US" w:eastAsia="zh-CN"/>
              </w:rPr>
              <w:t>40</w:t>
            </w:r>
            <w:r>
              <w:rPr>
                <w:rFonts w:hint="eastAsia" w:ascii="宋体" w:hAnsi="宋体" w:cs="宋体"/>
                <w:b/>
                <w:bCs/>
                <w:color w:val="auto"/>
                <w:sz w:val="24"/>
                <w:highlight w:val="none"/>
              </w:rPr>
              <w:t>%，</w:t>
            </w:r>
            <w:r>
              <w:rPr>
                <w:rFonts w:hint="eastAsia" w:ascii="宋体" w:hAnsi="宋体" w:cs="宋体"/>
                <w:b/>
                <w:bCs/>
                <w:color w:val="auto"/>
                <w:sz w:val="24"/>
                <w:highlight w:val="none"/>
                <w:lang w:val="en-US" w:eastAsia="zh-CN"/>
              </w:rPr>
              <w:t>项目实施完成再支付合同</w:t>
            </w:r>
            <w:r>
              <w:rPr>
                <w:rFonts w:hint="eastAsia" w:ascii="宋体" w:hAnsi="宋体" w:cs="宋体"/>
                <w:b/>
                <w:bCs/>
                <w:color w:val="auto"/>
                <w:sz w:val="24"/>
                <w:highlight w:val="none"/>
              </w:rPr>
              <w:t>总价</w:t>
            </w:r>
            <w:r>
              <w:rPr>
                <w:rFonts w:hint="eastAsia" w:ascii="宋体" w:hAnsi="宋体" w:cs="宋体"/>
                <w:b/>
                <w:bCs/>
                <w:color w:val="auto"/>
                <w:sz w:val="24"/>
                <w:highlight w:val="none"/>
                <w:lang w:val="en-US" w:eastAsia="zh-CN"/>
              </w:rPr>
              <w:t>款</w:t>
            </w:r>
            <w:r>
              <w:rPr>
                <w:rFonts w:hint="eastAsia" w:ascii="宋体" w:hAnsi="宋体" w:cs="宋体"/>
                <w:b/>
                <w:bCs/>
                <w:color w:val="auto"/>
                <w:sz w:val="24"/>
                <w:highlight w:val="none"/>
              </w:rPr>
              <w:t>的</w:t>
            </w:r>
            <w:r>
              <w:rPr>
                <w:rFonts w:hint="eastAsia" w:ascii="宋体" w:hAnsi="宋体" w:cs="宋体"/>
                <w:b/>
                <w:bCs/>
                <w:color w:val="auto"/>
                <w:sz w:val="24"/>
                <w:highlight w:val="none"/>
                <w:lang w:val="en-US" w:eastAsia="zh-CN"/>
              </w:rPr>
              <w:t>30</w:t>
            </w:r>
            <w:r>
              <w:rPr>
                <w:rFonts w:hint="eastAsia" w:ascii="宋体" w:hAnsi="宋体" w:cs="宋体"/>
                <w:b/>
                <w:bCs/>
                <w:color w:val="auto"/>
                <w:sz w:val="24"/>
                <w:highlight w:val="none"/>
              </w:rPr>
              <w:t>%</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实施完成并</w:t>
            </w:r>
            <w:r>
              <w:rPr>
                <w:rFonts w:hint="eastAsia" w:ascii="宋体" w:hAnsi="宋体" w:cs="宋体"/>
                <w:b/>
                <w:bCs/>
                <w:color w:val="auto"/>
                <w:sz w:val="24"/>
                <w:highlight w:val="none"/>
              </w:rPr>
              <w:t>经验收合格后</w:t>
            </w:r>
            <w:r>
              <w:rPr>
                <w:rFonts w:hint="eastAsia" w:ascii="宋体" w:hAnsi="宋体" w:cs="宋体"/>
                <w:b/>
                <w:bCs/>
                <w:color w:val="auto"/>
                <w:sz w:val="24"/>
                <w:highlight w:val="none"/>
                <w:lang w:val="en-US" w:eastAsia="zh-CN"/>
              </w:rPr>
              <w:t>支付至合同总价款的97%，剩余3%为质量保证金，质保期结束后付清尾款。</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Lines="50"/>
              <w:jc w:val="center"/>
              <w:rPr>
                <w:rFonts w:ascii="宋体" w:hAnsi="宋体" w:cs="宋体"/>
                <w:sz w:val="24"/>
                <w:highlight w:val="none"/>
              </w:rPr>
            </w:pPr>
          </w:p>
        </w:tc>
        <w:tc>
          <w:tcPr>
            <w:tcW w:w="1995" w:type="dxa"/>
            <w:vAlign w:val="center"/>
          </w:tcPr>
          <w:p>
            <w:pPr>
              <w:spacing w:beforeLines="50" w:line="360" w:lineRule="auto"/>
              <w:ind w:firstLine="14" w:firstLineChars="6"/>
              <w:jc w:val="center"/>
              <w:rPr>
                <w:rFonts w:hint="default" w:ascii="宋体" w:hAnsi="宋体" w:eastAsia="宋体" w:cs="宋体"/>
                <w:b/>
                <w:bCs/>
                <w:sz w:val="24"/>
                <w:highlight w:val="none"/>
                <w:lang w:val="en-US" w:eastAsia="zh-CN"/>
              </w:rPr>
            </w:pPr>
            <w:r>
              <w:rPr>
                <w:rFonts w:hint="eastAsia" w:ascii="宋体" w:hAnsi="宋体" w:cs="宋体"/>
                <w:b/>
                <w:bCs/>
                <w:sz w:val="24"/>
                <w:highlight w:val="none"/>
                <w:lang w:val="en-US" w:eastAsia="zh-CN"/>
              </w:rPr>
              <w:t>质保期（养护期）</w:t>
            </w:r>
          </w:p>
        </w:tc>
        <w:tc>
          <w:tcPr>
            <w:tcW w:w="6615" w:type="dxa"/>
            <w:vAlign w:val="center"/>
          </w:tcPr>
          <w:p>
            <w:pPr>
              <w:tabs>
                <w:tab w:val="left" w:pos="8640"/>
              </w:tabs>
              <w:spacing w:line="360" w:lineRule="auto"/>
              <w:jc w:val="left"/>
              <w:rPr>
                <w:rFonts w:hint="default" w:ascii="宋体" w:hAnsi="宋体" w:eastAsia="宋体" w:cs="宋体"/>
                <w:b/>
                <w:bCs/>
                <w:sz w:val="24"/>
                <w:highlight w:val="none"/>
                <w:lang w:val="en-US" w:eastAsia="zh-CN"/>
              </w:rPr>
            </w:pPr>
            <w:r>
              <w:rPr>
                <w:rFonts w:hint="eastAsia" w:ascii="宋体" w:hAnsi="宋体" w:cs="宋体"/>
                <w:b/>
                <w:bCs/>
                <w:sz w:val="24"/>
                <w:highlight w:val="none"/>
                <w:lang w:val="en-US" w:eastAsia="zh-CN"/>
              </w:rPr>
              <w:t>3年（自合同签订之日起开始计算）；质保期内要确保治疗的效果达到95%以上（由采购人组织人员对质量进行评估）</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35" w:type="dxa"/>
            <w:vAlign w:val="center"/>
          </w:tcPr>
          <w:p>
            <w:pPr>
              <w:numPr>
                <w:ilvl w:val="0"/>
                <w:numId w:val="1"/>
              </w:numPr>
              <w:spacing w:beforeLines="50"/>
              <w:jc w:val="center"/>
              <w:rPr>
                <w:rFonts w:ascii="宋体" w:hAnsi="宋体" w:cs="宋体"/>
                <w:sz w:val="24"/>
                <w:highlight w:val="none"/>
              </w:rPr>
            </w:pPr>
          </w:p>
        </w:tc>
        <w:tc>
          <w:tcPr>
            <w:tcW w:w="1995" w:type="dxa"/>
            <w:vAlign w:val="center"/>
          </w:tcPr>
          <w:p>
            <w:pPr>
              <w:spacing w:beforeLines="50" w:line="360" w:lineRule="auto"/>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pPr>
              <w:tabs>
                <w:tab w:val="left" w:pos="8640"/>
              </w:tabs>
              <w:spacing w:line="360" w:lineRule="auto"/>
              <w:jc w:val="both"/>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35" w:type="dxa"/>
            <w:vAlign w:val="center"/>
          </w:tcPr>
          <w:p>
            <w:pPr>
              <w:numPr>
                <w:ilvl w:val="0"/>
                <w:numId w:val="1"/>
              </w:numPr>
              <w:spacing w:beforeLines="50"/>
              <w:jc w:val="center"/>
              <w:rPr>
                <w:rFonts w:ascii="宋体" w:hAnsi="宋体" w:cs="宋体"/>
                <w:sz w:val="24"/>
                <w:highlight w:val="none"/>
              </w:rPr>
            </w:pPr>
          </w:p>
        </w:tc>
        <w:tc>
          <w:tcPr>
            <w:tcW w:w="1995" w:type="dxa"/>
            <w:vAlign w:val="center"/>
          </w:tcPr>
          <w:p>
            <w:pPr>
              <w:spacing w:beforeLines="50" w:line="360" w:lineRule="auto"/>
              <w:jc w:val="center"/>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踏勘现场</w:t>
            </w:r>
          </w:p>
        </w:tc>
        <w:tc>
          <w:tcPr>
            <w:tcW w:w="6615" w:type="dxa"/>
            <w:vAlign w:val="center"/>
          </w:tcPr>
          <w:p>
            <w:pPr>
              <w:tabs>
                <w:tab w:val="left" w:pos="8640"/>
              </w:tabs>
              <w:spacing w:line="360" w:lineRule="auto"/>
              <w:jc w:val="both"/>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不组织；</w:t>
            </w:r>
          </w:p>
          <w:p>
            <w:pPr>
              <w:tabs>
                <w:tab w:val="left" w:pos="8640"/>
              </w:tabs>
              <w:spacing w:line="360" w:lineRule="auto"/>
              <w:jc w:val="both"/>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如有需要，投标供应商自行对项目所在场地及周围环境进行勘查，现场勘察所发生的一切费用由投标供应商自理。在现场勘查过程中，投标供应商应承担在此期间所造成的人身伤害，财产损失或损坏的责任，无论任何原因所造成，采购人均不负责，如由此导致采购人承担责任的，采购人有权向该供应商行使追偿权。</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735" w:type="dxa"/>
            <w:vAlign w:val="center"/>
          </w:tcPr>
          <w:p>
            <w:pPr>
              <w:numPr>
                <w:ilvl w:val="0"/>
                <w:numId w:val="1"/>
              </w:numPr>
              <w:spacing w:beforeLines="50"/>
              <w:jc w:val="center"/>
              <w:rPr>
                <w:rFonts w:ascii="宋体" w:hAnsi="宋体" w:cs="宋体"/>
                <w:sz w:val="24"/>
                <w:highlight w:val="none"/>
              </w:rPr>
            </w:pPr>
            <w:bookmarkStart w:id="47" w:name="_Toc26213"/>
          </w:p>
        </w:tc>
        <w:tc>
          <w:tcPr>
            <w:tcW w:w="1995" w:type="dxa"/>
            <w:vAlign w:val="center"/>
          </w:tcPr>
          <w:p>
            <w:pPr>
              <w:spacing w:line="276" w:lineRule="auto"/>
              <w:jc w:val="center"/>
              <w:rPr>
                <w:rFonts w:hint="eastAsia" w:ascii="宋体" w:hAnsi="宋体" w:cs="宋体"/>
                <w:b/>
                <w:bCs/>
                <w:color w:val="auto"/>
                <w:sz w:val="24"/>
                <w:highlight w:val="none"/>
                <w:lang w:val="en-US" w:eastAsia="zh-CN"/>
              </w:rPr>
            </w:pPr>
            <w:r>
              <w:rPr>
                <w:rFonts w:hint="eastAsia" w:ascii="宋体" w:hAnsi="宋体" w:cs="宋体"/>
                <w:b/>
                <w:bCs/>
                <w:color w:val="auto"/>
                <w:szCs w:val="21"/>
                <w:highlight w:val="none"/>
              </w:rPr>
              <w:t>采购标的对应的中小企业划分标准所属行业</w:t>
            </w:r>
          </w:p>
        </w:tc>
        <w:tc>
          <w:tcPr>
            <w:tcW w:w="6615" w:type="dxa"/>
            <w:vAlign w:val="center"/>
          </w:tcPr>
          <w:p>
            <w:pPr>
              <w:spacing w:line="360" w:lineRule="auto"/>
              <w:rPr>
                <w:rFonts w:hint="eastAsia" w:ascii="宋体" w:hAnsi="宋体" w:cs="宋体"/>
                <w:b/>
                <w:bCs/>
                <w:color w:val="auto"/>
                <w:highlight w:val="none"/>
              </w:rPr>
            </w:pPr>
            <w:r>
              <w:rPr>
                <w:rFonts w:hint="eastAsia" w:ascii="宋体" w:hAnsi="宋体" w:cs="宋体"/>
                <w:b/>
                <w:bCs/>
                <w:color w:val="auto"/>
                <w:highlight w:val="none"/>
              </w:rPr>
              <w:t>所属行业为：★其他未列明行业</w:t>
            </w:r>
          </w:p>
          <w:p>
            <w:pPr>
              <w:spacing w:line="360" w:lineRule="auto"/>
              <w:rPr>
                <w:rFonts w:hint="eastAsia" w:ascii="宋体" w:hAnsi="宋体" w:cs="宋体"/>
                <w:b/>
                <w:bCs/>
                <w:color w:val="auto"/>
                <w:sz w:val="24"/>
                <w:highlight w:val="none"/>
                <w:lang w:val="en-US" w:eastAsia="zh-CN"/>
              </w:rPr>
            </w:pPr>
            <w:r>
              <w:rPr>
                <w:rFonts w:hint="eastAsia" w:ascii="宋体" w:hAnsi="宋体" w:cs="宋体"/>
                <w:b/>
                <w:bCs/>
                <w:color w:val="auto"/>
                <w:highlight w:val="none"/>
              </w:rPr>
              <w:t>划定标准为：中小微企业划分按照《国家统计局关于印发&lt;统计上大中小微型企业划分办法（2017）&gt;的通知》国统字〔2017〕213号文件及《工业和信息化部、国家统计局、国家发展和改革委员会、财政部关于印发&lt;中小企业划型标准规定&gt;的通知》（工信部联企业[2011]300号）规定的划分标准为依据。</w:t>
            </w:r>
          </w:p>
        </w:tc>
      </w:tr>
    </w:tbl>
    <w:p>
      <w:pPr>
        <w:rPr>
          <w:rFonts w:hint="eastAsia" w:ascii="仿宋_GB2312" w:hAnsi="仿宋_GB2312" w:eastAsia="仿宋_GB2312" w:cs="仿宋_GB2312"/>
          <w:sz w:val="32"/>
          <w:szCs w:val="32"/>
        </w:rPr>
      </w:pPr>
      <w:r>
        <w:rPr>
          <w:rFonts w:hint="eastAsia" w:cs="宋体"/>
          <w:b/>
        </w:rPr>
        <w:t>附件：</w:t>
      </w:r>
      <w:r>
        <w:rPr>
          <w:rFonts w:hint="eastAsia" w:ascii="仿宋_GB2312" w:hAnsi="仿宋_GB2312" w:eastAsia="仿宋_GB2312" w:cs="仿宋_GB2312"/>
          <w:sz w:val="32"/>
          <w:szCs w:val="32"/>
        </w:rPr>
        <w:t xml:space="preserve"> </w:t>
      </w:r>
    </w:p>
    <w:p>
      <w:pPr>
        <w:widowControl/>
        <w:spacing w:line="330" w:lineRule="atLeast"/>
        <w:jc w:val="center"/>
        <w:rPr>
          <w:rFonts w:ascii="方正小标宋_GBK" w:hAnsi="宋体" w:eastAsia="方正小标宋_GBK" w:cs="宋体"/>
          <w:b/>
          <w:bCs/>
          <w:kern w:val="0"/>
          <w:sz w:val="28"/>
        </w:rPr>
      </w:pPr>
      <w:r>
        <w:rPr>
          <w:rFonts w:hint="eastAsia" w:ascii="宋体" w:hAnsi="宋体" w:cs="宋体"/>
          <w:b/>
          <w:bCs/>
          <w:kern w:val="0"/>
          <w:sz w:val="28"/>
        </w:rPr>
        <w:t>国家统计局《统计上大中小微型企业划分标准》</w:t>
      </w:r>
    </w:p>
    <w:tbl>
      <w:tblPr>
        <w:tblStyle w:val="26"/>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cs="宋体"/>
                <w:b/>
                <w:bCs/>
                <w:kern w:val="0"/>
                <w:sz w:val="18"/>
                <w:szCs w:val="21"/>
              </w:rPr>
            </w:pPr>
            <w:r>
              <w:rPr>
                <w:rFonts w:hint="eastAsia" w:ascii="宋体" w:hAnsi="宋体" w:cs="宋体"/>
                <w:b/>
                <w:bCs/>
                <w:kern w:val="0"/>
                <w:sz w:val="18"/>
                <w:szCs w:val="21"/>
              </w:rPr>
              <w:t>行业名称</w:t>
            </w:r>
          </w:p>
        </w:tc>
        <w:tc>
          <w:tcPr>
            <w:tcW w:w="1369" w:type="dxa"/>
            <w:tcBorders>
              <w:top w:val="single" w:color="auto" w:sz="4" w:space="0"/>
              <w:left w:val="nil"/>
              <w:bottom w:val="single" w:color="auto" w:sz="4" w:space="0"/>
              <w:right w:val="single" w:color="auto" w:sz="4" w:space="0"/>
            </w:tcBorders>
            <w:noWrap w:val="0"/>
            <w:vAlign w:val="center"/>
          </w:tcPr>
          <w:p>
            <w:pPr>
              <w:widowControl/>
              <w:jc w:val="center"/>
              <w:rPr>
                <w:rFonts w:ascii="宋体" w:cs="宋体"/>
                <w:b/>
                <w:bCs/>
                <w:kern w:val="0"/>
                <w:sz w:val="18"/>
                <w:szCs w:val="18"/>
              </w:rPr>
            </w:pPr>
            <w:r>
              <w:rPr>
                <w:rFonts w:hint="eastAsia" w:ascii="宋体" w:hAnsi="宋体" w:cs="宋体"/>
                <w:b/>
                <w:bCs/>
                <w:kern w:val="0"/>
                <w:sz w:val="18"/>
                <w:szCs w:val="18"/>
              </w:rPr>
              <w:t>指标名称</w:t>
            </w:r>
          </w:p>
        </w:tc>
        <w:tc>
          <w:tcPr>
            <w:tcW w:w="709" w:type="dxa"/>
            <w:tcBorders>
              <w:top w:val="single" w:color="auto" w:sz="4" w:space="0"/>
              <w:left w:val="nil"/>
              <w:bottom w:val="single" w:color="auto" w:sz="4" w:space="0"/>
              <w:right w:val="single" w:color="auto" w:sz="4" w:space="0"/>
            </w:tcBorders>
            <w:noWrap w:val="0"/>
            <w:vAlign w:val="center"/>
          </w:tcPr>
          <w:p>
            <w:pPr>
              <w:widowControl/>
              <w:jc w:val="center"/>
              <w:rPr>
                <w:rFonts w:ascii="宋体" w:cs="宋体"/>
                <w:b/>
                <w:bCs/>
                <w:kern w:val="0"/>
                <w:sz w:val="18"/>
                <w:szCs w:val="18"/>
              </w:rPr>
            </w:pPr>
            <w:r>
              <w:rPr>
                <w:rFonts w:hint="eastAsia" w:ascii="宋体" w:hAnsi="宋体" w:cs="宋体"/>
                <w:b/>
                <w:bCs/>
                <w:kern w:val="0"/>
                <w:sz w:val="18"/>
                <w:szCs w:val="18"/>
              </w:rPr>
              <w:t>计量</w:t>
            </w:r>
            <w:r>
              <w:rPr>
                <w:rFonts w:ascii="宋体" w:cs="宋体"/>
                <w:b/>
                <w:bCs/>
                <w:kern w:val="0"/>
                <w:sz w:val="18"/>
                <w:szCs w:val="18"/>
              </w:rPr>
              <w:br w:type="textWrapping"/>
            </w:r>
            <w:r>
              <w:rPr>
                <w:rFonts w:hint="eastAsia" w:ascii="宋体" w:hAnsi="宋体" w:cs="宋体"/>
                <w:b/>
                <w:bCs/>
                <w:kern w:val="0"/>
                <w:sz w:val="18"/>
                <w:szCs w:val="18"/>
              </w:rPr>
              <w:t>单位</w:t>
            </w:r>
          </w:p>
        </w:tc>
        <w:tc>
          <w:tcPr>
            <w:tcW w:w="1125" w:type="dxa"/>
            <w:tcBorders>
              <w:top w:val="single" w:color="auto" w:sz="4" w:space="0"/>
              <w:left w:val="nil"/>
              <w:bottom w:val="single" w:color="auto" w:sz="4" w:space="0"/>
              <w:right w:val="single" w:color="auto" w:sz="4" w:space="0"/>
            </w:tcBorders>
            <w:noWrap w:val="0"/>
            <w:vAlign w:val="center"/>
          </w:tcPr>
          <w:p>
            <w:pPr>
              <w:widowControl/>
              <w:jc w:val="center"/>
              <w:rPr>
                <w:rFonts w:ascii="宋体" w:cs="宋体"/>
                <w:b/>
                <w:bCs/>
                <w:kern w:val="0"/>
                <w:sz w:val="18"/>
                <w:szCs w:val="18"/>
              </w:rPr>
            </w:pPr>
            <w:r>
              <w:rPr>
                <w:rFonts w:hint="eastAsia" w:ascii="宋体" w:hAnsi="宋体" w:cs="宋体"/>
                <w:b/>
                <w:bCs/>
                <w:kern w:val="0"/>
                <w:sz w:val="18"/>
                <w:szCs w:val="18"/>
              </w:rPr>
              <w:t>大型</w:t>
            </w:r>
          </w:p>
        </w:tc>
        <w:tc>
          <w:tcPr>
            <w:tcW w:w="1701" w:type="dxa"/>
            <w:tcBorders>
              <w:top w:val="single" w:color="auto" w:sz="4" w:space="0"/>
              <w:left w:val="nil"/>
              <w:bottom w:val="single" w:color="auto" w:sz="4" w:space="0"/>
              <w:right w:val="single" w:color="auto" w:sz="4" w:space="0"/>
            </w:tcBorders>
            <w:noWrap w:val="0"/>
            <w:vAlign w:val="center"/>
          </w:tcPr>
          <w:p>
            <w:pPr>
              <w:widowControl/>
              <w:jc w:val="center"/>
              <w:rPr>
                <w:rFonts w:ascii="宋体" w:cs="宋体"/>
                <w:b/>
                <w:bCs/>
                <w:kern w:val="0"/>
                <w:sz w:val="18"/>
                <w:szCs w:val="18"/>
              </w:rPr>
            </w:pPr>
            <w:r>
              <w:rPr>
                <w:rFonts w:hint="eastAsia" w:ascii="宋体" w:hAnsi="宋体" w:cs="宋体"/>
                <w:b/>
                <w:bCs/>
                <w:kern w:val="0"/>
                <w:sz w:val="18"/>
                <w:szCs w:val="18"/>
              </w:rPr>
              <w:t>中型</w:t>
            </w:r>
          </w:p>
        </w:tc>
        <w:tc>
          <w:tcPr>
            <w:tcW w:w="1426" w:type="dxa"/>
            <w:tcBorders>
              <w:top w:val="single" w:color="auto" w:sz="4" w:space="0"/>
              <w:left w:val="nil"/>
              <w:bottom w:val="single" w:color="auto" w:sz="4" w:space="0"/>
              <w:right w:val="single" w:color="auto" w:sz="4" w:space="0"/>
            </w:tcBorders>
            <w:noWrap w:val="0"/>
            <w:vAlign w:val="center"/>
          </w:tcPr>
          <w:p>
            <w:pPr>
              <w:widowControl/>
              <w:jc w:val="center"/>
              <w:rPr>
                <w:rFonts w:ascii="宋体" w:cs="宋体"/>
                <w:b/>
                <w:bCs/>
                <w:kern w:val="0"/>
                <w:sz w:val="18"/>
                <w:szCs w:val="18"/>
              </w:rPr>
            </w:pPr>
            <w:r>
              <w:rPr>
                <w:rFonts w:hint="eastAsia" w:ascii="宋体" w:hAnsi="宋体" w:cs="宋体"/>
                <w:b/>
                <w:bCs/>
                <w:kern w:val="0"/>
                <w:sz w:val="18"/>
                <w:szCs w:val="18"/>
              </w:rPr>
              <w:t>小型</w:t>
            </w:r>
          </w:p>
        </w:tc>
        <w:tc>
          <w:tcPr>
            <w:tcW w:w="992" w:type="dxa"/>
            <w:tcBorders>
              <w:top w:val="single" w:color="auto" w:sz="4" w:space="0"/>
              <w:left w:val="nil"/>
              <w:bottom w:val="single" w:color="auto" w:sz="4" w:space="0"/>
              <w:right w:val="nil"/>
            </w:tcBorders>
            <w:noWrap w:val="0"/>
            <w:vAlign w:val="center"/>
          </w:tcPr>
          <w:p>
            <w:pPr>
              <w:widowControl/>
              <w:jc w:val="center"/>
              <w:rPr>
                <w:rFonts w:ascii="宋体" w:cs="宋体"/>
                <w:b/>
                <w:bCs/>
                <w:kern w:val="0"/>
                <w:sz w:val="18"/>
                <w:szCs w:val="18"/>
              </w:rPr>
            </w:pPr>
            <w:r>
              <w:rPr>
                <w:rFonts w:hint="eastAsia" w:ascii="宋体" w:hAnsi="宋体" w:cs="宋体"/>
                <w:b/>
                <w:bCs/>
                <w:kern w:val="0"/>
                <w:sz w:val="18"/>
                <w:szCs w:val="18"/>
              </w:rPr>
              <w:t>微型</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农、林、牧、渔业</w:t>
            </w:r>
          </w:p>
        </w:tc>
        <w:tc>
          <w:tcPr>
            <w:tcW w:w="136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营业收入</w:t>
            </w:r>
            <w:r>
              <w:rPr>
                <w:rFonts w:ascii="宋体" w:hAnsi="宋体" w:cs="宋体"/>
                <w:kern w:val="0"/>
                <w:sz w:val="18"/>
                <w:szCs w:val="18"/>
              </w:rPr>
              <w:t>(Y)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20000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500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20000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50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500</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50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工业</w:t>
            </w:r>
            <w:r>
              <w:rPr>
                <w:rFonts w:ascii="宋体" w:hAnsi="宋体" w:cs="宋体"/>
                <w:kern w:val="0"/>
                <w:sz w:val="18"/>
                <w:szCs w:val="18"/>
              </w:rPr>
              <w:t xml:space="preserve"> *</w:t>
            </w:r>
          </w:p>
        </w:tc>
        <w:tc>
          <w:tcPr>
            <w:tcW w:w="136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从业人员</w:t>
            </w:r>
            <w:r>
              <w:rPr>
                <w:rFonts w:ascii="宋体" w:hAnsi="宋体" w:cs="宋体"/>
                <w:kern w:val="0"/>
                <w:sz w:val="18"/>
                <w:szCs w:val="18"/>
              </w:rPr>
              <w:t>(X)</w:t>
            </w:r>
          </w:p>
        </w:tc>
        <w:tc>
          <w:tcPr>
            <w:tcW w:w="70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1000</w:t>
            </w:r>
          </w:p>
        </w:tc>
        <w:tc>
          <w:tcPr>
            <w:tcW w:w="1701"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300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1000</w:t>
            </w:r>
          </w:p>
        </w:tc>
        <w:tc>
          <w:tcPr>
            <w:tcW w:w="1426"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20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300</w:t>
            </w:r>
          </w:p>
        </w:tc>
        <w:tc>
          <w:tcPr>
            <w:tcW w:w="992" w:type="dxa"/>
            <w:tcBorders>
              <w:top w:val="nil"/>
              <w:left w:val="nil"/>
              <w:bottom w:val="nil"/>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cs="宋体"/>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营业收入</w:t>
            </w:r>
            <w:r>
              <w:rPr>
                <w:rFonts w:ascii="宋体" w:hAnsi="宋体" w:cs="宋体"/>
                <w:kern w:val="0"/>
                <w:sz w:val="18"/>
                <w:szCs w:val="18"/>
              </w:rPr>
              <w:t>(Y)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40000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2000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40000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300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2000</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建筑业</w:t>
            </w:r>
          </w:p>
        </w:tc>
        <w:tc>
          <w:tcPr>
            <w:tcW w:w="136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营业收入</w:t>
            </w:r>
            <w:r>
              <w:rPr>
                <w:rFonts w:ascii="宋体" w:hAnsi="宋体" w:cs="宋体"/>
                <w:kern w:val="0"/>
                <w:sz w:val="18"/>
                <w:szCs w:val="18"/>
              </w:rPr>
              <w:t>(Y)</w:t>
            </w:r>
          </w:p>
        </w:tc>
        <w:tc>
          <w:tcPr>
            <w:tcW w:w="70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80000</w:t>
            </w:r>
          </w:p>
        </w:tc>
        <w:tc>
          <w:tcPr>
            <w:tcW w:w="1701"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6000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80000</w:t>
            </w:r>
          </w:p>
        </w:tc>
        <w:tc>
          <w:tcPr>
            <w:tcW w:w="1426"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300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6000</w:t>
            </w:r>
          </w:p>
        </w:tc>
        <w:tc>
          <w:tcPr>
            <w:tcW w:w="992" w:type="dxa"/>
            <w:tcBorders>
              <w:top w:val="nil"/>
              <w:left w:val="nil"/>
              <w:bottom w:val="nil"/>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300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cs="宋体"/>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资产总额</w:t>
            </w:r>
            <w:r>
              <w:rPr>
                <w:rFonts w:ascii="宋体" w:hAnsi="宋体" w:cs="宋体"/>
                <w:kern w:val="0"/>
                <w:sz w:val="18"/>
                <w:szCs w:val="18"/>
              </w:rPr>
              <w:t>(Z)</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Z</w:t>
            </w:r>
            <w:r>
              <w:rPr>
                <w:rFonts w:hint="eastAsia" w:ascii="宋体" w:hAnsi="宋体" w:cs="宋体"/>
                <w:kern w:val="0"/>
                <w:sz w:val="18"/>
                <w:szCs w:val="18"/>
              </w:rPr>
              <w:t>≥</w:t>
            </w:r>
            <w:r>
              <w:rPr>
                <w:rFonts w:ascii="宋体" w:hAnsi="宋体" w:cs="宋体"/>
                <w:kern w:val="0"/>
                <w:sz w:val="18"/>
                <w:szCs w:val="18"/>
              </w:rPr>
              <w:t>80000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5000</w:t>
            </w:r>
            <w:r>
              <w:rPr>
                <w:rFonts w:hint="eastAsia" w:ascii="宋体" w:hAnsi="宋体" w:cs="宋体"/>
                <w:kern w:val="0"/>
                <w:sz w:val="18"/>
                <w:szCs w:val="18"/>
              </w:rPr>
              <w:t>≤</w:t>
            </w:r>
            <w:r>
              <w:rPr>
                <w:rFonts w:ascii="宋体" w:hAnsi="宋体" w:cs="宋体"/>
                <w:kern w:val="0"/>
                <w:sz w:val="18"/>
                <w:szCs w:val="18"/>
              </w:rPr>
              <w:t>Z</w:t>
            </w:r>
            <w:r>
              <w:rPr>
                <w:rFonts w:hint="eastAsia" w:ascii="宋体" w:hAnsi="宋体" w:cs="宋体"/>
                <w:kern w:val="0"/>
                <w:sz w:val="18"/>
                <w:szCs w:val="18"/>
              </w:rPr>
              <w:t>＜</w:t>
            </w:r>
            <w:r>
              <w:rPr>
                <w:rFonts w:ascii="宋体" w:hAnsi="宋体" w:cs="宋体"/>
                <w:kern w:val="0"/>
                <w:sz w:val="18"/>
                <w:szCs w:val="18"/>
              </w:rPr>
              <w:t>80000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300</w:t>
            </w:r>
            <w:r>
              <w:rPr>
                <w:rFonts w:hint="eastAsia" w:ascii="宋体" w:hAnsi="宋体" w:cs="宋体"/>
                <w:kern w:val="0"/>
                <w:sz w:val="18"/>
                <w:szCs w:val="18"/>
              </w:rPr>
              <w:t>≤</w:t>
            </w:r>
            <w:r>
              <w:rPr>
                <w:rFonts w:ascii="宋体" w:hAnsi="宋体" w:cs="宋体"/>
                <w:kern w:val="0"/>
                <w:sz w:val="18"/>
                <w:szCs w:val="18"/>
              </w:rPr>
              <w:t>Z</w:t>
            </w:r>
            <w:r>
              <w:rPr>
                <w:rFonts w:hint="eastAsia" w:ascii="宋体" w:hAnsi="宋体" w:cs="宋体"/>
                <w:kern w:val="0"/>
                <w:sz w:val="18"/>
                <w:szCs w:val="18"/>
              </w:rPr>
              <w:t>＜</w:t>
            </w:r>
            <w:r>
              <w:rPr>
                <w:rFonts w:ascii="宋体" w:hAnsi="宋体" w:cs="宋体"/>
                <w:kern w:val="0"/>
                <w:sz w:val="18"/>
                <w:szCs w:val="18"/>
              </w:rPr>
              <w:t>5000</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Z</w:t>
            </w:r>
            <w:r>
              <w:rPr>
                <w:rFonts w:hint="eastAsia" w:ascii="宋体" w:hAnsi="宋体" w:cs="宋体"/>
                <w:kern w:val="0"/>
                <w:sz w:val="18"/>
                <w:szCs w:val="18"/>
              </w:rPr>
              <w:t>＜</w:t>
            </w:r>
            <w:r>
              <w:rPr>
                <w:rFonts w:ascii="宋体" w:hAnsi="宋体" w:cs="宋体"/>
                <w:kern w:val="0"/>
                <w:sz w:val="18"/>
                <w:szCs w:val="18"/>
              </w:rPr>
              <w:t>300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批发业</w:t>
            </w:r>
          </w:p>
        </w:tc>
        <w:tc>
          <w:tcPr>
            <w:tcW w:w="136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从业人员</w:t>
            </w:r>
            <w:r>
              <w:rPr>
                <w:rFonts w:ascii="宋体" w:hAnsi="宋体" w:cs="宋体"/>
                <w:kern w:val="0"/>
                <w:sz w:val="18"/>
                <w:szCs w:val="18"/>
              </w:rPr>
              <w:t>(X)</w:t>
            </w:r>
          </w:p>
        </w:tc>
        <w:tc>
          <w:tcPr>
            <w:tcW w:w="70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200</w:t>
            </w:r>
          </w:p>
        </w:tc>
        <w:tc>
          <w:tcPr>
            <w:tcW w:w="1701"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20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200</w:t>
            </w:r>
          </w:p>
        </w:tc>
        <w:tc>
          <w:tcPr>
            <w:tcW w:w="1426"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5</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20</w:t>
            </w:r>
          </w:p>
        </w:tc>
        <w:tc>
          <w:tcPr>
            <w:tcW w:w="992" w:type="dxa"/>
            <w:tcBorders>
              <w:top w:val="nil"/>
              <w:left w:val="nil"/>
              <w:bottom w:val="nil"/>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5</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cs="宋体"/>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营业收入</w:t>
            </w:r>
            <w:r>
              <w:rPr>
                <w:rFonts w:ascii="宋体" w:hAnsi="宋体" w:cs="宋体"/>
                <w:kern w:val="0"/>
                <w:sz w:val="18"/>
                <w:szCs w:val="18"/>
              </w:rPr>
              <w:t>(Y)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40000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5000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40000</w:t>
            </w:r>
          </w:p>
        </w:tc>
        <w:tc>
          <w:tcPr>
            <w:tcW w:w="1426" w:type="dxa"/>
            <w:tcBorders>
              <w:top w:val="nil"/>
              <w:left w:val="nil"/>
              <w:bottom w:val="single" w:color="auto" w:sz="4" w:space="0"/>
              <w:right w:val="single" w:color="auto" w:sz="4" w:space="0"/>
            </w:tcBorders>
            <w:noWrap w:val="0"/>
            <w:vAlign w:val="center"/>
          </w:tcPr>
          <w:p>
            <w:pPr>
              <w:widowControl/>
              <w:ind w:left="-1" w:leftChars="-1" w:hanging="1"/>
              <w:jc w:val="center"/>
              <w:rPr>
                <w:rFonts w:ascii="宋体" w:cs="宋体"/>
                <w:kern w:val="0"/>
                <w:sz w:val="18"/>
                <w:szCs w:val="18"/>
              </w:rPr>
            </w:pPr>
            <w:r>
              <w:rPr>
                <w:rFonts w:ascii="宋体" w:hAnsi="宋体" w:cs="宋体"/>
                <w:kern w:val="0"/>
                <w:sz w:val="18"/>
                <w:szCs w:val="18"/>
              </w:rPr>
              <w:t>1000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5000</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零售业</w:t>
            </w:r>
          </w:p>
        </w:tc>
        <w:tc>
          <w:tcPr>
            <w:tcW w:w="136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从业人员</w:t>
            </w:r>
            <w:r>
              <w:rPr>
                <w:rFonts w:ascii="宋体" w:hAnsi="宋体" w:cs="宋体"/>
                <w:kern w:val="0"/>
                <w:sz w:val="18"/>
                <w:szCs w:val="18"/>
              </w:rPr>
              <w:t>(X)</w:t>
            </w:r>
          </w:p>
        </w:tc>
        <w:tc>
          <w:tcPr>
            <w:tcW w:w="70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300</w:t>
            </w:r>
          </w:p>
        </w:tc>
        <w:tc>
          <w:tcPr>
            <w:tcW w:w="1701"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50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300</w:t>
            </w:r>
          </w:p>
        </w:tc>
        <w:tc>
          <w:tcPr>
            <w:tcW w:w="1426" w:type="dxa"/>
            <w:tcBorders>
              <w:top w:val="nil"/>
              <w:left w:val="nil"/>
              <w:bottom w:val="nil"/>
              <w:right w:val="single" w:color="auto" w:sz="4" w:space="0"/>
            </w:tcBorders>
            <w:noWrap w:val="0"/>
            <w:vAlign w:val="center"/>
          </w:tcPr>
          <w:p>
            <w:pPr>
              <w:widowControl/>
              <w:ind w:left="-1" w:leftChars="-1" w:hanging="1"/>
              <w:jc w:val="center"/>
              <w:rPr>
                <w:rFonts w:ascii="宋体" w:cs="宋体"/>
                <w:kern w:val="0"/>
                <w:sz w:val="18"/>
                <w:szCs w:val="18"/>
              </w:rPr>
            </w:pPr>
            <w:r>
              <w:rPr>
                <w:rFonts w:ascii="宋体" w:hAnsi="宋体" w:cs="宋体"/>
                <w:kern w:val="0"/>
                <w:sz w:val="18"/>
                <w:szCs w:val="18"/>
              </w:rPr>
              <w:t>10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 xml:space="preserve">50 </w:t>
            </w:r>
          </w:p>
        </w:tc>
        <w:tc>
          <w:tcPr>
            <w:tcW w:w="992" w:type="dxa"/>
            <w:tcBorders>
              <w:top w:val="nil"/>
              <w:left w:val="nil"/>
              <w:bottom w:val="nil"/>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cs="宋体"/>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营业收入</w:t>
            </w:r>
            <w:r>
              <w:rPr>
                <w:rFonts w:ascii="宋体" w:hAnsi="宋体" w:cs="宋体"/>
                <w:kern w:val="0"/>
                <w:sz w:val="18"/>
                <w:szCs w:val="18"/>
              </w:rPr>
              <w:t>(Y)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20000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500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20000</w:t>
            </w:r>
          </w:p>
        </w:tc>
        <w:tc>
          <w:tcPr>
            <w:tcW w:w="1426" w:type="dxa"/>
            <w:tcBorders>
              <w:top w:val="nil"/>
              <w:left w:val="nil"/>
              <w:bottom w:val="single" w:color="auto" w:sz="4" w:space="0"/>
              <w:right w:val="single" w:color="auto" w:sz="4" w:space="0"/>
            </w:tcBorders>
            <w:noWrap w:val="0"/>
            <w:vAlign w:val="center"/>
          </w:tcPr>
          <w:p>
            <w:pPr>
              <w:widowControl/>
              <w:ind w:left="-1" w:leftChars="-1" w:hanging="1"/>
              <w:jc w:val="center"/>
              <w:rPr>
                <w:rFonts w:ascii="宋体" w:cs="宋体"/>
                <w:kern w:val="0"/>
                <w:sz w:val="18"/>
                <w:szCs w:val="18"/>
              </w:rPr>
            </w:pPr>
            <w:r>
              <w:rPr>
                <w:rFonts w:ascii="宋体" w:hAnsi="宋体" w:cs="宋体"/>
                <w:kern w:val="0"/>
                <w:sz w:val="18"/>
                <w:szCs w:val="18"/>
              </w:rPr>
              <w:t>100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 xml:space="preserve">500 </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交通运输业</w:t>
            </w:r>
            <w:r>
              <w:rPr>
                <w:rFonts w:ascii="宋体" w:hAnsi="宋体" w:cs="宋体"/>
                <w:kern w:val="0"/>
                <w:sz w:val="18"/>
                <w:szCs w:val="18"/>
              </w:rPr>
              <w:t xml:space="preserve"> *</w:t>
            </w:r>
          </w:p>
        </w:tc>
        <w:tc>
          <w:tcPr>
            <w:tcW w:w="136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从业人员</w:t>
            </w:r>
            <w:r>
              <w:rPr>
                <w:rFonts w:ascii="宋体" w:hAnsi="宋体" w:cs="宋体"/>
                <w:kern w:val="0"/>
                <w:sz w:val="18"/>
                <w:szCs w:val="18"/>
              </w:rPr>
              <w:t>(X)</w:t>
            </w:r>
          </w:p>
        </w:tc>
        <w:tc>
          <w:tcPr>
            <w:tcW w:w="70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1000</w:t>
            </w:r>
          </w:p>
        </w:tc>
        <w:tc>
          <w:tcPr>
            <w:tcW w:w="1701"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300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1000</w:t>
            </w:r>
          </w:p>
        </w:tc>
        <w:tc>
          <w:tcPr>
            <w:tcW w:w="1426"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20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300</w:t>
            </w:r>
          </w:p>
        </w:tc>
        <w:tc>
          <w:tcPr>
            <w:tcW w:w="992" w:type="dxa"/>
            <w:tcBorders>
              <w:top w:val="nil"/>
              <w:left w:val="nil"/>
              <w:bottom w:val="nil"/>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cs="宋体"/>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营业收入</w:t>
            </w:r>
            <w:r>
              <w:rPr>
                <w:rFonts w:ascii="宋体" w:hAnsi="宋体" w:cs="宋体"/>
                <w:kern w:val="0"/>
                <w:sz w:val="18"/>
                <w:szCs w:val="18"/>
              </w:rPr>
              <w:t>(Y)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30000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3000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30000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200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3000</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200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仓储业</w:t>
            </w:r>
            <w:r>
              <w:rPr>
                <w:rFonts w:ascii="宋体" w:hAnsi="宋体" w:cs="宋体"/>
                <w:kern w:val="0"/>
                <w:sz w:val="18"/>
                <w:szCs w:val="18"/>
              </w:rPr>
              <w:t>*</w:t>
            </w:r>
          </w:p>
        </w:tc>
        <w:tc>
          <w:tcPr>
            <w:tcW w:w="136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从业人员</w:t>
            </w:r>
            <w:r>
              <w:rPr>
                <w:rFonts w:ascii="宋体" w:hAnsi="宋体" w:cs="宋体"/>
                <w:kern w:val="0"/>
                <w:sz w:val="18"/>
                <w:szCs w:val="18"/>
              </w:rPr>
              <w:t>(X)</w:t>
            </w:r>
          </w:p>
        </w:tc>
        <w:tc>
          <w:tcPr>
            <w:tcW w:w="70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200</w:t>
            </w:r>
          </w:p>
        </w:tc>
        <w:tc>
          <w:tcPr>
            <w:tcW w:w="1701" w:type="dxa"/>
            <w:tcBorders>
              <w:top w:val="nil"/>
              <w:left w:val="nil"/>
              <w:bottom w:val="nil"/>
              <w:right w:val="single" w:color="auto" w:sz="4" w:space="0"/>
            </w:tcBorders>
            <w:noWrap w:val="0"/>
            <w:vAlign w:val="center"/>
          </w:tcPr>
          <w:p>
            <w:pPr>
              <w:widowControl/>
              <w:ind w:left="1" w:leftChars="-51" w:hanging="108" w:hangingChars="60"/>
              <w:jc w:val="center"/>
              <w:rPr>
                <w:rFonts w:ascii="宋体" w:cs="宋体"/>
                <w:kern w:val="0"/>
                <w:sz w:val="18"/>
                <w:szCs w:val="18"/>
              </w:rPr>
            </w:pPr>
            <w:r>
              <w:rPr>
                <w:rFonts w:ascii="宋体" w:hAnsi="宋体" w:cs="宋体"/>
                <w:kern w:val="0"/>
                <w:sz w:val="18"/>
                <w:szCs w:val="18"/>
              </w:rPr>
              <w:t>100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200</w:t>
            </w:r>
          </w:p>
        </w:tc>
        <w:tc>
          <w:tcPr>
            <w:tcW w:w="1426"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20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w:t>
            </w:r>
          </w:p>
        </w:tc>
        <w:tc>
          <w:tcPr>
            <w:tcW w:w="992" w:type="dxa"/>
            <w:tcBorders>
              <w:top w:val="nil"/>
              <w:left w:val="nil"/>
              <w:bottom w:val="nil"/>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cs="宋体"/>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营业收入</w:t>
            </w:r>
            <w:r>
              <w:rPr>
                <w:rFonts w:ascii="宋体" w:hAnsi="宋体" w:cs="宋体"/>
                <w:kern w:val="0"/>
                <w:sz w:val="18"/>
                <w:szCs w:val="18"/>
              </w:rPr>
              <w:t>(Y)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30000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1000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30000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1000</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邮政业</w:t>
            </w:r>
          </w:p>
        </w:tc>
        <w:tc>
          <w:tcPr>
            <w:tcW w:w="136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从业人员</w:t>
            </w:r>
            <w:r>
              <w:rPr>
                <w:rFonts w:ascii="宋体" w:hAnsi="宋体" w:cs="宋体"/>
                <w:kern w:val="0"/>
                <w:sz w:val="18"/>
                <w:szCs w:val="18"/>
              </w:rPr>
              <w:t>(X)</w:t>
            </w:r>
          </w:p>
        </w:tc>
        <w:tc>
          <w:tcPr>
            <w:tcW w:w="70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1000</w:t>
            </w:r>
          </w:p>
        </w:tc>
        <w:tc>
          <w:tcPr>
            <w:tcW w:w="1701"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300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1000</w:t>
            </w:r>
          </w:p>
        </w:tc>
        <w:tc>
          <w:tcPr>
            <w:tcW w:w="1426"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20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300</w:t>
            </w:r>
          </w:p>
        </w:tc>
        <w:tc>
          <w:tcPr>
            <w:tcW w:w="992" w:type="dxa"/>
            <w:tcBorders>
              <w:top w:val="nil"/>
              <w:left w:val="nil"/>
              <w:bottom w:val="nil"/>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20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cs="宋体"/>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营业收入</w:t>
            </w:r>
            <w:r>
              <w:rPr>
                <w:rFonts w:ascii="宋体" w:hAnsi="宋体" w:cs="宋体"/>
                <w:kern w:val="0"/>
                <w:sz w:val="18"/>
                <w:szCs w:val="18"/>
              </w:rPr>
              <w:t>(Y)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30000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2000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30000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2000</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住宿业</w:t>
            </w:r>
          </w:p>
        </w:tc>
        <w:tc>
          <w:tcPr>
            <w:tcW w:w="136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从业人员</w:t>
            </w:r>
            <w:r>
              <w:rPr>
                <w:rFonts w:ascii="宋体" w:hAnsi="宋体" w:cs="宋体"/>
                <w:kern w:val="0"/>
                <w:sz w:val="18"/>
                <w:szCs w:val="18"/>
              </w:rPr>
              <w:t>(X)</w:t>
            </w:r>
          </w:p>
        </w:tc>
        <w:tc>
          <w:tcPr>
            <w:tcW w:w="70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300</w:t>
            </w:r>
          </w:p>
        </w:tc>
        <w:tc>
          <w:tcPr>
            <w:tcW w:w="1701" w:type="dxa"/>
            <w:tcBorders>
              <w:top w:val="nil"/>
              <w:left w:val="nil"/>
              <w:bottom w:val="nil"/>
              <w:right w:val="single" w:color="auto" w:sz="4" w:space="0"/>
            </w:tcBorders>
            <w:noWrap w:val="0"/>
            <w:vAlign w:val="center"/>
          </w:tcPr>
          <w:p>
            <w:pPr>
              <w:widowControl/>
              <w:ind w:left="1" w:leftChars="-51" w:hanging="108" w:hangingChars="60"/>
              <w:jc w:val="center"/>
              <w:rPr>
                <w:rFonts w:ascii="宋体" w:cs="宋体"/>
                <w:kern w:val="0"/>
                <w:sz w:val="18"/>
                <w:szCs w:val="18"/>
              </w:rPr>
            </w:pPr>
            <w:r>
              <w:rPr>
                <w:rFonts w:ascii="宋体" w:hAnsi="宋体" w:cs="宋体"/>
                <w:kern w:val="0"/>
                <w:sz w:val="18"/>
                <w:szCs w:val="18"/>
              </w:rPr>
              <w:t>100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 xml:space="preserve">300 </w:t>
            </w:r>
          </w:p>
        </w:tc>
        <w:tc>
          <w:tcPr>
            <w:tcW w:w="1426"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w:t>
            </w:r>
          </w:p>
        </w:tc>
        <w:tc>
          <w:tcPr>
            <w:tcW w:w="992" w:type="dxa"/>
            <w:tcBorders>
              <w:top w:val="nil"/>
              <w:left w:val="nil"/>
              <w:bottom w:val="nil"/>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cs="宋体"/>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营业收入</w:t>
            </w:r>
            <w:r>
              <w:rPr>
                <w:rFonts w:ascii="宋体" w:hAnsi="宋体" w:cs="宋体"/>
                <w:kern w:val="0"/>
                <w:sz w:val="18"/>
                <w:szCs w:val="18"/>
              </w:rPr>
              <w:t>(Y)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2000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2000</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餐饮业</w:t>
            </w:r>
          </w:p>
        </w:tc>
        <w:tc>
          <w:tcPr>
            <w:tcW w:w="136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从业人员</w:t>
            </w:r>
            <w:r>
              <w:rPr>
                <w:rFonts w:ascii="宋体" w:hAnsi="宋体" w:cs="宋体"/>
                <w:kern w:val="0"/>
                <w:sz w:val="18"/>
                <w:szCs w:val="18"/>
              </w:rPr>
              <w:t>(X)</w:t>
            </w:r>
          </w:p>
        </w:tc>
        <w:tc>
          <w:tcPr>
            <w:tcW w:w="70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300</w:t>
            </w:r>
          </w:p>
        </w:tc>
        <w:tc>
          <w:tcPr>
            <w:tcW w:w="1701" w:type="dxa"/>
            <w:tcBorders>
              <w:top w:val="nil"/>
              <w:left w:val="nil"/>
              <w:bottom w:val="nil"/>
              <w:right w:val="single" w:color="auto" w:sz="4" w:space="0"/>
            </w:tcBorders>
            <w:noWrap w:val="0"/>
            <w:vAlign w:val="center"/>
          </w:tcPr>
          <w:p>
            <w:pPr>
              <w:widowControl/>
              <w:ind w:left="1" w:leftChars="-51" w:hanging="108" w:hangingChars="60"/>
              <w:jc w:val="center"/>
              <w:rPr>
                <w:rFonts w:ascii="宋体" w:cs="宋体"/>
                <w:kern w:val="0"/>
                <w:sz w:val="18"/>
                <w:szCs w:val="18"/>
              </w:rPr>
            </w:pPr>
            <w:r>
              <w:rPr>
                <w:rFonts w:ascii="宋体" w:hAnsi="宋体" w:cs="宋体"/>
                <w:kern w:val="0"/>
                <w:sz w:val="18"/>
                <w:szCs w:val="18"/>
              </w:rPr>
              <w:t>100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 xml:space="preserve">300 </w:t>
            </w:r>
          </w:p>
        </w:tc>
        <w:tc>
          <w:tcPr>
            <w:tcW w:w="1426"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w:t>
            </w:r>
          </w:p>
        </w:tc>
        <w:tc>
          <w:tcPr>
            <w:tcW w:w="992" w:type="dxa"/>
            <w:tcBorders>
              <w:top w:val="nil"/>
              <w:left w:val="nil"/>
              <w:bottom w:val="nil"/>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cs="宋体"/>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营业收入</w:t>
            </w:r>
            <w:r>
              <w:rPr>
                <w:rFonts w:ascii="宋体" w:hAnsi="宋体" w:cs="宋体"/>
                <w:kern w:val="0"/>
                <w:sz w:val="18"/>
                <w:szCs w:val="18"/>
              </w:rPr>
              <w:t>(Y)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2000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2000</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w:t>
            </w:r>
          </w:p>
        </w:tc>
      </w:tr>
      <w:tr>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信息传输业</w:t>
            </w:r>
            <w:r>
              <w:rPr>
                <w:rFonts w:ascii="宋体" w:hAnsi="宋体" w:cs="宋体"/>
                <w:kern w:val="0"/>
                <w:sz w:val="18"/>
                <w:szCs w:val="18"/>
              </w:rPr>
              <w:t xml:space="preserve"> *</w:t>
            </w:r>
          </w:p>
        </w:tc>
        <w:tc>
          <w:tcPr>
            <w:tcW w:w="136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从业人员</w:t>
            </w:r>
            <w:r>
              <w:rPr>
                <w:rFonts w:ascii="宋体" w:hAnsi="宋体" w:cs="宋体"/>
                <w:kern w:val="0"/>
                <w:sz w:val="18"/>
                <w:szCs w:val="18"/>
              </w:rPr>
              <w:t>(X)</w:t>
            </w:r>
          </w:p>
        </w:tc>
        <w:tc>
          <w:tcPr>
            <w:tcW w:w="70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2000</w:t>
            </w:r>
          </w:p>
        </w:tc>
        <w:tc>
          <w:tcPr>
            <w:tcW w:w="1701"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100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2000</w:t>
            </w:r>
          </w:p>
        </w:tc>
        <w:tc>
          <w:tcPr>
            <w:tcW w:w="1426"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w:t>
            </w:r>
          </w:p>
        </w:tc>
        <w:tc>
          <w:tcPr>
            <w:tcW w:w="992" w:type="dxa"/>
            <w:tcBorders>
              <w:top w:val="nil"/>
              <w:left w:val="nil"/>
              <w:bottom w:val="nil"/>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w:t>
            </w:r>
          </w:p>
        </w:tc>
      </w:tr>
      <w:tr>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cs="宋体"/>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营业收入</w:t>
            </w:r>
            <w:r>
              <w:rPr>
                <w:rFonts w:ascii="宋体" w:hAnsi="宋体" w:cs="宋体"/>
                <w:kern w:val="0"/>
                <w:sz w:val="18"/>
                <w:szCs w:val="18"/>
              </w:rPr>
              <w:t>(Y)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1000</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w:t>
            </w:r>
          </w:p>
        </w:tc>
      </w:tr>
      <w:tr>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ascii="宋体" w:cs="宋体"/>
                <w:spacing w:val="-12"/>
                <w:kern w:val="0"/>
                <w:sz w:val="18"/>
                <w:szCs w:val="18"/>
              </w:rPr>
            </w:pPr>
            <w:r>
              <w:rPr>
                <w:rFonts w:hint="eastAsia" w:ascii="宋体" w:hAnsi="宋体" w:cs="宋体"/>
                <w:spacing w:val="-12"/>
                <w:kern w:val="0"/>
                <w:sz w:val="18"/>
                <w:szCs w:val="18"/>
              </w:rPr>
              <w:t>软件和信息技术服</w:t>
            </w:r>
            <w:r>
              <w:rPr>
                <w:rFonts w:hint="eastAsia" w:ascii="宋体" w:hAnsi="宋体" w:cs="宋体"/>
                <w:kern w:val="0"/>
                <w:sz w:val="18"/>
                <w:szCs w:val="18"/>
              </w:rPr>
              <w:t>务业</w:t>
            </w:r>
          </w:p>
        </w:tc>
        <w:tc>
          <w:tcPr>
            <w:tcW w:w="136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从业人员</w:t>
            </w:r>
            <w:r>
              <w:rPr>
                <w:rFonts w:ascii="宋体" w:hAnsi="宋体" w:cs="宋体"/>
                <w:kern w:val="0"/>
                <w:sz w:val="18"/>
                <w:szCs w:val="18"/>
              </w:rPr>
              <w:t>(X)</w:t>
            </w:r>
          </w:p>
        </w:tc>
        <w:tc>
          <w:tcPr>
            <w:tcW w:w="70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300</w:t>
            </w:r>
          </w:p>
        </w:tc>
        <w:tc>
          <w:tcPr>
            <w:tcW w:w="1701" w:type="dxa"/>
            <w:tcBorders>
              <w:top w:val="nil"/>
              <w:left w:val="nil"/>
              <w:bottom w:val="nil"/>
              <w:right w:val="single" w:color="auto" w:sz="4" w:space="0"/>
            </w:tcBorders>
            <w:noWrap w:val="0"/>
            <w:vAlign w:val="center"/>
          </w:tcPr>
          <w:p>
            <w:pPr>
              <w:widowControl/>
              <w:ind w:left="1" w:leftChars="-51" w:hanging="108" w:hangingChars="60"/>
              <w:jc w:val="center"/>
              <w:rPr>
                <w:rFonts w:ascii="宋体" w:cs="宋体"/>
                <w:kern w:val="0"/>
                <w:sz w:val="18"/>
                <w:szCs w:val="18"/>
              </w:rPr>
            </w:pPr>
            <w:r>
              <w:rPr>
                <w:rFonts w:ascii="宋体" w:hAnsi="宋体" w:cs="宋体"/>
                <w:kern w:val="0"/>
                <w:sz w:val="18"/>
                <w:szCs w:val="18"/>
              </w:rPr>
              <w:t>100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 xml:space="preserve">300 </w:t>
            </w:r>
          </w:p>
        </w:tc>
        <w:tc>
          <w:tcPr>
            <w:tcW w:w="1426"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w:t>
            </w:r>
          </w:p>
        </w:tc>
        <w:tc>
          <w:tcPr>
            <w:tcW w:w="992" w:type="dxa"/>
            <w:tcBorders>
              <w:top w:val="nil"/>
              <w:left w:val="nil"/>
              <w:bottom w:val="nil"/>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w:t>
            </w:r>
          </w:p>
        </w:tc>
      </w:tr>
      <w:tr>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ascii="宋体" w:cs="宋体"/>
                <w:spacing w:val="-12"/>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营业收入</w:t>
            </w:r>
            <w:r>
              <w:rPr>
                <w:rFonts w:ascii="宋体" w:hAnsi="宋体" w:cs="宋体"/>
                <w:kern w:val="0"/>
                <w:sz w:val="18"/>
                <w:szCs w:val="18"/>
              </w:rPr>
              <w:t>(Y)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1000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50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1000</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50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房地产开发经营</w:t>
            </w:r>
          </w:p>
        </w:tc>
        <w:tc>
          <w:tcPr>
            <w:tcW w:w="136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营业收入</w:t>
            </w:r>
            <w:r>
              <w:rPr>
                <w:rFonts w:ascii="宋体" w:hAnsi="宋体" w:cs="宋体"/>
                <w:kern w:val="0"/>
                <w:sz w:val="18"/>
                <w:szCs w:val="18"/>
              </w:rPr>
              <w:t>(Y)</w:t>
            </w:r>
          </w:p>
        </w:tc>
        <w:tc>
          <w:tcPr>
            <w:tcW w:w="70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200000</w:t>
            </w:r>
          </w:p>
        </w:tc>
        <w:tc>
          <w:tcPr>
            <w:tcW w:w="1701"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200000</w:t>
            </w:r>
          </w:p>
        </w:tc>
        <w:tc>
          <w:tcPr>
            <w:tcW w:w="1426"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1000</w:t>
            </w:r>
          </w:p>
        </w:tc>
        <w:tc>
          <w:tcPr>
            <w:tcW w:w="992" w:type="dxa"/>
            <w:tcBorders>
              <w:top w:val="nil"/>
              <w:left w:val="nil"/>
              <w:bottom w:val="nil"/>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cs="宋体"/>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资产总额</w:t>
            </w:r>
            <w:r>
              <w:rPr>
                <w:rFonts w:ascii="宋体" w:hAnsi="宋体" w:cs="宋体"/>
                <w:kern w:val="0"/>
                <w:sz w:val="18"/>
                <w:szCs w:val="18"/>
              </w:rPr>
              <w:t>(Z)</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Z</w:t>
            </w:r>
            <w:r>
              <w:rPr>
                <w:rFonts w:hint="eastAsia" w:ascii="宋体" w:hAnsi="宋体" w:cs="宋体"/>
                <w:kern w:val="0"/>
                <w:sz w:val="18"/>
                <w:szCs w:val="18"/>
              </w:rPr>
              <w:t>≥</w:t>
            </w:r>
            <w:r>
              <w:rPr>
                <w:rFonts w:ascii="宋体" w:hAnsi="宋体" w:cs="宋体"/>
                <w:kern w:val="0"/>
                <w:sz w:val="18"/>
                <w:szCs w:val="18"/>
              </w:rPr>
              <w:t>10000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5000</w:t>
            </w:r>
            <w:r>
              <w:rPr>
                <w:rFonts w:hint="eastAsia" w:ascii="宋体" w:hAnsi="宋体" w:cs="宋体"/>
                <w:kern w:val="0"/>
                <w:sz w:val="18"/>
                <w:szCs w:val="18"/>
              </w:rPr>
              <w:t>≤</w:t>
            </w:r>
            <w:r>
              <w:rPr>
                <w:rFonts w:ascii="宋体" w:hAnsi="宋体" w:cs="宋体"/>
                <w:kern w:val="0"/>
                <w:sz w:val="18"/>
                <w:szCs w:val="18"/>
              </w:rPr>
              <w:t>Z</w:t>
            </w:r>
            <w:r>
              <w:rPr>
                <w:rFonts w:hint="eastAsia" w:ascii="宋体" w:hAnsi="宋体" w:cs="宋体"/>
                <w:kern w:val="0"/>
                <w:sz w:val="18"/>
                <w:szCs w:val="18"/>
              </w:rPr>
              <w:t>＜</w:t>
            </w:r>
            <w:r>
              <w:rPr>
                <w:rFonts w:ascii="宋体" w:hAnsi="宋体" w:cs="宋体"/>
                <w:kern w:val="0"/>
                <w:sz w:val="18"/>
                <w:szCs w:val="18"/>
              </w:rPr>
              <w:t>10000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2000</w:t>
            </w:r>
            <w:r>
              <w:rPr>
                <w:rFonts w:hint="eastAsia" w:ascii="宋体" w:hAnsi="宋体" w:cs="宋体"/>
                <w:kern w:val="0"/>
                <w:sz w:val="18"/>
                <w:szCs w:val="18"/>
              </w:rPr>
              <w:t>≤</w:t>
            </w:r>
            <w:r>
              <w:rPr>
                <w:rFonts w:ascii="宋体" w:hAnsi="宋体" w:cs="宋体"/>
                <w:kern w:val="0"/>
                <w:sz w:val="18"/>
                <w:szCs w:val="18"/>
              </w:rPr>
              <w:t>Z</w:t>
            </w:r>
            <w:r>
              <w:rPr>
                <w:rFonts w:hint="eastAsia" w:ascii="宋体" w:hAnsi="宋体" w:cs="宋体"/>
                <w:kern w:val="0"/>
                <w:sz w:val="18"/>
                <w:szCs w:val="18"/>
              </w:rPr>
              <w:t>＜</w:t>
            </w:r>
            <w:r>
              <w:rPr>
                <w:rFonts w:ascii="宋体" w:hAnsi="宋体" w:cs="宋体"/>
                <w:kern w:val="0"/>
                <w:sz w:val="18"/>
                <w:szCs w:val="18"/>
              </w:rPr>
              <w:t xml:space="preserve">5000   </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Z</w:t>
            </w:r>
            <w:r>
              <w:rPr>
                <w:rFonts w:hint="eastAsia" w:ascii="宋体" w:hAnsi="宋体" w:cs="宋体"/>
                <w:kern w:val="0"/>
                <w:sz w:val="18"/>
                <w:szCs w:val="18"/>
              </w:rPr>
              <w:t>＜</w:t>
            </w:r>
            <w:r>
              <w:rPr>
                <w:rFonts w:ascii="宋体" w:hAnsi="宋体" w:cs="宋体"/>
                <w:kern w:val="0"/>
                <w:sz w:val="18"/>
                <w:szCs w:val="18"/>
              </w:rPr>
              <w:t>2000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物业管理</w:t>
            </w:r>
          </w:p>
        </w:tc>
        <w:tc>
          <w:tcPr>
            <w:tcW w:w="136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从业人员</w:t>
            </w:r>
            <w:r>
              <w:rPr>
                <w:rFonts w:ascii="宋体" w:hAnsi="宋体" w:cs="宋体"/>
                <w:kern w:val="0"/>
                <w:sz w:val="18"/>
                <w:szCs w:val="18"/>
              </w:rPr>
              <w:t>(X)</w:t>
            </w:r>
          </w:p>
        </w:tc>
        <w:tc>
          <w:tcPr>
            <w:tcW w:w="70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1000</w:t>
            </w:r>
          </w:p>
        </w:tc>
        <w:tc>
          <w:tcPr>
            <w:tcW w:w="1701"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300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1000</w:t>
            </w:r>
          </w:p>
        </w:tc>
        <w:tc>
          <w:tcPr>
            <w:tcW w:w="1426"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100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 xml:space="preserve">300 </w:t>
            </w:r>
          </w:p>
        </w:tc>
        <w:tc>
          <w:tcPr>
            <w:tcW w:w="992" w:type="dxa"/>
            <w:tcBorders>
              <w:top w:val="nil"/>
              <w:left w:val="nil"/>
              <w:bottom w:val="nil"/>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cs="宋体"/>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营业收入</w:t>
            </w:r>
            <w:r>
              <w:rPr>
                <w:rFonts w:ascii="宋体" w:hAnsi="宋体" w:cs="宋体"/>
                <w:kern w:val="0"/>
                <w:sz w:val="18"/>
                <w:szCs w:val="18"/>
              </w:rPr>
              <w:t>(Y)</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5000</w:t>
            </w:r>
          </w:p>
        </w:tc>
        <w:tc>
          <w:tcPr>
            <w:tcW w:w="1701" w:type="dxa"/>
            <w:tcBorders>
              <w:top w:val="nil"/>
              <w:left w:val="nil"/>
              <w:bottom w:val="single" w:color="auto" w:sz="4" w:space="0"/>
              <w:right w:val="single" w:color="auto" w:sz="4" w:space="0"/>
            </w:tcBorders>
            <w:noWrap w:val="0"/>
            <w:vAlign w:val="center"/>
          </w:tcPr>
          <w:p>
            <w:pPr>
              <w:widowControl/>
              <w:ind w:left="1" w:leftChars="-51" w:hanging="108" w:hangingChars="60"/>
              <w:jc w:val="center"/>
              <w:rPr>
                <w:rFonts w:ascii="宋体" w:cs="宋体"/>
                <w:kern w:val="0"/>
                <w:sz w:val="18"/>
                <w:szCs w:val="18"/>
              </w:rPr>
            </w:pPr>
            <w:r>
              <w:rPr>
                <w:rFonts w:ascii="宋体" w:hAnsi="宋体" w:cs="宋体"/>
                <w:kern w:val="0"/>
                <w:sz w:val="18"/>
                <w:szCs w:val="18"/>
              </w:rPr>
              <w:t>1000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 xml:space="preserve">5000 </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500</w:t>
            </w:r>
            <w:r>
              <w:rPr>
                <w:rFonts w:hint="eastAsia" w:ascii="宋体" w:hAnsi="宋体" w:cs="宋体"/>
                <w:kern w:val="0"/>
                <w:sz w:val="18"/>
                <w:szCs w:val="18"/>
              </w:rPr>
              <w:t>≤</w:t>
            </w: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1000</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Y</w:t>
            </w:r>
            <w:r>
              <w:rPr>
                <w:rFonts w:hint="eastAsia" w:ascii="宋体" w:hAnsi="宋体" w:cs="宋体"/>
                <w:kern w:val="0"/>
                <w:sz w:val="18"/>
                <w:szCs w:val="18"/>
              </w:rPr>
              <w:t>＜</w:t>
            </w:r>
            <w:r>
              <w:rPr>
                <w:rFonts w:ascii="宋体" w:hAnsi="宋体" w:cs="宋体"/>
                <w:kern w:val="0"/>
                <w:sz w:val="18"/>
                <w:szCs w:val="18"/>
              </w:rPr>
              <w:t>500</w:t>
            </w:r>
          </w:p>
        </w:tc>
      </w:tr>
      <w:tr>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租赁和商务服务业</w:t>
            </w:r>
          </w:p>
        </w:tc>
        <w:tc>
          <w:tcPr>
            <w:tcW w:w="136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从业人员</w:t>
            </w:r>
            <w:r>
              <w:rPr>
                <w:rFonts w:ascii="宋体" w:hAnsi="宋体" w:cs="宋体"/>
                <w:kern w:val="0"/>
                <w:sz w:val="18"/>
                <w:szCs w:val="18"/>
              </w:rPr>
              <w:t>(X)</w:t>
            </w:r>
          </w:p>
        </w:tc>
        <w:tc>
          <w:tcPr>
            <w:tcW w:w="709"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人</w:t>
            </w:r>
          </w:p>
        </w:tc>
        <w:tc>
          <w:tcPr>
            <w:tcW w:w="1125"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300</w:t>
            </w:r>
          </w:p>
        </w:tc>
        <w:tc>
          <w:tcPr>
            <w:tcW w:w="1701" w:type="dxa"/>
            <w:tcBorders>
              <w:top w:val="nil"/>
              <w:left w:val="nil"/>
              <w:bottom w:val="nil"/>
              <w:right w:val="single" w:color="auto" w:sz="4" w:space="0"/>
            </w:tcBorders>
            <w:noWrap w:val="0"/>
            <w:vAlign w:val="center"/>
          </w:tcPr>
          <w:p>
            <w:pPr>
              <w:widowControl/>
              <w:ind w:left="1" w:leftChars="-51" w:hanging="108" w:hangingChars="60"/>
              <w:jc w:val="center"/>
              <w:rPr>
                <w:rFonts w:ascii="宋体" w:cs="宋体"/>
                <w:kern w:val="0"/>
                <w:sz w:val="18"/>
                <w:szCs w:val="18"/>
              </w:rPr>
            </w:pPr>
            <w:r>
              <w:rPr>
                <w:rFonts w:ascii="宋体" w:hAnsi="宋体" w:cs="宋体"/>
                <w:kern w:val="0"/>
                <w:sz w:val="18"/>
                <w:szCs w:val="18"/>
              </w:rPr>
              <w:t>100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 xml:space="preserve">300 </w:t>
            </w:r>
          </w:p>
        </w:tc>
        <w:tc>
          <w:tcPr>
            <w:tcW w:w="1426" w:type="dxa"/>
            <w:tcBorders>
              <w:top w:val="nil"/>
              <w:left w:val="nil"/>
              <w:bottom w:val="nil"/>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w:t>
            </w:r>
          </w:p>
        </w:tc>
        <w:tc>
          <w:tcPr>
            <w:tcW w:w="992" w:type="dxa"/>
            <w:tcBorders>
              <w:top w:val="nil"/>
              <w:left w:val="nil"/>
              <w:bottom w:val="nil"/>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w:t>
            </w:r>
          </w:p>
        </w:tc>
      </w:tr>
      <w:tr>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noWrap w:val="0"/>
            <w:vAlign w:val="center"/>
          </w:tcPr>
          <w:p>
            <w:pPr>
              <w:widowControl/>
              <w:jc w:val="left"/>
              <w:rPr>
                <w:rFonts w:ascii="宋体" w:cs="宋体"/>
                <w:kern w:val="0"/>
                <w:sz w:val="18"/>
                <w:szCs w:val="18"/>
              </w:rPr>
            </w:pPr>
          </w:p>
        </w:tc>
        <w:tc>
          <w:tcPr>
            <w:tcW w:w="1369" w:type="dxa"/>
            <w:tcBorders>
              <w:top w:val="nil"/>
              <w:left w:val="nil"/>
              <w:bottom w:val="single" w:color="auto" w:sz="4" w:space="0"/>
              <w:right w:val="single" w:color="auto" w:sz="4" w:space="0"/>
            </w:tcBorders>
            <w:noWrap w:val="0"/>
            <w:vAlign w:val="center"/>
          </w:tcPr>
          <w:p>
            <w:pPr>
              <w:widowControl/>
              <w:spacing w:line="240" w:lineRule="exact"/>
              <w:jc w:val="center"/>
              <w:rPr>
                <w:rFonts w:ascii="宋体" w:cs="宋体"/>
                <w:kern w:val="0"/>
                <w:sz w:val="18"/>
                <w:szCs w:val="18"/>
              </w:rPr>
            </w:pPr>
            <w:r>
              <w:rPr>
                <w:rFonts w:hint="eastAsia" w:ascii="宋体" w:hAnsi="宋体" w:cs="宋体"/>
                <w:kern w:val="0"/>
                <w:sz w:val="18"/>
                <w:szCs w:val="18"/>
              </w:rPr>
              <w:t>资产总额</w:t>
            </w:r>
            <w:r>
              <w:rPr>
                <w:rFonts w:ascii="宋体" w:hAnsi="宋体" w:cs="宋体"/>
                <w:kern w:val="0"/>
                <w:sz w:val="18"/>
                <w:szCs w:val="18"/>
              </w:rPr>
              <w:t>(Z)</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万元</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Z</w:t>
            </w:r>
            <w:r>
              <w:rPr>
                <w:rFonts w:hint="eastAsia" w:ascii="宋体" w:hAnsi="宋体" w:cs="宋体"/>
                <w:kern w:val="0"/>
                <w:sz w:val="18"/>
                <w:szCs w:val="18"/>
              </w:rPr>
              <w:t>≥</w:t>
            </w:r>
            <w:r>
              <w:rPr>
                <w:rFonts w:ascii="宋体" w:hAnsi="宋体" w:cs="宋体"/>
                <w:kern w:val="0"/>
                <w:sz w:val="18"/>
                <w:szCs w:val="18"/>
              </w:rPr>
              <w:t>120000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8000</w:t>
            </w:r>
            <w:r>
              <w:rPr>
                <w:rFonts w:hint="eastAsia" w:ascii="宋体" w:hAnsi="宋体" w:cs="宋体"/>
                <w:kern w:val="0"/>
                <w:sz w:val="18"/>
                <w:szCs w:val="18"/>
              </w:rPr>
              <w:t>≤</w:t>
            </w:r>
            <w:r>
              <w:rPr>
                <w:rFonts w:ascii="宋体" w:hAnsi="宋体" w:cs="宋体"/>
                <w:kern w:val="0"/>
                <w:sz w:val="18"/>
                <w:szCs w:val="18"/>
              </w:rPr>
              <w:t>Z</w:t>
            </w:r>
            <w:r>
              <w:rPr>
                <w:rFonts w:hint="eastAsia" w:ascii="宋体" w:hAnsi="宋体" w:cs="宋体"/>
                <w:kern w:val="0"/>
                <w:sz w:val="18"/>
                <w:szCs w:val="18"/>
              </w:rPr>
              <w:t>＜</w:t>
            </w:r>
            <w:r>
              <w:rPr>
                <w:rFonts w:ascii="宋体" w:hAnsi="宋体" w:cs="宋体"/>
                <w:kern w:val="0"/>
                <w:sz w:val="18"/>
                <w:szCs w:val="18"/>
              </w:rPr>
              <w:t>120000</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100</w:t>
            </w:r>
            <w:r>
              <w:rPr>
                <w:rFonts w:hint="eastAsia" w:ascii="宋体" w:hAnsi="宋体" w:cs="宋体"/>
                <w:kern w:val="0"/>
                <w:sz w:val="18"/>
                <w:szCs w:val="18"/>
              </w:rPr>
              <w:t>≤</w:t>
            </w:r>
            <w:r>
              <w:rPr>
                <w:rFonts w:ascii="宋体" w:hAnsi="宋体" w:cs="宋体"/>
                <w:kern w:val="0"/>
                <w:sz w:val="18"/>
                <w:szCs w:val="18"/>
              </w:rPr>
              <w:t>Z</w:t>
            </w:r>
            <w:r>
              <w:rPr>
                <w:rFonts w:hint="eastAsia" w:ascii="宋体" w:hAnsi="宋体" w:cs="宋体"/>
                <w:kern w:val="0"/>
                <w:sz w:val="18"/>
                <w:szCs w:val="18"/>
              </w:rPr>
              <w:t>＜</w:t>
            </w:r>
            <w:r>
              <w:rPr>
                <w:rFonts w:ascii="宋体" w:hAnsi="宋体" w:cs="宋体"/>
                <w:kern w:val="0"/>
                <w:sz w:val="18"/>
                <w:szCs w:val="18"/>
              </w:rPr>
              <w:t>8000</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Z</w:t>
            </w:r>
            <w:r>
              <w:rPr>
                <w:rFonts w:hint="eastAsia" w:ascii="宋体" w:hAnsi="宋体" w:cs="宋体"/>
                <w:kern w:val="0"/>
                <w:sz w:val="18"/>
                <w:szCs w:val="18"/>
              </w:rPr>
              <w:t>＜</w:t>
            </w:r>
            <w:r>
              <w:rPr>
                <w:rFonts w:ascii="宋体" w:hAnsi="宋体" w:cs="宋体"/>
                <w:kern w:val="0"/>
                <w:sz w:val="18"/>
                <w:szCs w:val="18"/>
              </w:rPr>
              <w:t>100</w:t>
            </w:r>
          </w:p>
        </w:tc>
      </w:tr>
      <w:tr>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noWrap w:val="0"/>
            <w:vAlign w:val="center"/>
          </w:tcPr>
          <w:p>
            <w:pPr>
              <w:widowControl/>
              <w:spacing w:line="240" w:lineRule="exact"/>
              <w:jc w:val="left"/>
              <w:rPr>
                <w:rFonts w:ascii="宋体" w:cs="宋体"/>
                <w:kern w:val="0"/>
                <w:sz w:val="18"/>
                <w:szCs w:val="18"/>
              </w:rPr>
            </w:pPr>
            <w:r>
              <w:rPr>
                <w:rFonts w:hint="eastAsia" w:ascii="宋体" w:hAnsi="宋体" w:cs="宋体"/>
                <w:kern w:val="0"/>
                <w:sz w:val="18"/>
                <w:szCs w:val="18"/>
              </w:rPr>
              <w:t>其他未列明行业</w:t>
            </w:r>
            <w:r>
              <w:rPr>
                <w:rFonts w:ascii="宋体" w:hAnsi="宋体" w:cs="宋体"/>
                <w:kern w:val="0"/>
                <w:sz w:val="18"/>
                <w:szCs w:val="18"/>
              </w:rPr>
              <w:t xml:space="preserve"> *</w:t>
            </w:r>
          </w:p>
        </w:tc>
        <w:tc>
          <w:tcPr>
            <w:tcW w:w="136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从业人员</w:t>
            </w:r>
            <w:r>
              <w:rPr>
                <w:rFonts w:ascii="宋体" w:hAnsi="宋体" w:cs="宋体"/>
                <w:kern w:val="0"/>
                <w:sz w:val="18"/>
                <w:szCs w:val="18"/>
              </w:rPr>
              <w:t>(X)</w:t>
            </w:r>
          </w:p>
        </w:tc>
        <w:tc>
          <w:tcPr>
            <w:tcW w:w="709"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hint="eastAsia" w:ascii="宋体" w:hAnsi="宋体" w:cs="宋体"/>
                <w:kern w:val="0"/>
                <w:sz w:val="18"/>
                <w:szCs w:val="18"/>
              </w:rPr>
              <w:t>人</w:t>
            </w:r>
          </w:p>
        </w:tc>
        <w:tc>
          <w:tcPr>
            <w:tcW w:w="1125"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300</w:t>
            </w:r>
          </w:p>
        </w:tc>
        <w:tc>
          <w:tcPr>
            <w:tcW w:w="1701" w:type="dxa"/>
            <w:tcBorders>
              <w:top w:val="nil"/>
              <w:left w:val="nil"/>
              <w:bottom w:val="single" w:color="auto" w:sz="4" w:space="0"/>
              <w:right w:val="single" w:color="auto" w:sz="4" w:space="0"/>
            </w:tcBorders>
            <w:noWrap w:val="0"/>
            <w:vAlign w:val="center"/>
          </w:tcPr>
          <w:p>
            <w:pPr>
              <w:widowControl/>
              <w:ind w:left="1" w:leftChars="-51" w:hanging="108" w:hangingChars="60"/>
              <w:jc w:val="center"/>
              <w:rPr>
                <w:rFonts w:ascii="宋体" w:cs="宋体"/>
                <w:kern w:val="0"/>
                <w:sz w:val="18"/>
                <w:szCs w:val="18"/>
              </w:rPr>
            </w:pPr>
            <w:r>
              <w:rPr>
                <w:rFonts w:ascii="宋体" w:hAnsi="宋体" w:cs="宋体"/>
                <w:kern w:val="0"/>
                <w:sz w:val="18"/>
                <w:szCs w:val="18"/>
              </w:rPr>
              <w:t>100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 xml:space="preserve">300 </w:t>
            </w:r>
          </w:p>
        </w:tc>
        <w:tc>
          <w:tcPr>
            <w:tcW w:w="1426" w:type="dxa"/>
            <w:tcBorders>
              <w:top w:val="nil"/>
              <w:left w:val="nil"/>
              <w:bottom w:val="single" w:color="auto" w:sz="4" w:space="0"/>
              <w:right w:val="single" w:color="auto" w:sz="4" w:space="0"/>
            </w:tcBorders>
            <w:noWrap w:val="0"/>
            <w:vAlign w:val="center"/>
          </w:tcPr>
          <w:p>
            <w:pPr>
              <w:widowControl/>
              <w:jc w:val="center"/>
              <w:rPr>
                <w:rFonts w:ascii="宋体" w:cs="宋体"/>
                <w:kern w:val="0"/>
                <w:sz w:val="18"/>
                <w:szCs w:val="18"/>
              </w:rPr>
            </w:pPr>
            <w:r>
              <w:rPr>
                <w:rFonts w:ascii="宋体" w:hAnsi="宋体" w:cs="宋体"/>
                <w:kern w:val="0"/>
                <w:sz w:val="18"/>
                <w:szCs w:val="18"/>
              </w:rPr>
              <w:t xml:space="preserve"> 10</w:t>
            </w:r>
            <w:r>
              <w:rPr>
                <w:rFonts w:hint="eastAsia" w:ascii="宋体" w:hAnsi="宋体" w:cs="宋体"/>
                <w:kern w:val="0"/>
                <w:sz w:val="18"/>
                <w:szCs w:val="18"/>
              </w:rPr>
              <w:t>≤</w:t>
            </w: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100</w:t>
            </w:r>
          </w:p>
        </w:tc>
        <w:tc>
          <w:tcPr>
            <w:tcW w:w="992" w:type="dxa"/>
            <w:tcBorders>
              <w:top w:val="nil"/>
              <w:left w:val="nil"/>
              <w:bottom w:val="single" w:color="auto" w:sz="4" w:space="0"/>
              <w:right w:val="nil"/>
            </w:tcBorders>
            <w:noWrap w:val="0"/>
            <w:vAlign w:val="center"/>
          </w:tcPr>
          <w:p>
            <w:pPr>
              <w:widowControl/>
              <w:jc w:val="center"/>
              <w:rPr>
                <w:rFonts w:ascii="宋体" w:cs="宋体"/>
                <w:kern w:val="0"/>
                <w:sz w:val="18"/>
                <w:szCs w:val="18"/>
              </w:rPr>
            </w:pPr>
            <w:r>
              <w:rPr>
                <w:rFonts w:ascii="宋体" w:hAnsi="宋体" w:cs="宋体"/>
                <w:kern w:val="0"/>
                <w:sz w:val="18"/>
                <w:szCs w:val="18"/>
              </w:rPr>
              <w:t>X</w:t>
            </w:r>
            <w:r>
              <w:rPr>
                <w:rFonts w:hint="eastAsia" w:ascii="宋体" w:hAnsi="宋体" w:cs="宋体"/>
                <w:kern w:val="0"/>
                <w:sz w:val="18"/>
                <w:szCs w:val="18"/>
              </w:rPr>
              <w:t>＜</w:t>
            </w:r>
            <w:r>
              <w:rPr>
                <w:rFonts w:ascii="宋体" w:hAnsi="宋体" w:cs="宋体"/>
                <w:kern w:val="0"/>
                <w:sz w:val="18"/>
                <w:szCs w:val="18"/>
              </w:rPr>
              <w:t>10</w:t>
            </w:r>
          </w:p>
        </w:tc>
      </w:tr>
    </w:tbl>
    <w:p>
      <w:pPr>
        <w:widowControl/>
        <w:spacing w:line="540" w:lineRule="exact"/>
        <w:rPr>
          <w:rFonts w:hint="eastAsia" w:ascii="仿宋_GB2312" w:eastAsia="仿宋_GB2312" w:cs="宋体"/>
          <w:spacing w:val="8"/>
          <w:kern w:val="0"/>
          <w:sz w:val="32"/>
          <w:szCs w:val="32"/>
        </w:rPr>
      </w:pPr>
    </w:p>
    <w:p>
      <w:pPr>
        <w:widowControl/>
        <w:spacing w:line="540" w:lineRule="exact"/>
        <w:rPr>
          <w:rFonts w:hint="eastAsia" w:ascii="仿宋_GB2312" w:eastAsia="仿宋_GB2312" w:cs="宋体"/>
          <w:spacing w:val="8"/>
          <w:kern w:val="0"/>
          <w:sz w:val="32"/>
          <w:szCs w:val="32"/>
        </w:rPr>
      </w:pPr>
    </w:p>
    <w:p>
      <w:pPr>
        <w:spacing w:line="540" w:lineRule="exact"/>
        <w:rPr>
          <w:rFonts w:hint="eastAsia" w:ascii="宋体" w:hAnsi="宋体" w:cs="宋体"/>
          <w:spacing w:val="8"/>
          <w:kern w:val="0"/>
          <w:sz w:val="24"/>
        </w:rPr>
      </w:pPr>
      <w:r>
        <w:rPr>
          <w:rFonts w:hint="eastAsia" w:ascii="宋体" w:hAnsi="宋体" w:cs="宋体"/>
          <w:spacing w:val="8"/>
          <w:kern w:val="0"/>
          <w:sz w:val="24"/>
        </w:rPr>
        <w:t>说明：</w:t>
      </w:r>
    </w:p>
    <w:p>
      <w:pPr>
        <w:spacing w:line="540" w:lineRule="exact"/>
        <w:rPr>
          <w:rFonts w:hint="eastAsia" w:ascii="宋体" w:hAnsi="宋体" w:cs="宋体"/>
          <w:spacing w:val="8"/>
          <w:kern w:val="0"/>
          <w:sz w:val="24"/>
        </w:rPr>
      </w:pPr>
      <w:r>
        <w:rPr>
          <w:rFonts w:hint="eastAsia" w:ascii="仿宋_GB2312" w:eastAsia="仿宋_GB2312" w:cs="宋体"/>
          <w:spacing w:val="8"/>
          <w:kern w:val="0"/>
          <w:sz w:val="24"/>
        </w:rPr>
        <w:t>　　</w:t>
      </w:r>
      <w:r>
        <w:rPr>
          <w:rFonts w:hint="eastAsia" w:ascii="宋体" w:hAnsi="宋体" w:cs="宋体"/>
          <w:spacing w:val="8"/>
          <w:kern w:val="0"/>
          <w:sz w:val="24"/>
        </w:rPr>
        <w:t>1.大型、中型和小型企业须同时满足所列指标的下限，否则下划一档；微型企业只须满足所列指标中的一项即可。</w:t>
      </w:r>
    </w:p>
    <w:p>
      <w:pPr>
        <w:spacing w:line="540" w:lineRule="exact"/>
        <w:rPr>
          <w:rFonts w:hint="eastAsia" w:ascii="宋体" w:hAnsi="宋体" w:cs="宋体"/>
          <w:spacing w:val="8"/>
          <w:kern w:val="0"/>
          <w:sz w:val="24"/>
        </w:rPr>
      </w:pPr>
      <w:r>
        <w:rPr>
          <w:rFonts w:hint="eastAsia" w:ascii="宋体" w:hAnsi="宋体" w:cs="宋体"/>
          <w:spacing w:val="8"/>
          <w:kern w:val="0"/>
          <w:sz w:val="24"/>
        </w:rPr>
        <w:t>　　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pPr>
        <w:spacing w:line="540" w:lineRule="exact"/>
        <w:rPr>
          <w:rFonts w:hint="eastAsia" w:ascii="宋体" w:hAnsi="宋体" w:cs="宋体"/>
          <w:sz w:val="24"/>
        </w:rPr>
      </w:pPr>
      <w:r>
        <w:rPr>
          <w:rFonts w:hint="eastAsia" w:ascii="宋体" w:hAnsi="宋体" w:cs="宋体"/>
          <w:spacing w:val="8"/>
          <w:kern w:val="0"/>
          <w:sz w:val="24"/>
        </w:rPr>
        <w:t>　　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pPr>
        <w:rPr>
          <w:rFonts w:hint="eastAsia" w:ascii="宋体" w:hAnsi="宋体" w:cs="宋体"/>
          <w:b/>
          <w:sz w:val="30"/>
          <w:szCs w:val="30"/>
        </w:rPr>
      </w:pPr>
      <w:r>
        <w:rPr>
          <w:rFonts w:hint="eastAsia" w:ascii="宋体" w:hAnsi="宋体" w:cs="宋体"/>
          <w:b/>
          <w:sz w:val="30"/>
          <w:szCs w:val="30"/>
        </w:rPr>
        <w:br w:type="page"/>
      </w:r>
    </w:p>
    <w:p>
      <w:pPr>
        <w:spacing w:line="720" w:lineRule="auto"/>
        <w:jc w:val="center"/>
        <w:outlineLvl w:val="1"/>
        <w:rPr>
          <w:rFonts w:ascii="宋体" w:hAnsi="宋体" w:cs="宋体"/>
          <w:b/>
          <w:sz w:val="30"/>
          <w:szCs w:val="30"/>
        </w:rPr>
      </w:pPr>
      <w:r>
        <w:rPr>
          <w:rFonts w:hint="eastAsia" w:ascii="宋体" w:hAnsi="宋体" w:cs="宋体"/>
          <w:b/>
          <w:sz w:val="30"/>
          <w:szCs w:val="30"/>
        </w:rPr>
        <w:t>一、总则</w:t>
      </w:r>
      <w:bookmarkEnd w:id="47"/>
    </w:p>
    <w:p>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1．适用范围</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sz w:val="24"/>
          <w:szCs w:val="24"/>
        </w:rPr>
        <w:t>1.1本竞争性磋商文件仅适用于本次竞争性磋商邀请函中所述</w:t>
      </w:r>
      <w:r>
        <w:rPr>
          <w:rFonts w:hint="eastAsia" w:ascii="宋体" w:hAnsi="宋体" w:eastAsia="宋体" w:cs="宋体"/>
          <w:bCs/>
          <w:sz w:val="24"/>
          <w:szCs w:val="24"/>
        </w:rPr>
        <w:t>项目。</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2．定义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2.1“采购代理机构”：周口市公共资源交易中心政府采购中心。</w:t>
      </w:r>
    </w:p>
    <w:p>
      <w:pPr>
        <w:tabs>
          <w:tab w:val="left" w:pos="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2.2“采购人”：周口市林业保护中心</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2.3“供应商”系指按竞争性磋商文件规定取得竞争性磋商文件并参加竞争性磋商活动的法人、其他组织或者自然人。</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2.4“供应商代表”：系指代表供应商参加本次竞争性磋商活动的供应商的法定代表人或其委托代理人。</w:t>
      </w:r>
    </w:p>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2.5“服务”：系指本项目所采购的服务及其他要求等。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2.7“重大违法记录”系指供应商因违法经营受到刑事处罚或者责令停产停业、吊销许可证或者执照、较大数额罚款等行政处罚。</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2.8“不具备良好的商业信誉”是指：</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（1）有重大违法记录的（满三年的除外）；</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（2）被各级财政部门列入政府采购严重违法失信行为信息记录的（期限已满的除外）；</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（3）被各级政府采购监督管理部门禁止在一定期限内参加政府采购活动等处罚的（期限已满的除外）；</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（4）被各级法院列入失信名单的（已依法解除的除外）；</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（5）法律法规规定的其他情形。</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3.采购预算</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3.1本次采购预算：见公告。</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4.合格的供应商</w:t>
      </w:r>
    </w:p>
    <w:p>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4.1.1符合</w:t>
      </w:r>
      <w:r>
        <w:rPr>
          <w:rFonts w:hint="eastAsia" w:ascii="宋体" w:hAnsi="宋体" w:eastAsia="宋体" w:cs="宋体"/>
          <w:b/>
          <w:bCs/>
          <w:color w:val="000000"/>
          <w:sz w:val="24"/>
          <w:szCs w:val="24"/>
          <w:highlight w:val="none"/>
        </w:rPr>
        <w:t>供应商资格条件（详见第一部分供应商资格条件）</w:t>
      </w:r>
    </w:p>
    <w:p>
      <w:pPr>
        <w:widowControl/>
        <w:spacing w:line="360" w:lineRule="auto"/>
        <w:ind w:firstLine="482" w:firstLineChars="200"/>
        <w:rPr>
          <w:rFonts w:hint="eastAsia" w:ascii="宋体" w:hAnsi="宋体" w:eastAsia="宋体" w:cs="宋体"/>
          <w:b/>
          <w:bCs/>
          <w:color w:val="000000"/>
          <w:kern w:val="0"/>
          <w:sz w:val="24"/>
          <w:szCs w:val="24"/>
          <w:highlight w:val="none"/>
          <w:lang w:val="zh-CN"/>
        </w:rPr>
      </w:pPr>
      <w:r>
        <w:rPr>
          <w:rFonts w:hint="eastAsia" w:ascii="宋体" w:hAnsi="宋体" w:eastAsia="宋体" w:cs="宋体"/>
          <w:b/>
          <w:bCs/>
          <w:color w:val="000000"/>
          <w:kern w:val="0"/>
          <w:sz w:val="24"/>
          <w:szCs w:val="24"/>
          <w:highlight w:val="none"/>
          <w:lang w:val="zh-CN"/>
        </w:rPr>
        <w:t>4.1.2参加政府采购活动前三年内，在经营活动中没有重大违法记录的声明函；</w:t>
      </w:r>
    </w:p>
    <w:p>
      <w:pPr>
        <w:widowControl/>
        <w:spacing w:line="360" w:lineRule="auto"/>
        <w:ind w:firstLine="482" w:firstLineChars="200"/>
        <w:rPr>
          <w:rFonts w:hint="eastAsia" w:ascii="宋体" w:hAnsi="宋体" w:eastAsia="宋体" w:cs="宋体"/>
          <w:b/>
          <w:bCs/>
          <w:color w:val="000000"/>
          <w:kern w:val="0"/>
          <w:sz w:val="24"/>
          <w:szCs w:val="24"/>
          <w:highlight w:val="none"/>
          <w:lang w:val="zh-CN"/>
        </w:rPr>
      </w:pPr>
      <w:r>
        <w:rPr>
          <w:rFonts w:hint="eastAsia" w:ascii="宋体" w:hAnsi="宋体" w:eastAsia="宋体" w:cs="宋体"/>
          <w:b/>
          <w:bCs/>
          <w:color w:val="000000"/>
          <w:kern w:val="0"/>
          <w:sz w:val="24"/>
          <w:szCs w:val="24"/>
          <w:highlight w:val="none"/>
          <w:lang w:val="zh-CN"/>
        </w:rPr>
        <w:t>4.1.3 政府采购供应商诚信承诺书；</w:t>
      </w:r>
    </w:p>
    <w:p>
      <w:pPr>
        <w:pStyle w:val="71"/>
        <w:spacing w:line="360" w:lineRule="auto"/>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w:t>
      </w:r>
      <w:r>
        <w:rPr>
          <w:rFonts w:hint="eastAsia" w:ascii="宋体" w:hAnsi="宋体" w:eastAsia="宋体" w:cs="宋体"/>
          <w:b/>
          <w:bCs/>
          <w:color w:val="000000"/>
          <w:sz w:val="24"/>
          <w:szCs w:val="24"/>
          <w:highlight w:val="none"/>
          <w:lang w:val="en-US"/>
        </w:rPr>
        <w:t>1.4 供应商</w:t>
      </w:r>
      <w:r>
        <w:rPr>
          <w:rFonts w:hint="eastAsia" w:ascii="宋体" w:hAnsi="宋体" w:eastAsia="宋体" w:cs="宋体"/>
          <w:b/>
          <w:bCs/>
          <w:color w:val="000000"/>
          <w:sz w:val="24"/>
          <w:szCs w:val="24"/>
          <w:highlight w:val="none"/>
        </w:rPr>
        <w:t>自觉抵制政府采购领域商业贿赂行为承诺书；</w:t>
      </w:r>
    </w:p>
    <w:p>
      <w:pPr>
        <w:spacing w:line="360" w:lineRule="auto"/>
        <w:ind w:firstLine="482" w:firstLineChars="200"/>
        <w:rPr>
          <w:rFonts w:hint="eastAsia" w:ascii="宋体" w:hAnsi="宋体" w:eastAsia="宋体" w:cs="宋体"/>
          <w:b/>
          <w:bCs/>
          <w:color w:val="000000"/>
          <w:kern w:val="0"/>
          <w:sz w:val="24"/>
          <w:szCs w:val="24"/>
          <w:highlight w:val="none"/>
          <w:lang w:val="zh-CN"/>
        </w:rPr>
      </w:pPr>
      <w:r>
        <w:rPr>
          <w:rFonts w:hint="eastAsia" w:ascii="宋体" w:hAnsi="宋体" w:eastAsia="宋体" w:cs="宋体"/>
          <w:b/>
          <w:bCs/>
          <w:color w:val="000000"/>
          <w:kern w:val="0"/>
          <w:sz w:val="24"/>
          <w:szCs w:val="24"/>
          <w:highlight w:val="none"/>
          <w:lang w:val="zh-CN"/>
        </w:rPr>
        <w:t xml:space="preserve">4.2 </w:t>
      </w:r>
      <w:r>
        <w:rPr>
          <w:rFonts w:hint="eastAsia" w:ascii="宋体" w:hAnsi="宋体" w:eastAsia="宋体" w:cs="宋体"/>
          <w:b/>
          <w:bCs/>
          <w:color w:val="000000"/>
          <w:kern w:val="0"/>
          <w:sz w:val="24"/>
          <w:szCs w:val="24"/>
          <w:highlight w:val="none"/>
        </w:rPr>
        <w:t>供应商需提供售后服务体系与承诺</w:t>
      </w:r>
      <w:r>
        <w:rPr>
          <w:rFonts w:hint="eastAsia" w:ascii="宋体" w:hAnsi="宋体" w:eastAsia="宋体" w:cs="宋体"/>
          <w:b/>
          <w:bCs/>
          <w:color w:val="000000"/>
          <w:kern w:val="0"/>
          <w:sz w:val="24"/>
          <w:szCs w:val="24"/>
          <w:highlight w:val="none"/>
          <w:lang w:val="zh-CN"/>
        </w:rPr>
        <w:t>。</w:t>
      </w:r>
    </w:p>
    <w:p>
      <w:pPr>
        <w:pStyle w:val="71"/>
        <w:spacing w:line="360" w:lineRule="auto"/>
        <w:ind w:firstLine="482" w:firstLineChars="200"/>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w:t>
      </w:r>
      <w:r>
        <w:rPr>
          <w:rFonts w:hint="eastAsia" w:ascii="宋体" w:hAnsi="宋体" w:eastAsia="宋体" w:cs="宋体"/>
          <w:b/>
          <w:bCs/>
          <w:color w:val="000000"/>
          <w:sz w:val="24"/>
          <w:szCs w:val="24"/>
          <w:highlight w:val="none"/>
          <w:lang w:val="en-US"/>
        </w:rPr>
        <w:t>3</w:t>
      </w:r>
      <w:r>
        <w:rPr>
          <w:rFonts w:hint="eastAsia" w:ascii="宋体" w:hAnsi="宋体" w:eastAsia="宋体" w:cs="宋体"/>
          <w:b/>
          <w:bCs/>
          <w:color w:val="000000"/>
          <w:sz w:val="24"/>
          <w:szCs w:val="24"/>
          <w:highlight w:val="none"/>
        </w:rPr>
        <w:t>符合本竞争性磋商文件规定的供应商资格要求及项目要求的其它条件，并按照要求提供相关证明材料。</w:t>
      </w:r>
    </w:p>
    <w:p>
      <w:pPr>
        <w:spacing w:line="360" w:lineRule="auto"/>
        <w:ind w:firstLine="482" w:firstLineChars="200"/>
        <w:rPr>
          <w:rFonts w:hint="eastAsia" w:ascii="宋体" w:hAnsi="宋体" w:eastAsia="宋体" w:cs="宋体"/>
          <w:b/>
          <w:bCs/>
          <w:color w:val="000000"/>
          <w:kern w:val="0"/>
          <w:sz w:val="24"/>
          <w:szCs w:val="24"/>
          <w:highlight w:val="none"/>
          <w:lang w:val="zh-CN" w:eastAsia="zh-CN" w:bidi="ar-SA"/>
        </w:rPr>
      </w:pPr>
      <w:r>
        <w:rPr>
          <w:rFonts w:hint="eastAsia" w:ascii="宋体" w:hAnsi="宋体" w:eastAsia="宋体" w:cs="宋体"/>
          <w:b/>
          <w:bCs/>
          <w:color w:val="000000"/>
          <w:kern w:val="0"/>
          <w:sz w:val="24"/>
          <w:szCs w:val="24"/>
          <w:highlight w:val="none"/>
          <w:lang w:val="zh-CN" w:eastAsia="zh-CN" w:bidi="ar-SA"/>
        </w:rPr>
        <w:t>4.4供应商应遵守国家法律、法规有关竞争性磋商的规定。</w:t>
      </w:r>
    </w:p>
    <w:p>
      <w:pPr>
        <w:autoSpaceDE w:val="0"/>
        <w:autoSpaceDN w:val="0"/>
        <w:adjustRightInd w:val="0"/>
        <w:snapToGrid w:val="0"/>
        <w:spacing w:line="360" w:lineRule="auto"/>
        <w:ind w:firstLine="482" w:firstLineChars="200"/>
        <w:rPr>
          <w:rFonts w:hint="eastAsia" w:ascii="宋体" w:hAnsi="宋体" w:eastAsia="宋体" w:cs="宋体"/>
          <w:b/>
          <w:bCs/>
          <w:color w:val="000000"/>
          <w:kern w:val="0"/>
          <w:sz w:val="24"/>
          <w:szCs w:val="24"/>
          <w:highlight w:val="none"/>
          <w:lang w:val="zh-CN" w:eastAsia="zh-CN" w:bidi="ar-SA"/>
        </w:rPr>
      </w:pPr>
      <w:r>
        <w:rPr>
          <w:rFonts w:hint="eastAsia" w:ascii="宋体" w:hAnsi="宋体" w:eastAsia="宋体" w:cs="宋体"/>
          <w:b/>
          <w:bCs/>
          <w:color w:val="000000"/>
          <w:kern w:val="0"/>
          <w:sz w:val="24"/>
          <w:szCs w:val="24"/>
          <w:highlight w:val="none"/>
          <w:lang w:val="zh-CN" w:eastAsia="zh-CN" w:bidi="ar-SA"/>
        </w:rPr>
        <w:t>4.5 凡通过磋商小组符合性审查的供应商均为合格供应商。未通过符合性审查的供应商不得进入竞争性磋商下一步程序。</w:t>
      </w:r>
    </w:p>
    <w:p>
      <w:pPr>
        <w:spacing w:line="360" w:lineRule="auto"/>
        <w:ind w:firstLine="482" w:firstLineChars="200"/>
        <w:rPr>
          <w:rFonts w:hint="eastAsia" w:ascii="宋体" w:hAnsi="宋体" w:eastAsia="宋体" w:cs="宋体"/>
          <w:b/>
          <w:bCs/>
          <w:sz w:val="24"/>
          <w:szCs w:val="24"/>
          <w:highlight w:val="none"/>
        </w:rPr>
      </w:pPr>
      <w:r>
        <w:rPr>
          <w:rFonts w:hint="eastAsia" w:ascii="宋体" w:hAnsi="宋体" w:eastAsia="宋体" w:cs="宋体"/>
          <w:b/>
          <w:bCs/>
          <w:color w:val="000000"/>
          <w:kern w:val="0"/>
          <w:sz w:val="24"/>
          <w:szCs w:val="24"/>
          <w:highlight w:val="none"/>
          <w:lang w:val="zh-CN" w:eastAsia="zh-CN" w:bidi="ar-SA"/>
        </w:rPr>
        <w:t>注：</w:t>
      </w:r>
      <w:r>
        <w:rPr>
          <w:rFonts w:hint="eastAsia" w:ascii="宋体" w:hAnsi="宋体" w:eastAsia="宋体" w:cs="宋体"/>
          <w:b/>
          <w:bCs/>
          <w:sz w:val="24"/>
          <w:szCs w:val="24"/>
          <w:highlight w:val="none"/>
        </w:rPr>
        <w:t>单位负责人为同一人或者存在直接控股、管理关系的不同供应商，不得参加同一合同项下的政府采购活动。</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 xml:space="preserve">5.竞争性磋商文件的约束力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5.l供应商一旦参加竞争性磋商，即被认为接受了本竞争性磋商文件中的所有条款和规定。</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5.3本磋商文件由采购人负责解释。</w:t>
      </w:r>
    </w:p>
    <w:p>
      <w:pPr>
        <w:pStyle w:val="25"/>
        <w:spacing w:line="360" w:lineRule="auto"/>
        <w:ind w:firstLine="480"/>
        <w:rPr>
          <w:rFonts w:hint="eastAsia" w:ascii="宋体" w:hAnsi="宋体" w:eastAsia="宋体" w:cs="宋体"/>
          <w:sz w:val="24"/>
          <w:szCs w:val="24"/>
        </w:rPr>
      </w:pPr>
    </w:p>
    <w:p>
      <w:pPr>
        <w:spacing w:line="360" w:lineRule="auto"/>
        <w:jc w:val="center"/>
        <w:outlineLvl w:val="1"/>
        <w:rPr>
          <w:rFonts w:hint="eastAsia" w:ascii="宋体" w:hAnsi="宋体" w:eastAsia="宋体" w:cs="宋体"/>
          <w:b/>
          <w:sz w:val="24"/>
          <w:szCs w:val="24"/>
        </w:rPr>
      </w:pPr>
      <w:bookmarkStart w:id="48" w:name="_Toc5125"/>
      <w:r>
        <w:rPr>
          <w:rFonts w:hint="eastAsia" w:ascii="宋体" w:hAnsi="宋体" w:eastAsia="宋体" w:cs="宋体"/>
          <w:b/>
          <w:sz w:val="24"/>
          <w:szCs w:val="24"/>
        </w:rPr>
        <w:t>二、竞争性磋商文件</w:t>
      </w:r>
      <w:bookmarkEnd w:id="48"/>
    </w:p>
    <w:p>
      <w:pPr>
        <w:tabs>
          <w:tab w:val="left" w:pos="632"/>
          <w:tab w:val="left" w:pos="790"/>
        </w:tabs>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6．竞争性磋商文件的组成</w:t>
      </w:r>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6.1竞争性磋商</w:t>
      </w:r>
      <w:r>
        <w:rPr>
          <w:rFonts w:hint="eastAsia" w:ascii="宋体" w:hAnsi="宋体" w:eastAsia="宋体" w:cs="宋体"/>
          <w:sz w:val="24"/>
          <w:szCs w:val="24"/>
          <w:lang w:val="zh-CN"/>
        </w:rPr>
        <w:t>文件是用以阐明的采购需求、采购程序和合同格式等的规范性文件。竞争性磋商文件主要由以下部分组成：</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（1）竞争性磋商邀请函；</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（2）供应商须知；</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（3）采购需求；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（4）响应性文件内容及格式；</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（5）合同主要条款。</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6.3供应商被视为充分熟悉本采购项目所在地的与履行合同有关的各种情况，包括自然环境、气候条件、劳动力及公用设施等，本竞争性磋商文件不再对上述情况进行描述。</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7.竞争性磋商文件的澄清与修改</w:t>
      </w:r>
    </w:p>
    <w:p>
      <w:pPr>
        <w:autoSpaceDE w:val="0"/>
        <w:autoSpaceDN w:val="0"/>
        <w:adjustRightInd w:val="0"/>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360" w:lineRule="auto"/>
        <w:jc w:val="center"/>
        <w:outlineLvl w:val="1"/>
        <w:rPr>
          <w:rFonts w:hint="eastAsia" w:ascii="宋体" w:hAnsi="宋体" w:eastAsia="宋体" w:cs="宋体"/>
          <w:b/>
          <w:sz w:val="24"/>
          <w:szCs w:val="24"/>
        </w:rPr>
      </w:pPr>
      <w:bookmarkStart w:id="49" w:name="_Toc16443"/>
      <w:r>
        <w:rPr>
          <w:rFonts w:hint="eastAsia" w:ascii="宋体" w:hAnsi="宋体" w:eastAsia="宋体" w:cs="宋体"/>
          <w:b/>
          <w:sz w:val="24"/>
          <w:szCs w:val="24"/>
        </w:rPr>
        <w:t>三、响应性文件的编制</w:t>
      </w:r>
      <w:bookmarkEnd w:id="49"/>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8.要求</w:t>
      </w:r>
    </w:p>
    <w:p>
      <w:pPr>
        <w:spacing w:line="360"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8.1供应商应仔细阅读、并充分理解竞争性磋商文件的所有内容，按照竞争性磋商文件的要求编制、提交响应性文件。</w:t>
      </w:r>
      <w:r>
        <w:rPr>
          <w:rFonts w:hint="eastAsia" w:ascii="宋体" w:hAnsi="宋体" w:eastAsia="宋体" w:cs="宋体"/>
          <w:b/>
          <w:bCs/>
          <w:sz w:val="24"/>
          <w:szCs w:val="24"/>
          <w:highlight w:val="none"/>
        </w:rPr>
        <w:t>响应性文件应对竞争性磋商文件的要求作出实质性响应，并保证所提供的全部资料的真实性、合法性，否则其响应性文件将作为无效处理。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8.2任何对竞争性磋商文件的忽略或误解不能作为响应性文件没有完全响应竞争性磋商文件的有效理由。</w:t>
      </w:r>
    </w:p>
    <w:p>
      <w:pPr>
        <w:spacing w:line="360" w:lineRule="auto"/>
        <w:ind w:firstLine="480" w:firstLineChars="200"/>
        <w:rPr>
          <w:rFonts w:hint="eastAsia" w:ascii="宋体" w:hAnsi="宋体" w:eastAsia="宋体" w:cs="宋体"/>
          <w:b/>
          <w:bCs/>
          <w:i/>
          <w:iCs/>
          <w:sz w:val="24"/>
          <w:szCs w:val="24"/>
          <w:highlight w:val="none"/>
        </w:rPr>
      </w:pPr>
      <w:r>
        <w:rPr>
          <w:rFonts w:hint="eastAsia" w:ascii="宋体" w:hAnsi="宋体" w:eastAsia="宋体" w:cs="宋体"/>
          <w:sz w:val="24"/>
          <w:szCs w:val="24"/>
        </w:rPr>
        <w:t>8.3</w:t>
      </w:r>
      <w:r>
        <w:rPr>
          <w:rFonts w:hint="eastAsia" w:ascii="宋体" w:hAnsi="宋体" w:eastAsia="宋体" w:cs="宋体"/>
          <w:b/>
          <w:bCs/>
          <w:sz w:val="24"/>
          <w:szCs w:val="24"/>
          <w:highlight w:val="none"/>
        </w:rPr>
        <w:t>供应商没有按照竞争性磋商文件要求提供全部资料，或者供应商没有对竞争性磋商文件在各方面都作出实质性响应是供应商的风险，并可能导致其响应性文件被拒绝。</w:t>
      </w:r>
    </w:p>
    <w:p>
      <w:pPr>
        <w:widowControl/>
        <w:spacing w:line="360" w:lineRule="auto"/>
        <w:ind w:firstLine="482" w:firstLineChars="200"/>
        <w:rPr>
          <w:rFonts w:hint="eastAsia" w:ascii="宋体" w:hAnsi="宋体" w:eastAsia="宋体" w:cs="宋体"/>
          <w:b/>
          <w:sz w:val="24"/>
          <w:szCs w:val="24"/>
        </w:rPr>
      </w:pPr>
      <w:r>
        <w:rPr>
          <w:rFonts w:hint="eastAsia" w:ascii="宋体" w:hAnsi="宋体" w:eastAsia="宋体" w:cs="宋体"/>
          <w:b/>
          <w:bCs/>
          <w:sz w:val="24"/>
          <w:szCs w:val="24"/>
          <w:highlight w:val="none"/>
        </w:rPr>
        <w:t>9.响应性文</w:t>
      </w:r>
      <w:r>
        <w:rPr>
          <w:rFonts w:hint="eastAsia" w:ascii="宋体" w:hAnsi="宋体" w:eastAsia="宋体" w:cs="宋体"/>
          <w:b/>
          <w:sz w:val="24"/>
          <w:szCs w:val="24"/>
        </w:rPr>
        <w:t xml:space="preserve">件的语言及度量衡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9.1响应性文件以及供应商与采购代理机构之间的所有书面往来都应用简体中文书写。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9.2供应商使用其他语言的，以中文翻译为准。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9.3关于计量单位，竞争性磋商文件已有明确规定的，使用竞争性磋商文件规定的计量单位；竞争性磋商文件没有规定的，应采用中华人民共和国法定计量单位。</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9.4本竞争性磋商文件所表述的时间均为北京时间。</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10.响应性文件的组成</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10.1响应性文件由</w:t>
      </w:r>
      <w:r>
        <w:rPr>
          <w:rFonts w:hint="eastAsia" w:ascii="宋体" w:hAnsi="宋体" w:eastAsia="宋体" w:cs="宋体"/>
          <w:bCs/>
          <w:sz w:val="24"/>
          <w:szCs w:val="24"/>
          <w:u w:val="single"/>
        </w:rPr>
        <w:t>资格性证明材料</w:t>
      </w:r>
      <w:r>
        <w:rPr>
          <w:rFonts w:hint="eastAsia" w:ascii="宋体" w:hAnsi="宋体" w:eastAsia="宋体" w:cs="宋体"/>
          <w:bCs/>
          <w:sz w:val="24"/>
          <w:szCs w:val="24"/>
        </w:rPr>
        <w:t>、</w:t>
      </w:r>
      <w:r>
        <w:rPr>
          <w:rFonts w:hint="eastAsia" w:ascii="宋体" w:hAnsi="宋体" w:eastAsia="宋体" w:cs="宋体"/>
          <w:bCs/>
          <w:sz w:val="24"/>
          <w:szCs w:val="24"/>
          <w:u w:val="single"/>
        </w:rPr>
        <w:t>符合性证明材料</w:t>
      </w:r>
      <w:r>
        <w:rPr>
          <w:rFonts w:hint="eastAsia" w:ascii="宋体" w:hAnsi="宋体" w:eastAsia="宋体" w:cs="宋体"/>
          <w:bCs/>
          <w:sz w:val="24"/>
          <w:szCs w:val="24"/>
        </w:rPr>
        <w:t>、</w:t>
      </w:r>
      <w:r>
        <w:rPr>
          <w:rFonts w:hint="eastAsia" w:ascii="宋体" w:hAnsi="宋体" w:eastAsia="宋体" w:cs="宋体"/>
          <w:bCs/>
          <w:sz w:val="24"/>
          <w:szCs w:val="24"/>
          <w:u w:val="single"/>
        </w:rPr>
        <w:t>其他材料</w:t>
      </w:r>
      <w:r>
        <w:rPr>
          <w:rFonts w:hint="eastAsia" w:ascii="宋体" w:hAnsi="宋体" w:eastAsia="宋体" w:cs="宋体"/>
          <w:sz w:val="24"/>
          <w:szCs w:val="24"/>
        </w:rPr>
        <w:t>三部分组成。具体内容和格式见竞争性磋商文件</w:t>
      </w:r>
      <w:r>
        <w:rPr>
          <w:rFonts w:hint="eastAsia" w:ascii="宋体" w:hAnsi="宋体" w:eastAsia="宋体" w:cs="宋体"/>
          <w:bCs/>
          <w:sz w:val="24"/>
          <w:szCs w:val="24"/>
        </w:rPr>
        <w:t>第四章</w:t>
      </w:r>
      <w:r>
        <w:rPr>
          <w:rFonts w:hint="eastAsia" w:ascii="宋体" w:hAnsi="宋体" w:eastAsia="宋体" w:cs="宋体"/>
          <w:sz w:val="24"/>
          <w:szCs w:val="24"/>
        </w:rPr>
        <w:t>。</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11.响应性文件格式</w:t>
      </w:r>
    </w:p>
    <w:p>
      <w:pPr>
        <w:widowControl/>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360" w:lineRule="auto"/>
        <w:ind w:firstLine="482" w:firstLineChars="200"/>
        <w:rPr>
          <w:rFonts w:hint="eastAsia" w:ascii="宋体" w:hAnsi="宋体" w:eastAsia="宋体" w:cs="宋体"/>
          <w:b/>
          <w:bCs/>
          <w:kern w:val="0"/>
          <w:sz w:val="24"/>
          <w:szCs w:val="24"/>
        </w:rPr>
      </w:pPr>
      <w:r>
        <w:rPr>
          <w:rFonts w:hint="eastAsia" w:ascii="宋体" w:hAnsi="宋体" w:eastAsia="宋体" w:cs="宋体"/>
          <w:b/>
          <w:bCs/>
          <w:kern w:val="0"/>
          <w:sz w:val="24"/>
          <w:szCs w:val="24"/>
        </w:rPr>
        <w:t>12.竞争性磋商报价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12.1报价包括所投服务、保险、税费、检测、验收和交付后约定期限内免费维保等工作所发生的一切应有费用。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12.2经过磋商后进行的报价为供应商的最终报价。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12.3采购人不接受有选择的报价。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12.4最终报价不得超过采购预算。</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12.5报价均须以人民币为计算单位。</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 xml:space="preserve">13．响应性文件有效期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13.l响应性文件有效期为自竞争性磋商开始之日起60天，有效期短于此规定的响应性文件将被视为无效。</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14.响应性文件的签署、盖章</w:t>
      </w:r>
    </w:p>
    <w:p>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14.1</w:t>
      </w:r>
      <w:r>
        <w:rPr>
          <w:rFonts w:hint="eastAsia" w:ascii="宋体" w:hAnsi="宋体" w:eastAsia="宋体" w:cs="宋体"/>
          <w:sz w:val="24"/>
          <w:szCs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sz w:val="24"/>
          <w:szCs w:val="24"/>
        </w:rPr>
        <w:t>14.3供应商提交的资料应证明其满足竞争性磋商文件要求，该文件可以是文字资料、</w:t>
      </w:r>
      <w:r>
        <w:rPr>
          <w:rFonts w:hint="eastAsia" w:ascii="宋体" w:hAnsi="宋体" w:eastAsia="宋体" w:cs="宋体"/>
          <w:color w:val="auto"/>
          <w:sz w:val="24"/>
          <w:szCs w:val="24"/>
        </w:rPr>
        <w:t>图纸和数据等详细描述的资料。</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15电子投标文件制作</w:t>
      </w:r>
      <w:r>
        <w:rPr>
          <w:rFonts w:hint="eastAsia" w:ascii="宋体" w:hAnsi="宋体" w:eastAsia="宋体" w:cs="宋体"/>
          <w:sz w:val="24"/>
          <w:szCs w:val="24"/>
          <w:lang w:eastAsia="zh-CN"/>
        </w:rPr>
        <w:t>，</w:t>
      </w:r>
      <w:r>
        <w:rPr>
          <w:rFonts w:hint="eastAsia" w:ascii="宋体" w:hAnsi="宋体" w:eastAsia="宋体" w:cs="宋体"/>
          <w:sz w:val="24"/>
          <w:szCs w:val="24"/>
        </w:rPr>
        <w:t>见周口市公共资源交易中心</w:t>
      </w:r>
      <w:r>
        <w:rPr>
          <w:rFonts w:hint="eastAsia" w:ascii="宋体" w:hAnsi="宋体" w:eastAsia="宋体" w:cs="宋体"/>
          <w:sz w:val="24"/>
          <w:szCs w:val="24"/>
          <w:lang w:val="en-US" w:eastAsia="zh-CN"/>
        </w:rPr>
        <w:t>网站下载中心版块</w:t>
      </w:r>
      <w:r>
        <w:rPr>
          <w:rFonts w:hint="eastAsia" w:ascii="宋体" w:hAnsi="宋体" w:eastAsia="宋体" w:cs="宋体"/>
          <w:sz w:val="24"/>
          <w:szCs w:val="24"/>
        </w:rPr>
        <w:t>《投标单位-电子投标文件视频制作手册》的相关规定。</w:t>
      </w:r>
    </w:p>
    <w:p>
      <w:pPr>
        <w:numPr>
          <w:ilvl w:val="0"/>
          <w:numId w:val="2"/>
        </w:numPr>
        <w:spacing w:line="360" w:lineRule="auto"/>
        <w:jc w:val="center"/>
        <w:outlineLvl w:val="1"/>
        <w:rPr>
          <w:rFonts w:hint="eastAsia" w:ascii="宋体" w:hAnsi="宋体" w:eastAsia="宋体" w:cs="宋体"/>
          <w:b/>
          <w:sz w:val="24"/>
          <w:szCs w:val="24"/>
        </w:rPr>
      </w:pPr>
      <w:bookmarkStart w:id="50" w:name="_Toc15106"/>
      <w:r>
        <w:rPr>
          <w:rFonts w:hint="eastAsia" w:ascii="宋体" w:hAnsi="宋体" w:eastAsia="宋体" w:cs="宋体"/>
          <w:b/>
          <w:sz w:val="24"/>
          <w:szCs w:val="24"/>
        </w:rPr>
        <w:t>响应性文件的递交</w:t>
      </w:r>
      <w:bookmarkEnd w:id="50"/>
    </w:p>
    <w:p>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加密的电子磋商响应文件，应在磋商截止时间前通过周口市公共资源交易中心会员系统上传；本项目实行网上远程开标，未加密的电子</w:t>
      </w:r>
      <w:r>
        <w:rPr>
          <w:rFonts w:hint="eastAsia" w:ascii="宋体" w:hAnsi="宋体" w:eastAsia="宋体" w:cs="宋体"/>
          <w:sz w:val="24"/>
          <w:szCs w:val="24"/>
          <w:lang w:val="en-US" w:eastAsia="zh-CN"/>
        </w:rPr>
        <w:t>响应</w:t>
      </w:r>
      <w:r>
        <w:rPr>
          <w:rFonts w:hint="eastAsia" w:ascii="宋体" w:hAnsi="宋体" w:eastAsia="宋体" w:cs="宋体"/>
          <w:sz w:val="24"/>
          <w:szCs w:val="24"/>
        </w:rPr>
        <w:t>文件和纸质</w:t>
      </w:r>
      <w:r>
        <w:rPr>
          <w:rFonts w:hint="eastAsia" w:ascii="宋体" w:hAnsi="宋体" w:eastAsia="宋体" w:cs="宋体"/>
          <w:sz w:val="24"/>
          <w:szCs w:val="24"/>
          <w:lang w:val="en-US" w:eastAsia="zh-CN"/>
        </w:rPr>
        <w:t>响应</w:t>
      </w:r>
      <w:r>
        <w:rPr>
          <w:rFonts w:hint="eastAsia" w:ascii="宋体" w:hAnsi="宋体" w:eastAsia="宋体" w:cs="宋体"/>
          <w:sz w:val="24"/>
          <w:szCs w:val="24"/>
        </w:rPr>
        <w:t>文件均不再提交。在解密投标</w:t>
      </w:r>
      <w:r>
        <w:rPr>
          <w:rFonts w:hint="eastAsia" w:ascii="宋体" w:hAnsi="宋体" w:eastAsia="宋体" w:cs="宋体"/>
          <w:sz w:val="24"/>
          <w:szCs w:val="24"/>
          <w:lang w:val="en-US" w:eastAsia="zh-CN"/>
        </w:rPr>
        <w:t>响应</w:t>
      </w:r>
      <w:r>
        <w:rPr>
          <w:rFonts w:hint="eastAsia" w:ascii="宋体" w:hAnsi="宋体" w:eastAsia="宋体" w:cs="宋体"/>
          <w:sz w:val="24"/>
          <w:szCs w:val="24"/>
        </w:rPr>
        <w:t>开始时30分钟内进行解密，超时视为放弃递交</w:t>
      </w:r>
      <w:r>
        <w:rPr>
          <w:rFonts w:hint="eastAsia" w:ascii="宋体" w:hAnsi="宋体" w:eastAsia="宋体" w:cs="宋体"/>
          <w:sz w:val="24"/>
          <w:szCs w:val="24"/>
          <w:lang w:val="en-US" w:eastAsia="zh-CN"/>
        </w:rPr>
        <w:t>响应</w:t>
      </w:r>
      <w:r>
        <w:rPr>
          <w:rFonts w:hint="eastAsia" w:ascii="宋体" w:hAnsi="宋体" w:eastAsia="宋体" w:cs="宋体"/>
          <w:sz w:val="24"/>
          <w:szCs w:val="24"/>
        </w:rPr>
        <w:t>文件。</w:t>
      </w:r>
    </w:p>
    <w:p>
      <w:pPr>
        <w:spacing w:line="360" w:lineRule="auto"/>
        <w:ind w:firstLine="550"/>
        <w:rPr>
          <w:rFonts w:hint="eastAsia" w:ascii="宋体" w:hAnsi="宋体" w:eastAsia="宋体" w:cs="宋体"/>
          <w:sz w:val="24"/>
          <w:szCs w:val="24"/>
        </w:rPr>
      </w:pPr>
      <w:r>
        <w:rPr>
          <w:rFonts w:hint="eastAsia" w:ascii="宋体" w:hAnsi="宋体" w:eastAsia="宋体" w:cs="宋体"/>
          <w:sz w:val="24"/>
          <w:szCs w:val="24"/>
        </w:rPr>
        <w:t>注：加密的电子投标文件的递交</w:t>
      </w:r>
      <w:r>
        <w:rPr>
          <w:rFonts w:hint="eastAsia" w:ascii="宋体" w:hAnsi="宋体" w:eastAsia="宋体" w:cs="宋体"/>
          <w:sz w:val="24"/>
          <w:szCs w:val="24"/>
          <w:lang w:eastAsia="zh-CN"/>
        </w:rPr>
        <w:t>，</w:t>
      </w:r>
      <w:r>
        <w:rPr>
          <w:rFonts w:hint="eastAsia" w:ascii="宋体" w:hAnsi="宋体" w:eastAsia="宋体" w:cs="宋体"/>
          <w:sz w:val="24"/>
          <w:szCs w:val="24"/>
        </w:rPr>
        <w:t>见周口市公共资源交易中心</w:t>
      </w:r>
      <w:r>
        <w:rPr>
          <w:rFonts w:hint="eastAsia" w:ascii="宋体" w:hAnsi="宋体" w:eastAsia="宋体" w:cs="宋体"/>
          <w:sz w:val="24"/>
          <w:szCs w:val="24"/>
          <w:lang w:val="en-US" w:eastAsia="zh-CN"/>
        </w:rPr>
        <w:t>网站下载中心版块</w:t>
      </w:r>
      <w:r>
        <w:rPr>
          <w:rFonts w:hint="eastAsia" w:ascii="宋体" w:hAnsi="宋体" w:eastAsia="宋体" w:cs="宋体"/>
          <w:color w:val="auto"/>
          <w:sz w:val="24"/>
          <w:szCs w:val="24"/>
        </w:rPr>
        <w:t>《投标单位-电子投标文件视频制作手册》的相</w:t>
      </w:r>
      <w:r>
        <w:rPr>
          <w:rFonts w:hint="eastAsia" w:ascii="宋体" w:hAnsi="宋体" w:eastAsia="宋体" w:cs="宋体"/>
          <w:sz w:val="24"/>
          <w:szCs w:val="24"/>
        </w:rPr>
        <w:t>关规定。如未在招标文件规定的投标时间截止前上传网上</w:t>
      </w:r>
      <w:r>
        <w:rPr>
          <w:rFonts w:hint="eastAsia" w:ascii="宋体" w:hAnsi="宋体" w:eastAsia="宋体" w:cs="宋体"/>
          <w:sz w:val="24"/>
          <w:szCs w:val="24"/>
          <w:lang w:val="en-US" w:eastAsia="zh-CN"/>
        </w:rPr>
        <w:t>响应</w:t>
      </w:r>
      <w:r>
        <w:rPr>
          <w:rFonts w:hint="eastAsia" w:ascii="宋体" w:hAnsi="宋体" w:eastAsia="宋体" w:cs="宋体"/>
          <w:sz w:val="24"/>
          <w:szCs w:val="24"/>
        </w:rPr>
        <w:t>文件，投标无效。</w:t>
      </w:r>
    </w:p>
    <w:p>
      <w:pPr>
        <w:autoSpaceDE w:val="0"/>
        <w:autoSpaceDN w:val="0"/>
        <w:adjustRightInd w:val="0"/>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rPr>
        <w:t>供应商须使用单位CA证书进行电子响应文件远程解密，详见周口市公共资源电子交易中心网站（网址：http://jyzx.zhoukou.gov.cn）</w:t>
      </w:r>
      <w:r>
        <w:rPr>
          <w:rFonts w:hint="eastAsia" w:ascii="宋体" w:hAnsi="宋体" w:eastAsia="宋体" w:cs="宋体"/>
          <w:sz w:val="24"/>
          <w:szCs w:val="24"/>
          <w:lang w:val="en-US" w:eastAsia="zh-CN"/>
        </w:rPr>
        <w:t>办事指南</w:t>
      </w:r>
      <w:r>
        <w:rPr>
          <w:rFonts w:hint="eastAsia" w:ascii="宋体" w:hAnsi="宋体" w:eastAsia="宋体" w:cs="宋体"/>
          <w:bCs/>
          <w:sz w:val="24"/>
          <w:szCs w:val="24"/>
          <w:lang w:val="en-US" w:eastAsia="zh-CN"/>
        </w:rPr>
        <w:t>《</w:t>
      </w:r>
      <w:r>
        <w:rPr>
          <w:rFonts w:hint="eastAsia" w:ascii="宋体" w:hAnsi="宋体" w:eastAsia="宋体" w:cs="宋体"/>
          <w:bCs/>
          <w:sz w:val="24"/>
          <w:szCs w:val="24"/>
        </w:rPr>
        <w:t>不见面开标远程在线解密会员端操作手册操作指南</w:t>
      </w:r>
      <w:r>
        <w:rPr>
          <w:rFonts w:hint="eastAsia" w:ascii="宋体" w:hAnsi="宋体" w:eastAsia="宋体" w:cs="宋体"/>
          <w:bCs/>
          <w:sz w:val="24"/>
          <w:szCs w:val="24"/>
          <w:lang w:val="en-US" w:eastAsia="zh-CN"/>
        </w:rPr>
        <w:t>》</w:t>
      </w:r>
      <w:r>
        <w:rPr>
          <w:rFonts w:hint="eastAsia" w:ascii="宋体" w:hAnsi="宋体" w:eastAsia="宋体" w:cs="宋体"/>
          <w:sz w:val="24"/>
          <w:szCs w:val="24"/>
        </w:rPr>
        <w:t>。</w:t>
      </w:r>
    </w:p>
    <w:p>
      <w:pPr>
        <w:spacing w:line="360" w:lineRule="auto"/>
        <w:rPr>
          <w:rFonts w:hint="eastAsia" w:ascii="宋体" w:hAnsi="宋体" w:eastAsia="宋体" w:cs="宋体"/>
          <w:b/>
          <w:sz w:val="24"/>
          <w:szCs w:val="24"/>
        </w:rPr>
      </w:pPr>
      <w:r>
        <w:rPr>
          <w:rFonts w:hint="eastAsia" w:ascii="宋体" w:hAnsi="宋体" w:eastAsia="宋体" w:cs="宋体"/>
          <w:b/>
          <w:sz w:val="24"/>
          <w:szCs w:val="24"/>
        </w:rPr>
        <w:t>16.响应性文件的递交</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16.1供应商应在竞争性磋商邀请函中规定的截止日期和时间前，将响应性文件在会员系统成功上传，递交（接收）地点为竞争性磋商邀请函中规定的地址。</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16.2若采购人推迟了响应性文件接收截止时间，采购人和供应商受响应性文件接收截止时间制约的所有权利和义务均应以新的截止时间为准。 </w:t>
      </w:r>
    </w:p>
    <w:p>
      <w:pPr>
        <w:pStyle w:val="55"/>
        <w:spacing w:line="360" w:lineRule="auto"/>
        <w:ind w:firstLine="482" w:firstLineChars="200"/>
        <w:rPr>
          <w:rFonts w:hint="eastAsia" w:ascii="宋体" w:hAnsi="宋体" w:eastAsia="宋体" w:cs="宋体"/>
          <w:b/>
          <w:sz w:val="24"/>
          <w:szCs w:val="24"/>
        </w:rPr>
      </w:pPr>
      <w:r>
        <w:rPr>
          <w:rFonts w:hint="eastAsia" w:ascii="宋体" w:hAnsi="宋体" w:eastAsia="宋体" w:cs="宋体"/>
          <w:b/>
          <w:bCs/>
          <w:sz w:val="24"/>
          <w:szCs w:val="24"/>
        </w:rPr>
        <w:t>17</w:t>
      </w:r>
      <w:r>
        <w:rPr>
          <w:rFonts w:hint="eastAsia" w:ascii="宋体" w:hAnsi="宋体" w:eastAsia="宋体" w:cs="宋体"/>
          <w:b/>
          <w:sz w:val="24"/>
          <w:szCs w:val="24"/>
        </w:rPr>
        <w:t>.响应性文件的修改和撤回</w:t>
      </w:r>
    </w:p>
    <w:p>
      <w:pPr>
        <w:pStyle w:val="55"/>
        <w:spacing w:line="360" w:lineRule="auto"/>
        <w:ind w:firstLine="480" w:firstLineChars="200"/>
        <w:rPr>
          <w:rFonts w:hint="eastAsia" w:ascii="宋体" w:hAnsi="宋体" w:eastAsia="宋体" w:cs="宋体"/>
          <w:b/>
          <w:bCs/>
          <w:sz w:val="24"/>
          <w:szCs w:val="24"/>
        </w:rPr>
      </w:pPr>
      <w:r>
        <w:rPr>
          <w:rFonts w:hint="eastAsia" w:ascii="宋体" w:hAnsi="宋体" w:eastAsia="宋体" w:cs="宋体"/>
          <w:sz w:val="24"/>
          <w:szCs w:val="24"/>
        </w:rPr>
        <w:t>17.1供应商在提交响应性文件截止时间前，可以对已上传的响应文件进行撤回补充、修改或撤回，补充、修改之后进行再次上传，再次上传内容作为响应性文件的组成部分。</w:t>
      </w:r>
    </w:p>
    <w:p>
      <w:pPr>
        <w:pStyle w:val="55"/>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17.2响应性文件的补充、修改文件应按照本竞争性磋商文件有关规定进行密封、签署，修改后的加密的电子投标文件须在投标截止时间前成功上传。 </w:t>
      </w:r>
    </w:p>
    <w:p>
      <w:pPr>
        <w:pStyle w:val="55"/>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17.3供应商在响应性文件接收截止时间后不得修改、撤回响应性文件。供应商在响应性文件接收截止时间后修改响应性文件的，将被拒绝接受。</w:t>
      </w:r>
    </w:p>
    <w:p>
      <w:pPr>
        <w:pStyle w:val="55"/>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17.4供应商有下列情形之一的，采购人将拒绝接受其响应性文件：</w:t>
      </w:r>
    </w:p>
    <w:p>
      <w:pPr>
        <w:pStyle w:val="55"/>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17.4.1在竞争性磋商文件规定的响应性文件接收截止时间之后递交响应性文件的；</w:t>
      </w:r>
    </w:p>
    <w:p>
      <w:pPr>
        <w:pStyle w:val="55"/>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17.4.2响应性文件未按竞争性磋商文件规定密封、签署、盖章的；</w:t>
      </w:r>
    </w:p>
    <w:p>
      <w:pPr>
        <w:pStyle w:val="55"/>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17.4.3一个供应商不止递交一套响应性文件的。</w:t>
      </w:r>
    </w:p>
    <w:p>
      <w:pPr>
        <w:spacing w:line="360" w:lineRule="auto"/>
        <w:jc w:val="center"/>
        <w:outlineLvl w:val="1"/>
        <w:rPr>
          <w:rFonts w:hint="eastAsia" w:ascii="宋体" w:hAnsi="宋体" w:eastAsia="宋体" w:cs="宋体"/>
          <w:b/>
          <w:sz w:val="24"/>
          <w:szCs w:val="24"/>
        </w:rPr>
      </w:pPr>
      <w:bookmarkStart w:id="51" w:name="_Toc12390"/>
      <w:r>
        <w:rPr>
          <w:rFonts w:hint="eastAsia" w:ascii="宋体" w:hAnsi="宋体" w:eastAsia="宋体" w:cs="宋体"/>
          <w:b/>
          <w:sz w:val="24"/>
          <w:szCs w:val="24"/>
        </w:rPr>
        <w:t>五、竞争性磋商</w:t>
      </w:r>
      <w:bookmarkEnd w:id="51"/>
    </w:p>
    <w:p>
      <w:pPr>
        <w:spacing w:line="360" w:lineRule="auto"/>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rPr>
        <w:t>18.组建</w:t>
      </w:r>
      <w:r>
        <w:rPr>
          <w:rFonts w:hint="eastAsia" w:ascii="宋体" w:hAnsi="宋体" w:eastAsia="宋体" w:cs="宋体"/>
          <w:b/>
          <w:sz w:val="24"/>
          <w:szCs w:val="24"/>
          <w:lang w:val="zh-CN"/>
        </w:rPr>
        <w:t>竞争性磋商小组</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18.1采购人根据采购项目的特点依法组建竞争性磋商小组。</w:t>
      </w:r>
    </w:p>
    <w:p>
      <w:pPr>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18.2竞争性磋商小组</w:t>
      </w:r>
      <w:r>
        <w:rPr>
          <w:rFonts w:hint="eastAsia" w:ascii="宋体" w:hAnsi="宋体" w:eastAsia="宋体" w:cs="宋体"/>
          <w:bCs/>
          <w:kern w:val="0"/>
          <w:sz w:val="24"/>
          <w:szCs w:val="24"/>
        </w:rPr>
        <w:t>确认竞争性磋商文件，并</w:t>
      </w:r>
      <w:r>
        <w:rPr>
          <w:rFonts w:hint="eastAsia" w:ascii="宋体" w:hAnsi="宋体" w:eastAsia="宋体" w:cs="宋体"/>
          <w:kern w:val="0"/>
          <w:sz w:val="24"/>
          <w:szCs w:val="24"/>
        </w:rPr>
        <w:t>负责具体评审事务，根据有关法律法规和竞争性磋商文件规定的评审程序，按照评审方法及评审标准独立履行竞争性磋商小组职责。</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19.资格性和符合性审查</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360" w:lineRule="auto"/>
        <w:ind w:firstLine="480" w:firstLineChars="200"/>
        <w:rPr>
          <w:rFonts w:hint="eastAsia" w:ascii="宋体" w:hAnsi="宋体" w:eastAsia="宋体" w:cs="宋体"/>
          <w:b/>
          <w:bCs/>
          <w:sz w:val="24"/>
          <w:szCs w:val="24"/>
        </w:rPr>
      </w:pPr>
      <w:r>
        <w:rPr>
          <w:rFonts w:hint="eastAsia" w:ascii="宋体" w:hAnsi="宋体" w:eastAsia="宋体" w:cs="宋体"/>
          <w:sz w:val="24"/>
          <w:szCs w:val="24"/>
        </w:rPr>
        <w:t>19.1.1资格性审查的内容包括：竞争性磋商文件规定的供应商资格条件；</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19.2.1符合性审查的内容包括：</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（1）响应性文件的有效性(签署情况等)；</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（2）响应性文件的完整性；</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（3）对竞争性磋商文件的响应程度（是否存在重大负偏离等）。 </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u w:val="single"/>
        </w:rPr>
        <w:t>以上资格性审查和符合性审查的内容只要有一条不满足，则响应性文件无效，将不进入竞争性磋商程序。</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注意事项：资格性、符合性证明材料见竞争性磋商文件第四章规定。</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19.3实质性响应的响应性文件是指与竞争性磋商文件的全部条款、条件和规格相符，没有重大偏离；重大负偏离的认定须经竞争性磋商小组三分之二以上同意。</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19.5如果响应性文件实质上没有响应竞争性磋商文件的要求，将作为无效处理，供应商不得再对响应性文件进行任何修正从而使其响应性文件成为实质上响应的文件；</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19.6竞争性磋商小组审定响应性文件的响应性只根据响应性文件本身的内容而不寻求外部证据。</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19.7凡有下列情况之一的，其响应性文件也被视为未实质性响应竞争性磋商文件，按照无效处理（不再参加竞争性磋商）：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19.7.1未按竞争性磋商文件规定要求</w:t>
      </w:r>
      <w:r>
        <w:rPr>
          <w:rFonts w:hint="eastAsia" w:ascii="宋体" w:hAnsi="宋体" w:eastAsia="宋体" w:cs="宋体"/>
          <w:sz w:val="24"/>
          <w:szCs w:val="24"/>
          <w:lang w:val="zh-CN"/>
        </w:rPr>
        <w:t>签署、盖章的；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19.7.2资格证明文件不全的，或不符合竞争性磋商文件中规定的资格要求的；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19.7.3供应商代表未能出具有效身份证明，或与身份不符的；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19.7.4不符合竞争性磋商文件规定的实质性要求的；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19.7.5响应性文件内容不齐全或内容虚假的；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19.7.6响应性文件的实质性内容未使用中文表述；</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19.7.7响应性文件的内容修改处未按规定签名或盖章的；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19.7.8违反法律、行政法规、竞争性磋商文件规定的其他情形的。</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不同供应商的电子投标（响应）文件上传计算机的网卡 MAC 地址、CPU 序列号和硬盘序列号等硬件信息相同的;</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不同供应商的投标（响应）文件由同一电子设备编制，打印</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复印、</w:t>
      </w:r>
      <w:r>
        <w:rPr>
          <w:rFonts w:hint="eastAsia" w:ascii="宋体" w:hAnsi="宋体" w:eastAsia="宋体" w:cs="宋体"/>
          <w:color w:val="auto"/>
          <w:sz w:val="24"/>
          <w:szCs w:val="24"/>
        </w:rPr>
        <w:t>加密或者上传</w:t>
      </w:r>
      <w:r>
        <w:rPr>
          <w:rFonts w:hint="eastAsia" w:ascii="宋体" w:hAnsi="宋体" w:eastAsia="宋体" w:cs="宋体"/>
          <w:color w:val="auto"/>
          <w:sz w:val="24"/>
          <w:szCs w:val="24"/>
          <w:lang w:val="en-US" w:eastAsia="zh-CN"/>
        </w:rPr>
        <w:t>的</w:t>
      </w:r>
      <w:r>
        <w:rPr>
          <w:rFonts w:hint="eastAsia" w:ascii="宋体" w:hAnsi="宋体" w:eastAsia="宋体" w:cs="宋体"/>
          <w:color w:val="auto"/>
          <w:sz w:val="24"/>
          <w:szCs w:val="24"/>
        </w:rPr>
        <w:t>；</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w:t>
      </w: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不同供应商的投标（响应）文件由同一人送达或者分发，或者不同供应商联系人为同一人或不同联系人的联系电话一致的；</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w:t>
      </w: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不同供应商的投标（响应）文件的内容存在两处以上细节错误一致；</w:t>
      </w:r>
    </w:p>
    <w:p>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19.7.</w:t>
      </w: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rPr>
        <w:t>不同供应商的法定代表人、委托代理人、项目经理、项目负责人等由同一个单位缴纳社会保险或者领取报酬的；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color w:val="auto"/>
          <w:sz w:val="24"/>
          <w:szCs w:val="24"/>
        </w:rPr>
        <w:t>19.7.</w:t>
      </w:r>
      <w:r>
        <w:rPr>
          <w:rFonts w:hint="eastAsia" w:ascii="宋体" w:hAnsi="宋体" w:eastAsia="宋体" w:cs="宋体"/>
          <w:color w:val="auto"/>
          <w:sz w:val="24"/>
          <w:szCs w:val="24"/>
          <w:lang w:val="en-US" w:eastAsia="zh-CN"/>
        </w:rPr>
        <w:t>14</w:t>
      </w:r>
      <w:r>
        <w:rPr>
          <w:rFonts w:hint="eastAsia" w:ascii="宋体" w:hAnsi="宋体" w:eastAsia="宋体" w:cs="宋体"/>
          <w:color w:val="auto"/>
          <w:sz w:val="24"/>
          <w:szCs w:val="24"/>
        </w:rPr>
        <w:t>不同供应商投标（响应）文件中法定代表人或者负责人签字出自同一人之手</w:t>
      </w:r>
      <w:r>
        <w:rPr>
          <w:rFonts w:hint="eastAsia" w:ascii="宋体" w:hAnsi="宋体" w:eastAsia="宋体" w:cs="宋体"/>
          <w:color w:val="auto"/>
          <w:sz w:val="24"/>
          <w:szCs w:val="24"/>
          <w:lang w:eastAsia="zh-CN"/>
        </w:rPr>
        <w:t>。</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19.8在评审过程中，竞争性磋商小组发现供应商有下列情形之一的，视为供应商相互串通，按照无效处理并依据法律、法规追究其相关责任。具体表现形式如下：</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19.8.1不同供应商的响应性文件互相混装的；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19.8.2不同供应商授权同一人作为供应商委托代理人的；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19.8.3不同供应商的响应性文件载明的项目管理成员为同一人的；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19.8.4有证据证明供应商与采购人、采购代理机构或者其他供应商串通的其他情形；</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19.8.5竞争性磋商小组认定的其他串通情形。</w:t>
      </w:r>
    </w:p>
    <w:p>
      <w:pPr>
        <w:rPr>
          <w:rFonts w:hint="eastAsia" w:ascii="宋体" w:hAnsi="宋体" w:eastAsia="宋体" w:cs="宋体"/>
          <w:sz w:val="24"/>
          <w:szCs w:val="24"/>
        </w:rPr>
      </w:pPr>
      <w:r>
        <w:rPr>
          <w:rFonts w:hint="eastAsia" w:ascii="宋体" w:hAnsi="宋体" w:eastAsia="宋体" w:cs="宋体"/>
          <w:sz w:val="24"/>
          <w:szCs w:val="24"/>
        </w:rPr>
        <w:br w:type="page"/>
      </w:r>
    </w:p>
    <w:p>
      <w:pPr>
        <w:pStyle w:val="37"/>
        <w:spacing w:line="360" w:lineRule="auto"/>
        <w:rPr>
          <w:rFonts w:hint="eastAsia" w:ascii="宋体" w:hAnsi="宋体" w:eastAsia="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bCs w:val="0"/>
                <w:kern w:val="2"/>
                <w:sz w:val="24"/>
                <w:szCs w:val="24"/>
                <w:highlight w:val="none"/>
              </w:rPr>
            </w:pPr>
            <w:r>
              <w:rPr>
                <w:rFonts w:hint="eastAsia" w:ascii="宋体" w:hAnsi="宋体" w:eastAsia="宋体" w:cs="宋体"/>
                <w:b/>
                <w:bCs w:val="0"/>
                <w:kern w:val="2"/>
                <w:sz w:val="24"/>
                <w:szCs w:val="24"/>
                <w:highlight w:val="none"/>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序号</w:t>
            </w:r>
          </w:p>
        </w:tc>
        <w:tc>
          <w:tcPr>
            <w:tcW w:w="2665" w:type="dxa"/>
            <w:tcBorders>
              <w:bottom w:val="single" w:color="auto" w:sz="4" w:space="0"/>
            </w:tcBorders>
            <w:vAlign w:val="center"/>
          </w:tcPr>
          <w:p>
            <w:pPr>
              <w:pStyle w:val="72"/>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bCs w:val="0"/>
                <w:kern w:val="2"/>
                <w:sz w:val="24"/>
                <w:szCs w:val="24"/>
                <w:highlight w:val="none"/>
              </w:rPr>
            </w:pPr>
            <w:r>
              <w:rPr>
                <w:rFonts w:hint="eastAsia" w:ascii="宋体" w:hAnsi="宋体" w:eastAsia="宋体" w:cs="宋体"/>
                <w:b/>
                <w:bCs w:val="0"/>
                <w:kern w:val="2"/>
                <w:sz w:val="24"/>
                <w:szCs w:val="24"/>
                <w:highlight w:val="none"/>
              </w:rPr>
              <w:t>指标名称</w:t>
            </w:r>
          </w:p>
        </w:tc>
        <w:tc>
          <w:tcPr>
            <w:tcW w:w="1937"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指标要求</w:t>
            </w:r>
          </w:p>
        </w:tc>
        <w:tc>
          <w:tcPr>
            <w:tcW w:w="825"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是否</w:t>
            </w:r>
          </w:p>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通过</w:t>
            </w:r>
          </w:p>
        </w:tc>
        <w:tc>
          <w:tcPr>
            <w:tcW w:w="2371" w:type="dxa"/>
            <w:tcBorders>
              <w:bottom w:val="single" w:color="auto" w:sz="4" w:space="0"/>
            </w:tcBorders>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投标文件格式及</w:t>
            </w:r>
          </w:p>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1</w:t>
            </w:r>
          </w:p>
        </w:tc>
        <w:tc>
          <w:tcPr>
            <w:tcW w:w="2665"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营业执照</w:t>
            </w:r>
          </w:p>
        </w:tc>
        <w:tc>
          <w:tcPr>
            <w:tcW w:w="1937"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b/>
                <w:bCs w:val="0"/>
                <w:sz w:val="24"/>
                <w:szCs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2</w:t>
            </w:r>
          </w:p>
        </w:tc>
        <w:tc>
          <w:tcPr>
            <w:tcW w:w="2665"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法定代表人及身份证</w:t>
            </w:r>
          </w:p>
        </w:tc>
        <w:tc>
          <w:tcPr>
            <w:tcW w:w="1937"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b/>
                <w:bCs w:val="0"/>
                <w:sz w:val="24"/>
                <w:szCs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3</w:t>
            </w:r>
          </w:p>
        </w:tc>
        <w:tc>
          <w:tcPr>
            <w:tcW w:w="2665"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纳税凭证和社保证明</w:t>
            </w:r>
          </w:p>
        </w:tc>
        <w:tc>
          <w:tcPr>
            <w:tcW w:w="1937"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b/>
                <w:bCs w:val="0"/>
                <w:sz w:val="24"/>
                <w:szCs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4</w:t>
            </w:r>
          </w:p>
        </w:tc>
        <w:tc>
          <w:tcPr>
            <w:tcW w:w="2665"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财务审计报告</w:t>
            </w:r>
          </w:p>
        </w:tc>
        <w:tc>
          <w:tcPr>
            <w:tcW w:w="1937"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b/>
                <w:bCs w:val="0"/>
                <w:sz w:val="24"/>
                <w:szCs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5</w:t>
            </w:r>
          </w:p>
        </w:tc>
        <w:tc>
          <w:tcPr>
            <w:tcW w:w="2665"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“信用中国”“中国政府采购网”查询</w:t>
            </w:r>
          </w:p>
        </w:tc>
        <w:tc>
          <w:tcPr>
            <w:tcW w:w="1937"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b/>
                <w:bCs w:val="0"/>
                <w:sz w:val="24"/>
                <w:szCs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6</w:t>
            </w:r>
          </w:p>
        </w:tc>
        <w:tc>
          <w:tcPr>
            <w:tcW w:w="2665"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投标文件签字盖章格式</w:t>
            </w:r>
          </w:p>
        </w:tc>
        <w:tc>
          <w:tcPr>
            <w:tcW w:w="1937"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b/>
                <w:bCs w:val="0"/>
                <w:sz w:val="24"/>
                <w:szCs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7</w:t>
            </w:r>
          </w:p>
        </w:tc>
        <w:tc>
          <w:tcPr>
            <w:tcW w:w="2665"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合格供应商的声明函和承诺书</w:t>
            </w:r>
          </w:p>
        </w:tc>
        <w:tc>
          <w:tcPr>
            <w:tcW w:w="1937"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b/>
                <w:bCs w:val="0"/>
                <w:sz w:val="24"/>
                <w:szCs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8</w:t>
            </w:r>
          </w:p>
        </w:tc>
        <w:tc>
          <w:tcPr>
            <w:tcW w:w="2665"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lang w:val="en-US" w:eastAsia="zh-CN"/>
              </w:rPr>
              <w:t>服务</w:t>
            </w:r>
            <w:r>
              <w:rPr>
                <w:rFonts w:hint="eastAsia" w:ascii="宋体" w:hAnsi="宋体" w:eastAsia="宋体" w:cs="宋体"/>
                <w:b/>
                <w:bCs w:val="0"/>
                <w:sz w:val="24"/>
                <w:szCs w:val="24"/>
                <w:highlight w:val="none"/>
              </w:rPr>
              <w:t>期</w:t>
            </w:r>
          </w:p>
        </w:tc>
        <w:tc>
          <w:tcPr>
            <w:tcW w:w="1937"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b/>
                <w:bCs w:val="0"/>
                <w:sz w:val="24"/>
                <w:szCs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9</w:t>
            </w:r>
          </w:p>
        </w:tc>
        <w:tc>
          <w:tcPr>
            <w:tcW w:w="2665"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投标有效期</w:t>
            </w:r>
          </w:p>
        </w:tc>
        <w:tc>
          <w:tcPr>
            <w:tcW w:w="1937"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b/>
                <w:bCs w:val="0"/>
                <w:sz w:val="24"/>
                <w:szCs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10</w:t>
            </w:r>
          </w:p>
        </w:tc>
        <w:tc>
          <w:tcPr>
            <w:tcW w:w="2665"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服务技术要求</w:t>
            </w:r>
          </w:p>
        </w:tc>
        <w:tc>
          <w:tcPr>
            <w:tcW w:w="1937"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b/>
                <w:bCs w:val="0"/>
                <w:sz w:val="24"/>
                <w:szCs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11</w:t>
            </w:r>
          </w:p>
        </w:tc>
        <w:tc>
          <w:tcPr>
            <w:tcW w:w="2665"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其他实质性要求</w:t>
            </w:r>
          </w:p>
        </w:tc>
        <w:tc>
          <w:tcPr>
            <w:tcW w:w="1937"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见招标文件</w:t>
            </w:r>
          </w:p>
        </w:tc>
        <w:tc>
          <w:tcPr>
            <w:tcW w:w="825" w:type="dxa"/>
            <w:vAlign w:val="center"/>
          </w:tcPr>
          <w:p>
            <w:pPr>
              <w:adjustRightInd w:val="0"/>
              <w:snapToGrid w:val="0"/>
              <w:spacing w:line="360" w:lineRule="auto"/>
              <w:ind w:right="-10"/>
              <w:rPr>
                <w:rFonts w:hint="eastAsia" w:ascii="宋体" w:hAnsi="宋体" w:eastAsia="宋体" w:cs="宋体"/>
                <w:b/>
                <w:bCs w:val="0"/>
                <w:sz w:val="24"/>
                <w:szCs w:val="24"/>
                <w:highlight w:val="none"/>
              </w:rPr>
            </w:pPr>
          </w:p>
        </w:tc>
        <w:tc>
          <w:tcPr>
            <w:tcW w:w="2371"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hint="eastAsia" w:ascii="宋体" w:hAnsi="宋体" w:eastAsia="宋体" w:cs="宋体"/>
                <w:b/>
                <w:bCs w:val="0"/>
                <w:sz w:val="24"/>
                <w:szCs w:val="24"/>
                <w:highlight w:val="none"/>
                <w:lang w:eastAsia="zh-CN"/>
              </w:rPr>
            </w:pPr>
            <w:r>
              <w:rPr>
                <w:rFonts w:hint="eastAsia" w:ascii="宋体" w:hAnsi="宋体" w:eastAsia="宋体" w:cs="宋体"/>
                <w:b/>
                <w:bCs w:val="0"/>
                <w:sz w:val="24"/>
                <w:szCs w:val="24"/>
                <w:highlight w:val="none"/>
              </w:rPr>
              <w:t>1</w:t>
            </w:r>
            <w:r>
              <w:rPr>
                <w:rFonts w:hint="eastAsia" w:ascii="宋体" w:hAnsi="宋体" w:cs="宋体"/>
                <w:b/>
                <w:bCs w:val="0"/>
                <w:sz w:val="24"/>
                <w:szCs w:val="24"/>
                <w:highlight w:val="none"/>
                <w:lang w:val="en-US" w:eastAsia="zh-CN"/>
              </w:rPr>
              <w:t>2</w:t>
            </w:r>
          </w:p>
        </w:tc>
        <w:tc>
          <w:tcPr>
            <w:tcW w:w="2665" w:type="dxa"/>
            <w:vAlign w:val="center"/>
          </w:tcPr>
          <w:p>
            <w:pPr>
              <w:spacing w:after="50"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结论</w:t>
            </w:r>
          </w:p>
        </w:tc>
        <w:tc>
          <w:tcPr>
            <w:tcW w:w="5133" w:type="dxa"/>
            <w:gridSpan w:val="3"/>
            <w:vAlign w:val="center"/>
          </w:tcPr>
          <w:p>
            <w:pPr>
              <w:adjustRightInd w:val="0"/>
              <w:snapToGrid w:val="0"/>
              <w:spacing w:line="360" w:lineRule="auto"/>
              <w:ind w:right="-10"/>
              <w:jc w:val="center"/>
              <w:rPr>
                <w:rFonts w:hint="eastAsia" w:ascii="宋体" w:hAnsi="宋体" w:eastAsia="宋体" w:cs="宋体"/>
                <w:b/>
                <w:bCs w:val="0"/>
                <w:sz w:val="24"/>
                <w:szCs w:val="24"/>
                <w:highlight w:val="none"/>
              </w:rPr>
            </w:pPr>
            <w:r>
              <w:rPr>
                <w:rFonts w:hint="eastAsia" w:ascii="宋体" w:hAnsi="宋体" w:eastAsia="宋体" w:cs="宋体"/>
                <w:b/>
                <w:bCs w:val="0"/>
                <w:sz w:val="24"/>
                <w:szCs w:val="24"/>
                <w:highlight w:val="none"/>
              </w:rPr>
              <w:t>是否通过审查</w:t>
            </w:r>
          </w:p>
        </w:tc>
      </w:tr>
    </w:tbl>
    <w:p>
      <w:pPr>
        <w:pStyle w:val="37"/>
        <w:spacing w:line="360" w:lineRule="auto"/>
        <w:rPr>
          <w:rFonts w:hint="eastAsia" w:ascii="宋体" w:hAnsi="宋体" w:eastAsia="宋体" w:cs="宋体"/>
          <w:sz w:val="24"/>
          <w:szCs w:val="24"/>
        </w:rPr>
      </w:pPr>
    </w:p>
    <w:p>
      <w:pPr>
        <w:pStyle w:val="37"/>
        <w:spacing w:line="360" w:lineRule="auto"/>
        <w:rPr>
          <w:rFonts w:hint="eastAsia" w:ascii="宋体" w:hAnsi="宋体" w:eastAsia="宋体" w:cs="宋体"/>
          <w:sz w:val="24"/>
          <w:szCs w:val="24"/>
        </w:rPr>
      </w:pP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20.响应性文件的澄清</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20.3供应商拒不进行澄清、说明、补正的，或者不能在竞争性磋商小组规定时间内作出书面澄清、说明、补正的，其响应性文件将被作为无效处理。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20.4供应商的书面澄清材料作为响应性文件的补充。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20.5竞争性磋商小组不得接受供应商主动提出的澄清和解释。 </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20.6并非每个供应商都将被询问、澄清。</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21.竞争性磋商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21.1资格性审查和符合性审查合格的供应商，将进入本次竞争性磋商程序。</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21.2竞争性磋商将按照供应商的签到顺序进行。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21.3磋商内容包括：</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21.3.1按照竞争性磋商文件中商务部分的内容，对照供应商提交的响应文件逐一进行比较各项指标和要求。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21.3.2按照竞争性磋商文件中技术部分的内容，对照供应商提交的响应文件逐一进行比较各项指标和要求。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21.3.3按照竞争性磋商文件中合同条款部分的内容，对照供应商提交的响应文件逐一进行比较各项指标和要求。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21.3.4在磋商中，磋商的任何一方不得透露与磋商有关的其他供应商的技术资料及其他信息。</w:t>
      </w:r>
    </w:p>
    <w:p>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w:t>
      </w:r>
      <w:r>
        <w:rPr>
          <w:rFonts w:hint="eastAsia" w:ascii="宋体" w:hAnsi="宋体" w:eastAsia="宋体" w:cs="宋体"/>
          <w:sz w:val="24"/>
          <w:szCs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rPr>
        <w:t>21.4.1</w:t>
      </w:r>
      <w:r>
        <w:rPr>
          <w:rFonts w:hint="eastAsia" w:ascii="宋体" w:hAnsi="宋体" w:eastAsia="宋体" w:cs="宋体"/>
          <w:sz w:val="24"/>
          <w:szCs w:val="24"/>
          <w:lang w:val="zh-CN"/>
        </w:rPr>
        <w:t>对竞争性磋商文件作出实质性变动是竞争性磋商文件的有效组成部分，竞争性磋商小组应当及时以书面形式同时通知所有参加竞争性磋商的供应商。</w:t>
      </w:r>
    </w:p>
    <w:p>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21.4.2供应商应当按照竞争性磋商文件的变动情况和竞争性磋商小组的要求重新提交响应性文件，并由其法定代表人或授权代表签字或者加盖公章。</w:t>
      </w:r>
    </w:p>
    <w:p>
      <w:pPr>
        <w:spacing w:line="360" w:lineRule="auto"/>
        <w:ind w:firstLine="482" w:firstLineChars="200"/>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lang w:val="zh-CN"/>
        </w:rPr>
        <w:t>21.5报价</w:t>
      </w:r>
    </w:p>
    <w:p>
      <w:pPr>
        <w:spacing w:line="360" w:lineRule="auto"/>
        <w:ind w:firstLine="482" w:firstLineChars="200"/>
        <w:rPr>
          <w:rFonts w:hint="eastAsia" w:ascii="宋体" w:hAnsi="宋体" w:eastAsia="宋体" w:cs="宋体"/>
          <w:b/>
          <w:bCs/>
          <w:color w:val="auto"/>
          <w:sz w:val="24"/>
          <w:szCs w:val="24"/>
          <w:highlight w:val="none"/>
          <w:lang w:val="zh-CN"/>
        </w:rPr>
      </w:pPr>
      <w:r>
        <w:rPr>
          <w:rFonts w:hint="eastAsia" w:ascii="宋体" w:hAnsi="宋体" w:eastAsia="宋体" w:cs="宋体"/>
          <w:b/>
          <w:bCs/>
          <w:color w:val="auto"/>
          <w:sz w:val="24"/>
          <w:szCs w:val="24"/>
          <w:highlight w:val="none"/>
        </w:rPr>
        <w:t>1</w:t>
      </w:r>
      <w:r>
        <w:rPr>
          <w:rFonts w:hint="eastAsia" w:ascii="宋体" w:hAnsi="宋体" w:cs="宋体"/>
          <w:b/>
          <w:bCs/>
          <w:color w:val="auto"/>
          <w:sz w:val="24"/>
          <w:szCs w:val="24"/>
          <w:highlight w:val="none"/>
          <w:lang w:eastAsia="zh-CN"/>
        </w:rPr>
        <w:t>、</w:t>
      </w:r>
      <w:r>
        <w:rPr>
          <w:rFonts w:hint="eastAsia" w:ascii="宋体" w:hAnsi="宋体" w:eastAsia="宋体" w:cs="宋体"/>
          <w:b/>
          <w:bCs/>
          <w:color w:val="auto"/>
          <w:sz w:val="24"/>
          <w:szCs w:val="24"/>
          <w:highlight w:val="none"/>
          <w:lang w:val="zh-CN"/>
        </w:rPr>
        <w:t>一次报价依据</w:t>
      </w:r>
      <w:r>
        <w:rPr>
          <w:rFonts w:hint="eastAsia" w:ascii="宋体" w:hAnsi="宋体" w:eastAsia="宋体" w:cs="宋体"/>
          <w:b/>
          <w:bCs/>
          <w:color w:val="auto"/>
          <w:sz w:val="24"/>
          <w:szCs w:val="24"/>
          <w:highlight w:val="none"/>
          <w:lang w:val="en-US" w:eastAsia="zh-CN"/>
        </w:rPr>
        <w:t>是</w:t>
      </w:r>
      <w:r>
        <w:rPr>
          <w:rFonts w:hint="eastAsia" w:ascii="宋体" w:hAnsi="宋体" w:eastAsia="宋体" w:cs="宋体"/>
          <w:b/>
          <w:bCs/>
          <w:color w:val="auto"/>
          <w:sz w:val="24"/>
          <w:szCs w:val="24"/>
          <w:highlight w:val="none"/>
          <w:lang w:val="zh-CN"/>
        </w:rPr>
        <w:t>供应商的投标函和报价一览表。</w:t>
      </w:r>
    </w:p>
    <w:p>
      <w:pPr>
        <w:pStyle w:val="35"/>
        <w:spacing w:line="360" w:lineRule="auto"/>
        <w:rPr>
          <w:rFonts w:hint="eastAsia" w:ascii="宋体" w:hAnsi="宋体" w:eastAsia="宋体" w:cs="宋体"/>
          <w:color w:val="FF0000"/>
          <w:kern w:val="2"/>
          <w:sz w:val="24"/>
          <w:szCs w:val="24"/>
          <w:lang w:val="en-US" w:eastAsia="zh-CN" w:bidi="ar-SA"/>
        </w:rPr>
      </w:pPr>
    </w:p>
    <w:p>
      <w:pPr>
        <w:spacing w:line="360" w:lineRule="auto"/>
        <w:jc w:val="center"/>
        <w:outlineLvl w:val="1"/>
        <w:rPr>
          <w:rFonts w:hint="eastAsia" w:ascii="宋体" w:hAnsi="宋体" w:eastAsia="宋体" w:cs="宋体"/>
          <w:b/>
          <w:sz w:val="24"/>
          <w:szCs w:val="24"/>
        </w:rPr>
      </w:pPr>
      <w:bookmarkStart w:id="52" w:name="_Toc13125"/>
      <w:r>
        <w:rPr>
          <w:rFonts w:hint="eastAsia" w:ascii="宋体" w:hAnsi="宋体" w:eastAsia="宋体" w:cs="宋体"/>
          <w:b/>
          <w:sz w:val="24"/>
          <w:szCs w:val="24"/>
        </w:rPr>
        <w:t>六、评定标准</w:t>
      </w:r>
      <w:bookmarkEnd w:id="52"/>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22.竞争性磋商过程及保密原则</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采购代理机构在评标结束后</w:t>
      </w:r>
      <w:r>
        <w:rPr>
          <w:rFonts w:hint="eastAsia" w:ascii="宋体" w:hAnsi="宋体" w:eastAsia="宋体" w:cs="宋体"/>
          <w:bCs/>
          <w:sz w:val="24"/>
          <w:szCs w:val="24"/>
          <w:lang w:val="en-US" w:eastAsia="zh-CN"/>
        </w:rPr>
        <w:t>1</w:t>
      </w:r>
      <w:r>
        <w:rPr>
          <w:rFonts w:hint="eastAsia" w:ascii="宋体" w:hAnsi="宋体" w:eastAsia="宋体" w:cs="宋体"/>
          <w:bCs/>
          <w:sz w:val="24"/>
          <w:szCs w:val="24"/>
        </w:rPr>
        <w:t>个工作日内将评标报告送采购人。采购人自收到评标报告之日起５个工作日内，在评标报告确定的中标候选人名单中确定中标人。</w:t>
      </w:r>
    </w:p>
    <w:p>
      <w:pPr>
        <w:pStyle w:val="15"/>
        <w:spacing w:after="0" w:line="360" w:lineRule="auto"/>
        <w:ind w:left="0" w:leftChars="0" w:firstLine="480" w:firstLineChars="200"/>
        <w:rPr>
          <w:rFonts w:hint="eastAsia" w:ascii="宋体" w:hAnsi="宋体" w:eastAsia="宋体" w:cs="宋体"/>
          <w:bCs/>
          <w:sz w:val="24"/>
          <w:szCs w:val="24"/>
        </w:rPr>
      </w:pPr>
      <w:r>
        <w:rPr>
          <w:rFonts w:hint="eastAsia" w:ascii="宋体" w:hAnsi="宋体" w:eastAsia="宋体" w:cs="宋体"/>
          <w:bCs/>
          <w:sz w:val="24"/>
          <w:szCs w:val="24"/>
        </w:rPr>
        <w:t>22.2对通过初步审查的响应文件，采用百分制综合评分法进行评价。</w:t>
      </w:r>
    </w:p>
    <w:p>
      <w:pPr>
        <w:rPr>
          <w:rFonts w:hint="eastAsia" w:ascii="宋体" w:hAnsi="宋体" w:eastAsia="宋体" w:cs="宋体"/>
          <w:b/>
          <w:bCs/>
          <w:sz w:val="24"/>
          <w:szCs w:val="24"/>
        </w:rPr>
      </w:pPr>
      <w:r>
        <w:rPr>
          <w:rFonts w:hint="eastAsia" w:ascii="宋体" w:hAnsi="宋体" w:eastAsia="宋体" w:cs="宋体"/>
          <w:b/>
          <w:bCs/>
          <w:sz w:val="24"/>
          <w:szCs w:val="24"/>
        </w:rPr>
        <w:br w:type="page"/>
      </w:r>
    </w:p>
    <w:p>
      <w:pPr>
        <w:spacing w:line="360" w:lineRule="auto"/>
        <w:ind w:right="-92" w:rightChars="-44"/>
        <w:rPr>
          <w:rFonts w:hint="eastAsia" w:ascii="宋体" w:hAnsi="宋体" w:eastAsia="宋体" w:cs="宋体"/>
          <w:b/>
          <w:bCs/>
          <w:sz w:val="24"/>
          <w:szCs w:val="24"/>
        </w:rPr>
      </w:pPr>
      <w:r>
        <w:rPr>
          <w:rFonts w:hint="eastAsia" w:ascii="宋体" w:hAnsi="宋体" w:eastAsia="宋体" w:cs="宋体"/>
          <w:b/>
          <w:bCs/>
          <w:sz w:val="24"/>
          <w:szCs w:val="24"/>
        </w:rPr>
        <w:t>评标方法：</w:t>
      </w:r>
    </w:p>
    <w:p>
      <w:pPr>
        <w:pStyle w:val="25"/>
        <w:spacing w:line="360" w:lineRule="auto"/>
        <w:ind w:firstLine="480"/>
        <w:rPr>
          <w:rFonts w:hint="eastAsia" w:ascii="宋体" w:hAnsi="宋体" w:eastAsia="宋体" w:cs="宋体"/>
          <w:sz w:val="24"/>
          <w:szCs w:val="24"/>
        </w:rPr>
      </w:pPr>
    </w:p>
    <w:tbl>
      <w:tblPr>
        <w:tblStyle w:val="26"/>
        <w:tblW w:w="9146" w:type="dxa"/>
        <w:jc w:val="center"/>
        <w:tblLayout w:type="fixed"/>
        <w:tblCellMar>
          <w:top w:w="0" w:type="dxa"/>
          <w:left w:w="108" w:type="dxa"/>
          <w:bottom w:w="0" w:type="dxa"/>
          <w:right w:w="108" w:type="dxa"/>
        </w:tblCellMar>
      </w:tblPr>
      <w:tblGrid>
        <w:gridCol w:w="1193"/>
        <w:gridCol w:w="1275"/>
        <w:gridCol w:w="4112"/>
        <w:gridCol w:w="2566"/>
      </w:tblGrid>
      <w:tr>
        <w:tblPrEx>
          <w:tblCellMar>
            <w:top w:w="0" w:type="dxa"/>
            <w:left w:w="108" w:type="dxa"/>
            <w:bottom w:w="0" w:type="dxa"/>
            <w:right w:w="108" w:type="dxa"/>
          </w:tblCellMar>
        </w:tblPrEx>
        <w:trPr>
          <w:trHeight w:val="252"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评分指标</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分值</w:t>
            </w:r>
          </w:p>
        </w:tc>
        <w:tc>
          <w:tcPr>
            <w:tcW w:w="4112"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b/>
                <w:bCs/>
                <w:color w:val="000000"/>
                <w:sz w:val="21"/>
                <w:szCs w:val="21"/>
              </w:rPr>
            </w:pPr>
            <w:r>
              <w:rPr>
                <w:rFonts w:hint="eastAsia" w:ascii="宋体" w:hAnsi="宋体" w:eastAsia="宋体" w:cs="宋体"/>
                <w:b/>
                <w:bCs/>
                <w:color w:val="000000"/>
                <w:sz w:val="21"/>
                <w:szCs w:val="21"/>
              </w:rPr>
              <w:t>评分依据</w:t>
            </w:r>
          </w:p>
        </w:tc>
      </w:tr>
      <w:tr>
        <w:tblPrEx>
          <w:tblCellMar>
            <w:top w:w="0" w:type="dxa"/>
            <w:left w:w="108" w:type="dxa"/>
            <w:bottom w:w="0" w:type="dxa"/>
            <w:right w:w="108" w:type="dxa"/>
          </w:tblCellMar>
        </w:tblPrEx>
        <w:trPr>
          <w:trHeight w:val="700" w:hRule="atLeast"/>
          <w:jc w:val="center"/>
        </w:trPr>
        <w:tc>
          <w:tcPr>
            <w:tcW w:w="1193"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b/>
                <w:bCs/>
                <w:color w:val="000000" w:themeColor="text1"/>
                <w:sz w:val="21"/>
                <w:szCs w:val="21"/>
              </w:rPr>
            </w:pPr>
            <w:r>
              <w:rPr>
                <w:rFonts w:hint="eastAsia" w:ascii="宋体" w:hAnsi="宋体" w:eastAsia="宋体" w:cs="宋体"/>
                <w:b/>
                <w:bCs/>
                <w:color w:val="000000" w:themeColor="text1"/>
                <w:sz w:val="21"/>
                <w:szCs w:val="21"/>
              </w:rPr>
              <w:t>报价得分（1</w:t>
            </w:r>
            <w:r>
              <w:rPr>
                <w:rFonts w:hint="eastAsia" w:ascii="宋体" w:hAnsi="宋体" w:eastAsia="宋体" w:cs="宋体"/>
                <w:b/>
                <w:bCs/>
                <w:color w:val="000000" w:themeColor="text1"/>
                <w:sz w:val="21"/>
                <w:szCs w:val="21"/>
                <w:lang w:val="en-US" w:eastAsia="zh-CN"/>
              </w:rPr>
              <w:t>5</w:t>
            </w:r>
            <w:r>
              <w:rPr>
                <w:rFonts w:hint="eastAsia" w:ascii="宋体" w:hAnsi="宋体" w:eastAsia="宋体" w:cs="宋体"/>
                <w:b/>
                <w:bCs/>
                <w:color w:val="000000" w:themeColor="text1"/>
                <w:sz w:val="21"/>
                <w:szCs w:val="21"/>
              </w:rPr>
              <w:t>分）</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hint="eastAsia" w:ascii="宋体" w:hAnsi="宋体" w:eastAsia="宋体" w:cs="宋体"/>
                <w:color w:val="000000" w:themeColor="text1"/>
                <w:sz w:val="21"/>
                <w:szCs w:val="21"/>
              </w:rPr>
            </w:pPr>
            <w:r>
              <w:rPr>
                <w:rFonts w:hint="eastAsia" w:ascii="宋体" w:hAnsi="宋体" w:eastAsia="宋体" w:cs="宋体"/>
                <w:b/>
                <w:bCs/>
                <w:color w:val="000000" w:themeColor="text1"/>
                <w:sz w:val="21"/>
                <w:szCs w:val="21"/>
              </w:rPr>
              <w:t>（1</w:t>
            </w:r>
            <w:r>
              <w:rPr>
                <w:rFonts w:hint="eastAsia" w:ascii="宋体" w:hAnsi="宋体" w:eastAsia="宋体" w:cs="宋体"/>
                <w:b/>
                <w:bCs/>
                <w:color w:val="000000" w:themeColor="text1"/>
                <w:sz w:val="21"/>
                <w:szCs w:val="21"/>
                <w:lang w:val="en-US" w:eastAsia="zh-CN"/>
              </w:rPr>
              <w:t>5</w:t>
            </w:r>
            <w:r>
              <w:rPr>
                <w:rFonts w:hint="eastAsia" w:ascii="宋体" w:hAnsi="宋体" w:eastAsia="宋体" w:cs="宋体"/>
                <w:b/>
                <w:bCs/>
                <w:color w:val="000000" w:themeColor="text1"/>
                <w:sz w:val="21"/>
                <w:szCs w:val="21"/>
              </w:rPr>
              <w:t>分）</w:t>
            </w:r>
          </w:p>
        </w:tc>
        <w:tc>
          <w:tcPr>
            <w:tcW w:w="6678"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360" w:lineRule="auto"/>
              <w:jc w:val="left"/>
              <w:rPr>
                <w:rFonts w:hint="eastAsia" w:ascii="宋体" w:hAnsi="宋体" w:eastAsia="宋体" w:cs="宋体"/>
                <w:sz w:val="21"/>
                <w:szCs w:val="21"/>
              </w:rPr>
            </w:pPr>
            <w:r>
              <w:rPr>
                <w:rFonts w:hint="eastAsia" w:ascii="宋体" w:hAnsi="宋体" w:eastAsia="宋体" w:cs="宋体"/>
                <w:sz w:val="21"/>
                <w:szCs w:val="21"/>
              </w:rPr>
              <w:t>满足磋商文件要求且最后报价最低的供应商的价格为磋商基准价，其价格分为满分。其他供应商的价格分统一按照下列公式计算：</w:t>
            </w:r>
          </w:p>
          <w:p>
            <w:pPr>
              <w:widowControl/>
              <w:snapToGrid w:val="0"/>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rPr>
              <w:t>磋商报价得分=（磋商基准价/最后磋商报价）×1</w:t>
            </w:r>
            <w:r>
              <w:rPr>
                <w:rFonts w:hint="eastAsia" w:ascii="宋体" w:hAnsi="宋体" w:eastAsia="宋体" w:cs="宋体"/>
                <w:sz w:val="21"/>
                <w:szCs w:val="21"/>
                <w:lang w:val="en-US" w:eastAsia="zh-CN"/>
              </w:rPr>
              <w:t>5</w:t>
            </w:r>
          </w:p>
          <w:p>
            <w:pPr>
              <w:widowControl/>
              <w:snapToGrid w:val="0"/>
              <w:spacing w:line="360" w:lineRule="auto"/>
              <w:jc w:val="left"/>
              <w:rPr>
                <w:rFonts w:hint="eastAsia" w:ascii="宋体" w:hAnsi="宋体" w:eastAsia="宋体" w:cs="宋体"/>
                <w:sz w:val="21"/>
                <w:szCs w:val="21"/>
              </w:rPr>
            </w:pPr>
            <w:r>
              <w:rPr>
                <w:rFonts w:hint="eastAsia" w:ascii="宋体" w:hAnsi="宋体" w:eastAsia="宋体" w:cs="宋体"/>
                <w:sz w:val="21"/>
                <w:szCs w:val="21"/>
              </w:rPr>
              <w:t>备注：价格分计算保留小数点后二位。</w:t>
            </w:r>
          </w:p>
          <w:p>
            <w:pPr>
              <w:pStyle w:val="2"/>
              <w:rPr>
                <w:rFonts w:hint="eastAsia"/>
                <w:lang w:val="en-US" w:eastAsia="zh-CN"/>
              </w:rPr>
            </w:pPr>
            <w:r>
              <w:rPr>
                <w:rFonts w:hint="eastAsia"/>
                <w:lang w:val="en-US" w:eastAsia="zh-CN"/>
              </w:rPr>
              <w:t>根据财政部、工信部关于印发《政府采购促进中小企业发展管理办法》的通知（财库〔2020〕46号 ）文件规定：</w:t>
            </w:r>
          </w:p>
          <w:p>
            <w:pPr>
              <w:pStyle w:val="2"/>
              <w:rPr>
                <w:rFonts w:hint="eastAsia"/>
                <w:lang w:val="en-US" w:eastAsia="zh-CN"/>
              </w:rPr>
            </w:pPr>
            <w:r>
              <w:rPr>
                <w:rFonts w:hint="eastAsia"/>
                <w:lang w:val="en-US" w:eastAsia="zh-CN"/>
              </w:rPr>
              <w:t>（1）对小微企业报价给予10-20%扣除，请按照《政府采购促进中小企业发展管理办法》要求提供中小企业声明函。</w:t>
            </w:r>
          </w:p>
          <w:p>
            <w:pPr>
              <w:pStyle w:val="2"/>
              <w:rPr>
                <w:rFonts w:hint="eastAsia"/>
                <w:lang w:val="en-US" w:eastAsia="zh-CN"/>
              </w:rPr>
            </w:pPr>
            <w:r>
              <w:rPr>
                <w:rFonts w:hint="eastAsia"/>
                <w:lang w:val="en-US" w:eastAsia="zh-CN"/>
              </w:rPr>
              <w:t>（2）关于监狱企业：视同小微企业。须提供由省级以上监狱管理局、戒毒管理局（含新疆生产建设兵团）出具的属于监狱企业的证明文件，否则不考虑价格扣除。</w:t>
            </w:r>
          </w:p>
          <w:p>
            <w:pPr>
              <w:pStyle w:val="2"/>
              <w:rPr>
                <w:rFonts w:hint="eastAsia"/>
                <w:lang w:val="en-US" w:eastAsia="zh-CN"/>
              </w:rPr>
            </w:pPr>
            <w:r>
              <w:rPr>
                <w:rFonts w:hint="eastAsia"/>
                <w:lang w:val="en-US" w:eastAsia="zh-CN"/>
              </w:rPr>
              <w:t>（3）关于残疾人福利性单位：视同小微企业。须提供完整的“残疾人福利性单位声明函”，否则在价格评审时不予考虑价格扣除。残疾人福利性单位属于小型、微型企业的，不重复享受政策。</w:t>
            </w:r>
          </w:p>
          <w:p>
            <w:pPr>
              <w:pStyle w:val="2"/>
              <w:rPr>
                <w:rFonts w:hint="eastAsia"/>
                <w:lang w:val="en-US" w:eastAsia="zh-CN"/>
              </w:rPr>
            </w:pPr>
            <w:r>
              <w:rPr>
                <w:rFonts w:hint="eastAsia"/>
                <w:lang w:val="en-US" w:eastAsia="zh-CN"/>
              </w:rPr>
              <w:t>（4）没有提供有效证明材料的供应商将被视为不接受投标总价的扣除，用原投标总价参与评审。</w:t>
            </w:r>
          </w:p>
          <w:p>
            <w:pPr>
              <w:rPr>
                <w:rFonts w:hint="default"/>
                <w:lang w:val="en-US"/>
              </w:rPr>
            </w:pPr>
            <w:r>
              <w:rPr>
                <w:rFonts w:hint="eastAsia"/>
                <w:b/>
                <w:bCs/>
                <w:lang w:val="en-US" w:eastAsia="zh-CN"/>
              </w:rPr>
              <w:t>注：本项目为专门面向中小企业采购；不再进行价格扣除。</w:t>
            </w:r>
          </w:p>
        </w:tc>
      </w:tr>
      <w:tr>
        <w:tblPrEx>
          <w:tblCellMar>
            <w:top w:w="0" w:type="dxa"/>
            <w:left w:w="108" w:type="dxa"/>
            <w:bottom w:w="0" w:type="dxa"/>
            <w:right w:w="108" w:type="dxa"/>
          </w:tblCellMar>
        </w:tblPrEx>
        <w:trPr>
          <w:trHeight w:val="680" w:hRule="atLeast"/>
          <w:jc w:val="center"/>
        </w:trPr>
        <w:tc>
          <w:tcPr>
            <w:tcW w:w="1193" w:type="dxa"/>
            <w:vMerge w:val="restart"/>
            <w:tcBorders>
              <w:top w:val="single" w:color="auto" w:sz="4" w:space="0"/>
              <w:left w:val="single" w:color="auto" w:sz="4" w:space="0"/>
              <w:right w:val="single" w:color="auto" w:sz="4" w:space="0"/>
            </w:tcBorders>
            <w:vAlign w:val="center"/>
          </w:tcPr>
          <w:p>
            <w:pPr>
              <w:widowControl/>
              <w:spacing w:line="360" w:lineRule="auto"/>
              <w:jc w:val="left"/>
              <w:rPr>
                <w:rFonts w:hint="eastAsia" w:ascii="宋体" w:hAnsi="宋体" w:eastAsia="宋体" w:cs="宋体"/>
                <w:sz w:val="21"/>
                <w:szCs w:val="21"/>
              </w:rPr>
            </w:pPr>
            <w:r>
              <w:rPr>
                <w:rFonts w:hint="eastAsia" w:ascii="宋体" w:hAnsi="宋体" w:eastAsia="宋体" w:cs="宋体"/>
                <w:sz w:val="21"/>
                <w:szCs w:val="21"/>
              </w:rPr>
              <w:t>技术方案(</w:t>
            </w:r>
            <w:r>
              <w:rPr>
                <w:rFonts w:hint="eastAsia" w:ascii="宋体" w:hAnsi="宋体" w:eastAsia="宋体" w:cs="宋体"/>
                <w:sz w:val="21"/>
                <w:szCs w:val="21"/>
                <w:lang w:val="en-US" w:eastAsia="zh-CN"/>
              </w:rPr>
              <w:t>60</w:t>
            </w:r>
            <w:r>
              <w:rPr>
                <w:rFonts w:hint="eastAsia" w:ascii="宋体" w:hAnsi="宋体" w:eastAsia="宋体" w:cs="宋体"/>
                <w:sz w:val="21"/>
                <w:szCs w:val="21"/>
              </w:rPr>
              <w:t>分)</w:t>
            </w:r>
          </w:p>
          <w:p>
            <w:pPr>
              <w:spacing w:line="360" w:lineRule="auto"/>
              <w:jc w:val="center"/>
              <w:rPr>
                <w:rFonts w:hint="eastAsia" w:ascii="宋体" w:hAnsi="宋体" w:eastAsia="宋体" w:cs="宋体"/>
                <w:sz w:val="21"/>
                <w:szCs w:val="21"/>
              </w:rPr>
            </w:pPr>
          </w:p>
        </w:tc>
        <w:tc>
          <w:tcPr>
            <w:tcW w:w="1275" w:type="dxa"/>
            <w:tcBorders>
              <w:top w:val="single" w:color="auto" w:sz="4" w:space="0"/>
              <w:left w:val="single" w:color="auto" w:sz="4" w:space="0"/>
              <w:right w:val="single" w:color="auto" w:sz="4" w:space="0"/>
            </w:tcBorders>
            <w:vAlign w:val="center"/>
          </w:tcPr>
          <w:p>
            <w:pPr>
              <w:widowControl/>
              <w:spacing w:line="360" w:lineRule="auto"/>
              <w:jc w:val="both"/>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1</w:t>
            </w:r>
            <w:r>
              <w:rPr>
                <w:rFonts w:hint="eastAsia" w:ascii="宋体" w:hAnsi="宋体" w:eastAsia="宋体" w:cs="宋体"/>
                <w:sz w:val="21"/>
                <w:szCs w:val="21"/>
                <w:highlight w:val="none"/>
                <w:lang w:val="en-US" w:eastAsia="zh-CN"/>
              </w:rPr>
              <w:t>、古树复壮</w:t>
            </w:r>
            <w:r>
              <w:rPr>
                <w:rFonts w:hint="eastAsia" w:ascii="宋体" w:hAnsi="宋体" w:cs="宋体"/>
                <w:sz w:val="21"/>
                <w:szCs w:val="21"/>
                <w:highlight w:val="none"/>
                <w:lang w:val="en-US" w:eastAsia="zh-CN"/>
              </w:rPr>
              <w:t>方案与技术措施</w:t>
            </w:r>
          </w:p>
          <w:p>
            <w:pPr>
              <w:widowControl/>
              <w:snapToGrid w:val="0"/>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(10分)</w:t>
            </w:r>
          </w:p>
        </w:tc>
        <w:tc>
          <w:tcPr>
            <w:tcW w:w="6678"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360" w:lineRule="auto"/>
              <w:jc w:val="left"/>
              <w:rPr>
                <w:rFonts w:hint="eastAsia" w:ascii="宋体" w:hAnsi="宋体" w:eastAsia="宋体" w:cs="宋体"/>
                <w:sz w:val="21"/>
                <w:szCs w:val="21"/>
                <w:highlight w:val="none"/>
                <w:lang w:eastAsia="zh-CN"/>
              </w:rPr>
            </w:pPr>
            <w:r>
              <w:rPr>
                <w:rFonts w:hint="eastAsia" w:ascii="宋体" w:hAnsi="宋体" w:cs="宋体"/>
                <w:sz w:val="21"/>
                <w:szCs w:val="21"/>
                <w:highlight w:val="none"/>
                <w:lang w:val="en-US" w:eastAsia="zh-CN"/>
              </w:rPr>
              <w:t>提供</w:t>
            </w:r>
            <w:r>
              <w:rPr>
                <w:rFonts w:hint="eastAsia" w:ascii="宋体" w:hAnsi="宋体" w:cs="宋体"/>
                <w:sz w:val="21"/>
                <w:szCs w:val="21"/>
                <w:highlight w:val="none"/>
                <w:lang w:eastAsia="zh-CN"/>
              </w:rPr>
              <w:t>古树复壮方案与技术措施（</w:t>
            </w:r>
            <w:r>
              <w:rPr>
                <w:rFonts w:hint="eastAsia" w:ascii="宋体" w:hAnsi="宋体" w:cs="宋体"/>
                <w:sz w:val="21"/>
                <w:szCs w:val="21"/>
                <w:highlight w:val="none"/>
                <w:lang w:val="en-US" w:eastAsia="zh-CN"/>
              </w:rPr>
              <w:t>包含干枝修剪方案</w:t>
            </w:r>
            <w:r>
              <w:rPr>
                <w:rFonts w:hint="eastAsia" w:ascii="宋体" w:hAnsi="宋体" w:cs="宋体"/>
                <w:sz w:val="21"/>
                <w:szCs w:val="21"/>
                <w:highlight w:val="none"/>
                <w:lang w:eastAsia="zh-CN"/>
              </w:rPr>
              <w:t>、原生境土壤改良修复</w:t>
            </w:r>
            <w:r>
              <w:rPr>
                <w:rFonts w:hint="eastAsia" w:ascii="宋体" w:hAnsi="宋体" w:cs="宋体"/>
                <w:sz w:val="21"/>
                <w:szCs w:val="21"/>
                <w:highlight w:val="none"/>
                <w:lang w:val="en-US" w:eastAsia="zh-CN"/>
              </w:rPr>
              <w:t>方案、树洞修补方案、施肥方案、病虫害防治方案要包含病虫害种类）</w:t>
            </w:r>
            <w:r>
              <w:rPr>
                <w:rFonts w:hint="eastAsia" w:ascii="宋体" w:hAnsi="宋体" w:eastAsia="宋体" w:cs="宋体"/>
                <w:sz w:val="21"/>
                <w:szCs w:val="21"/>
                <w:highlight w:val="none"/>
                <w:lang w:val="en-US" w:eastAsia="zh-CN"/>
              </w:rPr>
              <w:t>得</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lang w:val="en-US" w:eastAsia="zh-CN"/>
              </w:rPr>
              <w:t>分，缺项或不提供不得分。</w:t>
            </w:r>
          </w:p>
        </w:tc>
      </w:tr>
      <w:tr>
        <w:tblPrEx>
          <w:tblCellMar>
            <w:top w:w="0" w:type="dxa"/>
            <w:left w:w="108" w:type="dxa"/>
            <w:bottom w:w="0" w:type="dxa"/>
            <w:right w:w="108" w:type="dxa"/>
          </w:tblCellMar>
        </w:tblPrEx>
        <w:trPr>
          <w:trHeight w:val="680" w:hRule="atLeast"/>
          <w:jc w:val="center"/>
        </w:trPr>
        <w:tc>
          <w:tcPr>
            <w:tcW w:w="1193" w:type="dxa"/>
            <w:vMerge w:val="continue"/>
            <w:tcBorders>
              <w:left w:val="single" w:color="auto" w:sz="4" w:space="0"/>
              <w:right w:val="single" w:color="auto" w:sz="4" w:space="0"/>
            </w:tcBorders>
            <w:vAlign w:val="center"/>
          </w:tcPr>
          <w:p>
            <w:pPr>
              <w:widowControl/>
              <w:snapToGrid w:val="0"/>
              <w:spacing w:line="360" w:lineRule="auto"/>
              <w:jc w:val="left"/>
            </w:pPr>
          </w:p>
        </w:tc>
        <w:tc>
          <w:tcPr>
            <w:tcW w:w="1275" w:type="dxa"/>
            <w:tcBorders>
              <w:top w:val="single" w:color="auto" w:sz="4" w:space="0"/>
              <w:left w:val="single" w:color="auto" w:sz="4" w:space="0"/>
              <w:right w:val="single" w:color="auto" w:sz="4" w:space="0"/>
            </w:tcBorders>
            <w:vAlign w:val="center"/>
          </w:tcPr>
          <w:p>
            <w:pPr>
              <w:widowControl/>
              <w:snapToGrid w:val="0"/>
              <w:spacing w:line="360" w:lineRule="auto"/>
              <w:jc w:val="left"/>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2、古树保护方案与技术措施</w:t>
            </w:r>
          </w:p>
          <w:p>
            <w:pPr>
              <w:widowControl/>
              <w:snapToGrid w:val="0"/>
              <w:spacing w:line="360" w:lineRule="auto"/>
              <w:jc w:val="left"/>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(10分)</w:t>
            </w:r>
          </w:p>
        </w:tc>
        <w:tc>
          <w:tcPr>
            <w:tcW w:w="6678"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360" w:lineRule="auto"/>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提供</w:t>
            </w:r>
            <w:r>
              <w:rPr>
                <w:rFonts w:hint="eastAsia" w:ascii="宋体" w:hAnsi="宋体" w:cs="宋体"/>
                <w:sz w:val="21"/>
                <w:szCs w:val="21"/>
                <w:highlight w:val="none"/>
                <w:lang w:eastAsia="zh-CN"/>
              </w:rPr>
              <w:t>古树保护方案与技术措施（古树周边围栏</w:t>
            </w:r>
            <w:r>
              <w:rPr>
                <w:rFonts w:hint="eastAsia" w:ascii="宋体" w:hAnsi="宋体" w:cs="宋体"/>
                <w:sz w:val="21"/>
                <w:szCs w:val="21"/>
                <w:highlight w:val="none"/>
                <w:lang w:val="en-US" w:eastAsia="zh-CN"/>
              </w:rPr>
              <w:t>安装方案</w:t>
            </w:r>
            <w:r>
              <w:rPr>
                <w:rFonts w:hint="eastAsia" w:ascii="宋体" w:hAnsi="宋体" w:cs="宋体"/>
                <w:sz w:val="21"/>
                <w:szCs w:val="21"/>
                <w:highlight w:val="none"/>
                <w:lang w:eastAsia="zh-CN"/>
              </w:rPr>
              <w:t>、保护支架安装和翻新</w:t>
            </w:r>
            <w:r>
              <w:rPr>
                <w:rFonts w:hint="eastAsia" w:ascii="宋体" w:hAnsi="宋体" w:cs="宋体"/>
                <w:sz w:val="21"/>
                <w:szCs w:val="21"/>
                <w:highlight w:val="none"/>
                <w:lang w:val="en-US" w:eastAsia="zh-CN"/>
              </w:rPr>
              <w:t>方案、古树涂白防腐及伤口处理方案、安装名牌的方案、古树生长和周边环境智慧化监测方案）</w:t>
            </w:r>
            <w:r>
              <w:rPr>
                <w:rFonts w:hint="eastAsia" w:ascii="宋体" w:hAnsi="宋体" w:eastAsia="宋体" w:cs="宋体"/>
                <w:sz w:val="21"/>
                <w:szCs w:val="21"/>
                <w:highlight w:val="none"/>
                <w:lang w:val="en-US" w:eastAsia="zh-CN"/>
              </w:rPr>
              <w:t>得</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lang w:val="en-US" w:eastAsia="zh-CN"/>
              </w:rPr>
              <w:t>分，缺项或不提供不得分。</w:t>
            </w:r>
          </w:p>
        </w:tc>
      </w:tr>
      <w:tr>
        <w:tblPrEx>
          <w:tblCellMar>
            <w:top w:w="0" w:type="dxa"/>
            <w:left w:w="108" w:type="dxa"/>
            <w:bottom w:w="0" w:type="dxa"/>
            <w:right w:w="108" w:type="dxa"/>
          </w:tblCellMar>
        </w:tblPrEx>
        <w:trPr>
          <w:trHeight w:val="680" w:hRule="atLeast"/>
          <w:jc w:val="center"/>
        </w:trPr>
        <w:tc>
          <w:tcPr>
            <w:tcW w:w="1193" w:type="dxa"/>
            <w:vMerge w:val="continue"/>
            <w:tcBorders>
              <w:left w:val="single" w:color="auto" w:sz="4" w:space="0"/>
              <w:right w:val="single" w:color="auto" w:sz="4" w:space="0"/>
            </w:tcBorders>
            <w:vAlign w:val="center"/>
          </w:tcPr>
          <w:p>
            <w:pPr>
              <w:widowControl/>
              <w:snapToGrid w:val="0"/>
              <w:spacing w:line="360" w:lineRule="auto"/>
              <w:jc w:val="left"/>
              <w:rPr>
                <w:rFonts w:hint="eastAsia" w:ascii="宋体" w:hAnsi="宋体" w:eastAsia="宋体" w:cs="宋体"/>
                <w:sz w:val="21"/>
                <w:szCs w:val="21"/>
              </w:rPr>
            </w:pPr>
          </w:p>
        </w:tc>
        <w:tc>
          <w:tcPr>
            <w:tcW w:w="1275" w:type="dxa"/>
            <w:tcBorders>
              <w:top w:val="single" w:color="auto" w:sz="4" w:space="0"/>
              <w:left w:val="single" w:color="auto" w:sz="4" w:space="0"/>
              <w:right w:val="single" w:color="auto" w:sz="4" w:space="0"/>
            </w:tcBorders>
            <w:vAlign w:val="center"/>
          </w:tcPr>
          <w:p>
            <w:pPr>
              <w:widowControl/>
              <w:snapToGrid w:val="0"/>
              <w:spacing w:line="360" w:lineRule="auto"/>
              <w:jc w:val="left"/>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3、资金和设备投入方案</w:t>
            </w:r>
            <w:r>
              <w:rPr>
                <w:rFonts w:hint="eastAsia" w:ascii="宋体" w:hAnsi="宋体" w:eastAsia="宋体" w:cs="宋体"/>
                <w:sz w:val="21"/>
                <w:szCs w:val="21"/>
                <w:highlight w:val="none"/>
              </w:rPr>
              <w:t>(10分)</w:t>
            </w:r>
          </w:p>
        </w:tc>
        <w:tc>
          <w:tcPr>
            <w:tcW w:w="6678"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提供资源</w:t>
            </w:r>
            <w:r>
              <w:rPr>
                <w:rFonts w:hint="eastAsia" w:ascii="宋体" w:hAnsi="宋体" w:eastAsia="宋体" w:cs="宋体"/>
                <w:sz w:val="21"/>
                <w:szCs w:val="21"/>
                <w:highlight w:val="none"/>
                <w:lang w:val="en-US" w:eastAsia="zh-CN"/>
              </w:rPr>
              <w:t>资金和设备的</w:t>
            </w:r>
            <w:r>
              <w:rPr>
                <w:rFonts w:hint="eastAsia" w:ascii="宋体" w:hAnsi="宋体" w:eastAsia="宋体" w:cs="宋体"/>
                <w:sz w:val="21"/>
                <w:szCs w:val="21"/>
                <w:highlight w:val="none"/>
              </w:rPr>
              <w:t>投入</w:t>
            </w:r>
            <w:r>
              <w:rPr>
                <w:rFonts w:hint="eastAsia" w:ascii="宋体" w:hAnsi="宋体" w:cs="宋体"/>
                <w:sz w:val="21"/>
                <w:szCs w:val="21"/>
                <w:highlight w:val="none"/>
                <w:lang w:val="en-US" w:eastAsia="zh-CN"/>
              </w:rPr>
              <w:t>计划（按实施的不同阶段提供人力资源计划、拟用于本项目的设备清单要符合项目的需求、资金保障方案、各种突发情况的应急预案等）得10分，缺项或不提供不得分。</w:t>
            </w:r>
          </w:p>
        </w:tc>
      </w:tr>
      <w:tr>
        <w:tblPrEx>
          <w:tblCellMar>
            <w:top w:w="0" w:type="dxa"/>
            <w:left w:w="108" w:type="dxa"/>
            <w:bottom w:w="0" w:type="dxa"/>
            <w:right w:w="108" w:type="dxa"/>
          </w:tblCellMar>
        </w:tblPrEx>
        <w:trPr>
          <w:trHeight w:val="513" w:hRule="atLeast"/>
          <w:jc w:val="center"/>
        </w:trPr>
        <w:tc>
          <w:tcPr>
            <w:tcW w:w="1193" w:type="dxa"/>
            <w:vMerge w:val="continue"/>
            <w:tcBorders>
              <w:left w:val="single" w:color="auto" w:sz="4" w:space="0"/>
              <w:right w:val="single" w:color="auto" w:sz="4" w:space="0"/>
            </w:tcBorders>
            <w:vAlign w:val="center"/>
          </w:tcPr>
          <w:p>
            <w:pPr>
              <w:widowControl/>
              <w:snapToGrid w:val="0"/>
              <w:spacing w:line="360" w:lineRule="auto"/>
              <w:jc w:val="left"/>
              <w:rPr>
                <w:rFonts w:hint="eastAsia" w:ascii="宋体" w:hAnsi="宋体" w:eastAsia="宋体" w:cs="宋体"/>
                <w:sz w:val="21"/>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360" w:lineRule="auto"/>
              <w:jc w:val="left"/>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质量</w:t>
            </w:r>
            <w:r>
              <w:rPr>
                <w:rFonts w:hint="eastAsia" w:ascii="宋体" w:hAnsi="宋体" w:eastAsia="宋体" w:cs="宋体"/>
                <w:sz w:val="21"/>
                <w:szCs w:val="21"/>
                <w:highlight w:val="none"/>
                <w:lang w:val="en-US" w:eastAsia="zh-CN"/>
              </w:rPr>
              <w:t>目标</w:t>
            </w:r>
            <w:r>
              <w:rPr>
                <w:rFonts w:hint="eastAsia" w:ascii="宋体" w:hAnsi="宋体" w:eastAsia="宋体" w:cs="宋体"/>
                <w:sz w:val="21"/>
                <w:szCs w:val="21"/>
                <w:highlight w:val="none"/>
              </w:rPr>
              <w:t>和质量保证</w:t>
            </w:r>
            <w:r>
              <w:rPr>
                <w:rFonts w:hint="eastAsia" w:ascii="宋体" w:hAnsi="宋体" w:eastAsia="宋体" w:cs="宋体"/>
                <w:sz w:val="21"/>
                <w:szCs w:val="21"/>
                <w:highlight w:val="none"/>
                <w:lang w:val="en-US" w:eastAsia="zh-CN"/>
              </w:rPr>
              <w:t>措施</w:t>
            </w:r>
          </w:p>
          <w:p>
            <w:pPr>
              <w:widowControl/>
              <w:snapToGrid w:val="0"/>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rPr>
              <w:t>分)</w:t>
            </w:r>
          </w:p>
        </w:tc>
        <w:tc>
          <w:tcPr>
            <w:tcW w:w="6678"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360" w:lineRule="auto"/>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提供合理可行的质量</w:t>
            </w:r>
            <w:r>
              <w:rPr>
                <w:rFonts w:hint="eastAsia" w:ascii="宋体" w:hAnsi="宋体" w:eastAsia="宋体" w:cs="宋体"/>
                <w:sz w:val="21"/>
                <w:szCs w:val="21"/>
                <w:highlight w:val="none"/>
              </w:rPr>
              <w:t>控制计划和保障措施</w:t>
            </w:r>
            <w:r>
              <w:rPr>
                <w:rFonts w:hint="eastAsia" w:ascii="宋体" w:hAnsi="宋体" w:cs="宋体"/>
                <w:sz w:val="21"/>
                <w:szCs w:val="21"/>
                <w:highlight w:val="none"/>
                <w:lang w:eastAsia="zh-CN"/>
              </w:rPr>
              <w:t>（</w:t>
            </w:r>
            <w:r>
              <w:rPr>
                <w:rFonts w:hint="eastAsia" w:ascii="宋体" w:hAnsi="宋体" w:cs="宋体"/>
                <w:sz w:val="21"/>
                <w:szCs w:val="21"/>
                <w:highlight w:val="none"/>
                <w:lang w:val="en-US" w:eastAsia="zh-CN"/>
              </w:rPr>
              <w:t>质量</w:t>
            </w:r>
            <w:r>
              <w:rPr>
                <w:rFonts w:hint="eastAsia" w:ascii="宋体" w:hAnsi="宋体" w:eastAsia="宋体" w:cs="宋体"/>
                <w:sz w:val="21"/>
                <w:szCs w:val="21"/>
                <w:highlight w:val="none"/>
              </w:rPr>
              <w:t>控制计划</w:t>
            </w:r>
            <w:r>
              <w:rPr>
                <w:rFonts w:hint="eastAsia" w:ascii="宋体" w:hAnsi="宋体" w:cs="宋体"/>
                <w:sz w:val="21"/>
                <w:szCs w:val="21"/>
                <w:highlight w:val="none"/>
                <w:lang w:val="en-US" w:eastAsia="zh-CN"/>
              </w:rPr>
              <w:t>要切实可行，</w:t>
            </w:r>
            <w:r>
              <w:rPr>
                <w:rFonts w:hint="eastAsia" w:ascii="宋体" w:hAnsi="宋体" w:eastAsia="宋体" w:cs="宋体"/>
                <w:sz w:val="21"/>
                <w:szCs w:val="21"/>
                <w:highlight w:val="none"/>
              </w:rPr>
              <w:t>保障措施</w:t>
            </w:r>
            <w:r>
              <w:rPr>
                <w:rFonts w:hint="eastAsia" w:ascii="宋体" w:hAnsi="宋体" w:cs="宋体"/>
                <w:sz w:val="21"/>
                <w:szCs w:val="21"/>
                <w:highlight w:val="none"/>
                <w:lang w:val="en-US" w:eastAsia="zh-CN"/>
              </w:rPr>
              <w:t>要清晰明了并逐条列出）</w:t>
            </w:r>
            <w:r>
              <w:rPr>
                <w:rFonts w:hint="eastAsia" w:ascii="宋体" w:hAnsi="宋体" w:eastAsia="宋体" w:cs="宋体"/>
                <w:sz w:val="21"/>
                <w:szCs w:val="21"/>
                <w:highlight w:val="none"/>
                <w:lang w:val="en-US" w:eastAsia="zh-CN"/>
              </w:rPr>
              <w:t>得</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lang w:val="en-US" w:eastAsia="zh-CN"/>
              </w:rPr>
              <w:t>分，缺项或不提供不得分。</w:t>
            </w:r>
          </w:p>
        </w:tc>
      </w:tr>
      <w:tr>
        <w:tblPrEx>
          <w:tblCellMar>
            <w:top w:w="0" w:type="dxa"/>
            <w:left w:w="108" w:type="dxa"/>
            <w:bottom w:w="0" w:type="dxa"/>
            <w:right w:w="108" w:type="dxa"/>
          </w:tblCellMar>
        </w:tblPrEx>
        <w:trPr>
          <w:trHeight w:val="513" w:hRule="atLeast"/>
          <w:jc w:val="center"/>
        </w:trPr>
        <w:tc>
          <w:tcPr>
            <w:tcW w:w="1193" w:type="dxa"/>
            <w:vMerge w:val="continue"/>
            <w:tcBorders>
              <w:left w:val="single" w:color="auto" w:sz="4" w:space="0"/>
              <w:right w:val="single" w:color="auto" w:sz="4" w:space="0"/>
            </w:tcBorders>
            <w:vAlign w:val="center"/>
          </w:tcPr>
          <w:p>
            <w:pPr>
              <w:widowControl/>
              <w:snapToGrid w:val="0"/>
              <w:spacing w:line="360" w:lineRule="auto"/>
              <w:jc w:val="left"/>
              <w:rPr>
                <w:rFonts w:hint="eastAsia" w:ascii="宋体" w:hAnsi="宋体" w:eastAsia="宋体" w:cs="宋体"/>
                <w:sz w:val="21"/>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360" w:lineRule="auto"/>
              <w:jc w:val="left"/>
              <w:rPr>
                <w:rFonts w:hint="eastAsia" w:ascii="宋体" w:hAnsi="宋体" w:eastAsia="宋体" w:cs="宋体"/>
                <w:sz w:val="21"/>
                <w:szCs w:val="21"/>
                <w:highlight w:val="none"/>
              </w:rPr>
            </w:pPr>
            <w:r>
              <w:rPr>
                <w:rFonts w:hint="eastAsia" w:ascii="宋体" w:hAnsi="宋体" w:cs="宋体"/>
                <w:sz w:val="21"/>
                <w:szCs w:val="21"/>
                <w:highlight w:val="none"/>
                <w:lang w:val="en-US" w:eastAsia="zh-CN"/>
              </w:rPr>
              <w:t>5</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总体进度计划及</w:t>
            </w:r>
            <w:r>
              <w:rPr>
                <w:rFonts w:hint="eastAsia" w:ascii="宋体" w:hAnsi="宋体" w:eastAsia="宋体" w:cs="宋体"/>
                <w:sz w:val="21"/>
                <w:szCs w:val="21"/>
                <w:highlight w:val="none"/>
                <w:lang w:val="en-US" w:eastAsia="zh-CN"/>
              </w:rPr>
              <w:t>保障</w:t>
            </w:r>
            <w:r>
              <w:rPr>
                <w:rFonts w:hint="eastAsia" w:ascii="宋体" w:hAnsi="宋体" w:eastAsia="宋体" w:cs="宋体"/>
                <w:sz w:val="21"/>
                <w:szCs w:val="21"/>
                <w:highlight w:val="none"/>
              </w:rPr>
              <w:t>措施</w:t>
            </w:r>
          </w:p>
          <w:p>
            <w:pPr>
              <w:widowControl/>
              <w:snapToGrid w:val="0"/>
              <w:spacing w:line="360" w:lineRule="auto"/>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rPr>
              <w:t>分</w:t>
            </w:r>
            <w:r>
              <w:rPr>
                <w:rFonts w:hint="eastAsia" w:ascii="宋体" w:hAnsi="宋体" w:eastAsia="宋体" w:cs="宋体"/>
                <w:sz w:val="21"/>
                <w:szCs w:val="21"/>
                <w:highlight w:val="none"/>
                <w:lang w:eastAsia="zh-CN"/>
              </w:rPr>
              <w:t>）</w:t>
            </w:r>
          </w:p>
        </w:tc>
        <w:tc>
          <w:tcPr>
            <w:tcW w:w="6678"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提供总体进度计划及保障措施</w:t>
            </w:r>
            <w:r>
              <w:rPr>
                <w:rFonts w:hint="eastAsia" w:ascii="宋体" w:hAnsi="宋体" w:cs="宋体"/>
                <w:sz w:val="21"/>
                <w:szCs w:val="21"/>
                <w:highlight w:val="none"/>
                <w:lang w:eastAsia="zh-CN"/>
              </w:rPr>
              <w:t>（机械保障、施肥保障、防控保障、</w:t>
            </w:r>
            <w:r>
              <w:rPr>
                <w:rFonts w:hint="eastAsia" w:ascii="宋体" w:hAnsi="宋体" w:cs="宋体"/>
                <w:sz w:val="21"/>
                <w:szCs w:val="21"/>
                <w:highlight w:val="none"/>
                <w:lang w:val="en-US" w:eastAsia="zh-CN"/>
              </w:rPr>
              <w:t>进度措施完整、进度计划图要合理完整</w:t>
            </w:r>
            <w:r>
              <w:rPr>
                <w:rFonts w:hint="eastAsia" w:ascii="宋体" w:hAnsi="宋体" w:cs="宋体"/>
                <w:sz w:val="21"/>
                <w:szCs w:val="21"/>
                <w:highlight w:val="none"/>
                <w:lang w:eastAsia="zh-CN"/>
              </w:rPr>
              <w:t>）</w:t>
            </w:r>
            <w:r>
              <w:rPr>
                <w:rFonts w:hint="eastAsia" w:ascii="宋体" w:hAnsi="宋体" w:eastAsia="宋体" w:cs="宋体"/>
                <w:sz w:val="21"/>
                <w:szCs w:val="21"/>
                <w:highlight w:val="none"/>
              </w:rPr>
              <w:t>得</w:t>
            </w:r>
            <w:r>
              <w:rPr>
                <w:rFonts w:hint="eastAsia" w:ascii="宋体" w:hAnsi="宋体" w:cs="宋体"/>
                <w:sz w:val="21"/>
                <w:szCs w:val="21"/>
                <w:highlight w:val="none"/>
                <w:lang w:val="en-US" w:eastAsia="zh-CN"/>
              </w:rPr>
              <w:t>10</w:t>
            </w:r>
            <w:r>
              <w:rPr>
                <w:rFonts w:hint="eastAsia" w:ascii="宋体" w:hAnsi="宋体" w:eastAsia="宋体" w:cs="宋体"/>
                <w:sz w:val="21"/>
                <w:szCs w:val="21"/>
                <w:highlight w:val="none"/>
              </w:rPr>
              <w:t>分，缺项或不提供不得分。</w:t>
            </w:r>
          </w:p>
        </w:tc>
      </w:tr>
      <w:tr>
        <w:tblPrEx>
          <w:tblCellMar>
            <w:top w:w="0" w:type="dxa"/>
            <w:left w:w="108" w:type="dxa"/>
            <w:bottom w:w="0" w:type="dxa"/>
            <w:right w:w="108" w:type="dxa"/>
          </w:tblCellMar>
        </w:tblPrEx>
        <w:trPr>
          <w:trHeight w:val="513" w:hRule="atLeast"/>
          <w:jc w:val="center"/>
        </w:trPr>
        <w:tc>
          <w:tcPr>
            <w:tcW w:w="1193" w:type="dxa"/>
            <w:vMerge w:val="continue"/>
            <w:tcBorders>
              <w:left w:val="single" w:color="auto" w:sz="4" w:space="0"/>
              <w:right w:val="single" w:color="auto" w:sz="4" w:space="0"/>
            </w:tcBorders>
            <w:vAlign w:val="center"/>
          </w:tcPr>
          <w:p>
            <w:pPr>
              <w:widowControl/>
              <w:snapToGrid w:val="0"/>
              <w:spacing w:line="360" w:lineRule="auto"/>
              <w:jc w:val="left"/>
              <w:rPr>
                <w:rFonts w:hint="eastAsia" w:ascii="宋体" w:hAnsi="宋体" w:eastAsia="宋体" w:cs="宋体"/>
                <w:sz w:val="21"/>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napToGrid w:val="0"/>
              <w:spacing w:line="360" w:lineRule="auto"/>
              <w:jc w:val="left"/>
              <w:rPr>
                <w:rFonts w:hint="default" w:ascii="宋体" w:hAnsi="宋体" w:eastAsia="宋体" w:cs="宋体"/>
                <w:sz w:val="21"/>
                <w:szCs w:val="21"/>
                <w:lang w:val="en-US" w:eastAsia="zh-CN"/>
              </w:rPr>
            </w:pPr>
            <w:r>
              <w:rPr>
                <w:rFonts w:hint="eastAsia" w:ascii="宋体" w:hAnsi="宋体" w:cs="宋体"/>
                <w:sz w:val="21"/>
                <w:szCs w:val="21"/>
                <w:lang w:val="en-US" w:eastAsia="zh-CN"/>
              </w:rPr>
              <w:t>6</w:t>
            </w:r>
            <w:r>
              <w:rPr>
                <w:rFonts w:hint="eastAsia" w:ascii="宋体" w:hAnsi="宋体" w:eastAsia="宋体" w:cs="宋体"/>
                <w:sz w:val="21"/>
                <w:szCs w:val="21"/>
                <w:lang w:val="en-US" w:eastAsia="zh-CN"/>
              </w:rPr>
              <w:t>、</w:t>
            </w:r>
            <w:r>
              <w:rPr>
                <w:rFonts w:hint="eastAsia" w:ascii="宋体" w:hAnsi="宋体" w:cs="宋体"/>
                <w:sz w:val="21"/>
                <w:szCs w:val="21"/>
                <w:lang w:val="en-US" w:eastAsia="zh-CN"/>
              </w:rPr>
              <w:t>项目资料整理和保存措施</w:t>
            </w:r>
          </w:p>
          <w:p>
            <w:pPr>
              <w:widowControl/>
              <w:snapToGrid w:val="0"/>
              <w:spacing w:line="360" w:lineRule="auto"/>
              <w:jc w:val="left"/>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cs="宋体"/>
                <w:sz w:val="21"/>
                <w:szCs w:val="21"/>
                <w:lang w:val="en-US" w:eastAsia="zh-CN"/>
              </w:rPr>
              <w:t>5</w:t>
            </w:r>
            <w:r>
              <w:rPr>
                <w:rFonts w:hint="eastAsia" w:ascii="宋体" w:hAnsi="宋体" w:eastAsia="宋体" w:cs="宋体"/>
                <w:sz w:val="21"/>
                <w:szCs w:val="21"/>
              </w:rPr>
              <w:t>分)</w:t>
            </w:r>
          </w:p>
        </w:tc>
        <w:tc>
          <w:tcPr>
            <w:tcW w:w="6678" w:type="dxa"/>
            <w:gridSpan w:val="2"/>
            <w:tcBorders>
              <w:top w:val="single" w:color="auto" w:sz="4" w:space="0"/>
              <w:left w:val="single" w:color="auto" w:sz="4" w:space="0"/>
              <w:bottom w:val="single" w:color="auto" w:sz="4" w:space="0"/>
              <w:right w:val="single" w:color="auto" w:sz="4" w:space="0"/>
            </w:tcBorders>
            <w:vAlign w:val="center"/>
          </w:tcPr>
          <w:p>
            <w:pPr>
              <w:pStyle w:val="35"/>
              <w:spacing w:line="360" w:lineRule="auto"/>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提供项目资料整理和保存措施</w:t>
            </w:r>
            <w:r>
              <w:rPr>
                <w:rFonts w:hint="eastAsia" w:ascii="宋体" w:hAnsi="宋体" w:cs="宋体"/>
                <w:sz w:val="21"/>
                <w:szCs w:val="21"/>
                <w:lang w:eastAsia="zh-CN"/>
              </w:rPr>
              <w:t>（</w:t>
            </w:r>
            <w:r>
              <w:rPr>
                <w:rFonts w:hint="eastAsia" w:ascii="宋体" w:hAnsi="宋体" w:cs="宋体"/>
                <w:sz w:val="21"/>
                <w:szCs w:val="21"/>
                <w:lang w:val="en-US" w:eastAsia="zh-CN"/>
              </w:rPr>
              <w:t>对保护对象进行的工作进行全面系统的记录、采取保护措施前后的对比材料、档案管理的措施）</w:t>
            </w:r>
            <w:r>
              <w:rPr>
                <w:rFonts w:hint="eastAsia" w:ascii="宋体" w:hAnsi="宋体" w:eastAsia="宋体" w:cs="宋体"/>
                <w:sz w:val="21"/>
                <w:szCs w:val="21"/>
              </w:rPr>
              <w:t>得</w:t>
            </w:r>
            <w:r>
              <w:rPr>
                <w:rFonts w:hint="eastAsia" w:ascii="宋体" w:hAnsi="宋体" w:cs="宋体"/>
                <w:sz w:val="21"/>
                <w:szCs w:val="21"/>
                <w:lang w:val="en-US" w:eastAsia="zh-CN"/>
              </w:rPr>
              <w:t>5</w:t>
            </w:r>
            <w:r>
              <w:rPr>
                <w:rFonts w:hint="eastAsia" w:ascii="宋体" w:hAnsi="宋体" w:eastAsia="宋体" w:cs="宋体"/>
                <w:sz w:val="21"/>
                <w:szCs w:val="21"/>
              </w:rPr>
              <w:t>分，缺项或不提供不得分</w:t>
            </w:r>
          </w:p>
        </w:tc>
      </w:tr>
      <w:tr>
        <w:tblPrEx>
          <w:tblCellMar>
            <w:top w:w="0" w:type="dxa"/>
            <w:left w:w="108" w:type="dxa"/>
            <w:bottom w:w="0" w:type="dxa"/>
            <w:right w:w="108" w:type="dxa"/>
          </w:tblCellMar>
        </w:tblPrEx>
        <w:trPr>
          <w:trHeight w:val="1215" w:hRule="atLeast"/>
          <w:jc w:val="center"/>
        </w:trPr>
        <w:tc>
          <w:tcPr>
            <w:tcW w:w="1193" w:type="dxa"/>
            <w:vMerge w:val="continue"/>
            <w:tcBorders>
              <w:left w:val="single" w:color="auto" w:sz="4" w:space="0"/>
              <w:bottom w:val="single" w:color="auto" w:sz="4" w:space="0"/>
              <w:right w:val="single" w:color="auto" w:sz="4" w:space="0"/>
            </w:tcBorders>
            <w:vAlign w:val="center"/>
          </w:tcPr>
          <w:p>
            <w:pPr>
              <w:widowControl/>
              <w:snapToGrid w:val="0"/>
              <w:spacing w:line="360" w:lineRule="auto"/>
              <w:jc w:val="left"/>
              <w:rPr>
                <w:rFonts w:hint="eastAsia" w:ascii="宋体" w:hAnsi="宋体" w:eastAsia="宋体" w:cs="宋体"/>
                <w:sz w:val="21"/>
                <w:szCs w:val="21"/>
              </w:rPr>
            </w:pPr>
          </w:p>
        </w:tc>
        <w:tc>
          <w:tcPr>
            <w:tcW w:w="1275" w:type="dxa"/>
            <w:tcBorders>
              <w:top w:val="single" w:color="auto" w:sz="4" w:space="0"/>
              <w:left w:val="single" w:color="auto" w:sz="4" w:space="0"/>
              <w:right w:val="single" w:color="auto" w:sz="4" w:space="0"/>
            </w:tcBorders>
            <w:vAlign w:val="center"/>
          </w:tcPr>
          <w:p>
            <w:pPr>
              <w:widowControl/>
              <w:snapToGrid w:val="0"/>
              <w:spacing w:line="360" w:lineRule="auto"/>
              <w:jc w:val="left"/>
              <w:rPr>
                <w:rFonts w:hint="eastAsia" w:ascii="宋体" w:hAnsi="宋体" w:eastAsia="宋体" w:cs="宋体"/>
                <w:sz w:val="21"/>
                <w:szCs w:val="21"/>
                <w:lang w:eastAsia="zh-CN"/>
              </w:rPr>
            </w:pPr>
            <w:r>
              <w:rPr>
                <w:rFonts w:hint="eastAsia" w:ascii="宋体" w:hAnsi="宋体" w:cs="宋体"/>
                <w:sz w:val="21"/>
                <w:szCs w:val="21"/>
                <w:lang w:val="en-US" w:eastAsia="zh-CN"/>
              </w:rPr>
              <w:t>7</w:t>
            </w:r>
            <w:r>
              <w:rPr>
                <w:rFonts w:hint="eastAsia" w:ascii="宋体" w:hAnsi="宋体" w:eastAsia="宋体" w:cs="宋体"/>
                <w:sz w:val="21"/>
                <w:szCs w:val="21"/>
                <w:lang w:val="en-US" w:eastAsia="zh-CN"/>
              </w:rPr>
              <w:t>、技术方案</w:t>
            </w:r>
            <w:r>
              <w:rPr>
                <w:rFonts w:hint="eastAsia" w:ascii="宋体" w:hAnsi="宋体" w:cs="宋体"/>
                <w:sz w:val="21"/>
                <w:szCs w:val="21"/>
                <w:lang w:val="en-US" w:eastAsia="zh-CN"/>
              </w:rPr>
              <w:t>的整体</w:t>
            </w:r>
            <w:r>
              <w:rPr>
                <w:rFonts w:hint="eastAsia" w:ascii="宋体" w:hAnsi="宋体" w:eastAsia="宋体" w:cs="宋体"/>
                <w:sz w:val="21"/>
                <w:szCs w:val="21"/>
                <w:lang w:val="en-US" w:eastAsia="zh-CN"/>
              </w:rPr>
              <w:t>质量</w:t>
            </w:r>
          </w:p>
          <w:p>
            <w:pPr>
              <w:widowControl/>
              <w:snapToGrid w:val="0"/>
              <w:spacing w:line="36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cs="宋体"/>
                <w:sz w:val="21"/>
                <w:szCs w:val="21"/>
                <w:lang w:val="en-US" w:eastAsia="zh-CN"/>
              </w:rPr>
              <w:t>5</w:t>
            </w:r>
            <w:r>
              <w:rPr>
                <w:rFonts w:hint="eastAsia" w:ascii="宋体" w:hAnsi="宋体" w:eastAsia="宋体" w:cs="宋体"/>
                <w:sz w:val="21"/>
                <w:szCs w:val="21"/>
                <w:lang w:val="en-US" w:eastAsia="zh-CN"/>
              </w:rPr>
              <w:t>分）</w:t>
            </w:r>
          </w:p>
        </w:tc>
        <w:tc>
          <w:tcPr>
            <w:tcW w:w="6678" w:type="dxa"/>
            <w:gridSpan w:val="2"/>
            <w:tcBorders>
              <w:top w:val="single" w:color="auto" w:sz="4" w:space="0"/>
              <w:left w:val="single" w:color="auto" w:sz="4" w:space="0"/>
              <w:bottom w:val="single" w:color="auto" w:sz="4" w:space="0"/>
              <w:right w:val="single" w:color="auto" w:sz="4" w:space="0"/>
            </w:tcBorders>
            <w:vAlign w:val="center"/>
          </w:tcPr>
          <w:p>
            <w:pPr>
              <w:pStyle w:val="35"/>
              <w:spacing w:line="360" w:lineRule="auto"/>
              <w:ind w:left="0" w:leftChars="0" w:firstLine="0" w:firstLineChars="0"/>
              <w:rPr>
                <w:rFonts w:hint="eastAsia" w:ascii="宋体" w:hAnsi="宋体" w:eastAsia="宋体" w:cs="宋体"/>
                <w:sz w:val="21"/>
                <w:szCs w:val="21"/>
              </w:rPr>
            </w:pPr>
            <w:r>
              <w:rPr>
                <w:rFonts w:hint="eastAsia" w:ascii="宋体" w:hAnsi="宋体" w:cs="宋体"/>
                <w:sz w:val="21"/>
                <w:szCs w:val="21"/>
                <w:lang w:val="en-US" w:eastAsia="zh-CN"/>
              </w:rPr>
              <w:t>投标单位</w:t>
            </w:r>
            <w:r>
              <w:rPr>
                <w:rFonts w:hint="eastAsia" w:ascii="宋体" w:hAnsi="宋体" w:eastAsia="宋体" w:cs="宋体"/>
                <w:sz w:val="21"/>
                <w:szCs w:val="21"/>
              </w:rPr>
              <w:t>技术方案的整体质量（编制有序</w:t>
            </w:r>
            <w:r>
              <w:rPr>
                <w:rFonts w:hint="eastAsia" w:ascii="宋体" w:hAnsi="宋体" w:cs="宋体"/>
                <w:sz w:val="21"/>
                <w:szCs w:val="21"/>
                <w:lang w:val="en-US" w:eastAsia="zh-CN"/>
              </w:rPr>
              <w:t>且层次分明</w:t>
            </w:r>
            <w:r>
              <w:rPr>
                <w:rFonts w:hint="eastAsia" w:ascii="宋体" w:hAnsi="宋体" w:eastAsia="宋体" w:cs="宋体"/>
                <w:sz w:val="21"/>
                <w:szCs w:val="21"/>
              </w:rPr>
              <w:t>、</w:t>
            </w:r>
            <w:r>
              <w:rPr>
                <w:rFonts w:hint="eastAsia" w:ascii="宋体" w:hAnsi="宋体" w:cs="宋体"/>
                <w:sz w:val="21"/>
                <w:szCs w:val="21"/>
                <w:lang w:val="en-US" w:eastAsia="zh-CN"/>
              </w:rPr>
              <w:t>语句通顺</w:t>
            </w:r>
            <w:r>
              <w:rPr>
                <w:rFonts w:hint="eastAsia" w:ascii="宋体" w:hAnsi="宋体" w:eastAsia="宋体" w:cs="宋体"/>
                <w:sz w:val="21"/>
                <w:szCs w:val="21"/>
              </w:rPr>
              <w:t>、</w:t>
            </w:r>
            <w:r>
              <w:rPr>
                <w:rFonts w:hint="eastAsia" w:ascii="宋体" w:hAnsi="宋体" w:cs="宋体"/>
                <w:sz w:val="21"/>
                <w:szCs w:val="21"/>
                <w:lang w:val="en-US" w:eastAsia="zh-CN"/>
              </w:rPr>
              <w:t>排版工整、无错别字</w:t>
            </w:r>
            <w:r>
              <w:rPr>
                <w:rFonts w:hint="eastAsia" w:ascii="宋体" w:hAnsi="宋体" w:eastAsia="宋体" w:cs="宋体"/>
                <w:sz w:val="21"/>
                <w:szCs w:val="21"/>
              </w:rPr>
              <w:t>、</w:t>
            </w:r>
            <w:r>
              <w:rPr>
                <w:rFonts w:hint="eastAsia" w:ascii="宋体" w:hAnsi="宋体" w:cs="宋体"/>
                <w:sz w:val="21"/>
                <w:szCs w:val="21"/>
                <w:lang w:val="en-US" w:eastAsia="zh-CN"/>
              </w:rPr>
              <w:t>内容</w:t>
            </w:r>
            <w:r>
              <w:rPr>
                <w:rFonts w:hint="eastAsia" w:ascii="宋体" w:hAnsi="宋体" w:eastAsia="宋体" w:cs="宋体"/>
                <w:sz w:val="21"/>
                <w:szCs w:val="21"/>
              </w:rPr>
              <w:t>完整等情况）得5分，缺项或不提供不得分</w:t>
            </w:r>
          </w:p>
        </w:tc>
      </w:tr>
      <w:tr>
        <w:tblPrEx>
          <w:tblCellMar>
            <w:top w:w="0" w:type="dxa"/>
            <w:left w:w="108" w:type="dxa"/>
            <w:bottom w:w="0" w:type="dxa"/>
            <w:right w:w="108" w:type="dxa"/>
          </w:tblCellMar>
        </w:tblPrEx>
        <w:trPr>
          <w:trHeight w:val="357" w:hRule="atLeast"/>
          <w:jc w:val="center"/>
        </w:trPr>
        <w:tc>
          <w:tcPr>
            <w:tcW w:w="1193" w:type="dxa"/>
            <w:vMerge w:val="restart"/>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1"/>
                <w:szCs w:val="21"/>
              </w:rPr>
            </w:pPr>
            <w:r>
              <w:rPr>
                <w:rFonts w:hint="eastAsia" w:ascii="宋体" w:hAnsi="宋体" w:eastAsia="宋体" w:cs="宋体"/>
                <w:sz w:val="21"/>
                <w:szCs w:val="21"/>
              </w:rPr>
              <w:t>综合</w:t>
            </w:r>
            <w:r>
              <w:rPr>
                <w:rFonts w:hint="eastAsia" w:ascii="宋体" w:hAnsi="宋体" w:eastAsia="宋体" w:cs="宋体"/>
                <w:sz w:val="21"/>
                <w:szCs w:val="21"/>
                <w:lang w:val="en-US" w:eastAsia="zh-CN"/>
              </w:rPr>
              <w:t>部分</w:t>
            </w:r>
            <w:r>
              <w:rPr>
                <w:rFonts w:hint="eastAsia" w:ascii="宋体" w:hAnsi="宋体" w:eastAsia="宋体" w:cs="宋体"/>
                <w:sz w:val="21"/>
                <w:szCs w:val="21"/>
              </w:rPr>
              <w:t>（</w:t>
            </w:r>
            <w:r>
              <w:rPr>
                <w:rFonts w:hint="eastAsia" w:ascii="宋体" w:hAnsi="宋体" w:eastAsia="宋体" w:cs="宋体"/>
                <w:sz w:val="21"/>
                <w:szCs w:val="21"/>
                <w:lang w:val="en-US" w:eastAsia="zh-CN"/>
              </w:rPr>
              <w:t>25</w:t>
            </w:r>
            <w:r>
              <w:rPr>
                <w:rFonts w:hint="eastAsia" w:ascii="宋体" w:hAnsi="宋体" w:eastAsia="宋体" w:cs="宋体"/>
                <w:sz w:val="21"/>
                <w:szCs w:val="21"/>
              </w:rPr>
              <w:t>分）</w:t>
            </w:r>
          </w:p>
          <w:p>
            <w:pPr>
              <w:spacing w:line="360" w:lineRule="auto"/>
              <w:rPr>
                <w:rFonts w:hint="eastAsia" w:ascii="宋体" w:hAnsi="宋体" w:eastAsia="宋体" w:cs="宋体"/>
                <w:sz w:val="21"/>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技术和人员</w:t>
            </w:r>
            <w:r>
              <w:rPr>
                <w:rFonts w:hint="eastAsia" w:ascii="宋体" w:hAnsi="宋体" w:eastAsia="宋体" w:cs="宋体"/>
                <w:color w:val="000000"/>
                <w:sz w:val="21"/>
                <w:szCs w:val="21"/>
                <w:lang w:val="en-US" w:eastAsia="zh-CN"/>
              </w:rPr>
              <w:t>实力（1</w:t>
            </w:r>
            <w:r>
              <w:rPr>
                <w:rFonts w:hint="eastAsia" w:ascii="宋体" w:hAnsi="宋体" w:cs="宋体"/>
                <w:color w:val="000000"/>
                <w:sz w:val="21"/>
                <w:szCs w:val="21"/>
                <w:lang w:val="en-US" w:eastAsia="zh-CN"/>
              </w:rPr>
              <w:t>0</w:t>
            </w:r>
            <w:r>
              <w:rPr>
                <w:rFonts w:hint="eastAsia" w:ascii="宋体" w:hAnsi="宋体" w:eastAsia="宋体" w:cs="宋体"/>
                <w:color w:val="000000"/>
                <w:sz w:val="21"/>
                <w:szCs w:val="21"/>
                <w:lang w:val="en-US" w:eastAsia="zh-CN"/>
              </w:rPr>
              <w:t>分）</w:t>
            </w:r>
          </w:p>
        </w:tc>
        <w:tc>
          <w:tcPr>
            <w:tcW w:w="6678" w:type="dxa"/>
            <w:gridSpan w:val="2"/>
            <w:tcBorders>
              <w:top w:val="single" w:color="auto" w:sz="4" w:space="0"/>
              <w:left w:val="single" w:color="auto" w:sz="4" w:space="0"/>
              <w:bottom w:val="single" w:color="auto" w:sz="4" w:space="0"/>
              <w:right w:val="single" w:color="auto" w:sz="4" w:space="0"/>
            </w:tcBorders>
            <w:vAlign w:val="center"/>
          </w:tcPr>
          <w:p>
            <w:pPr>
              <w:pStyle w:val="35"/>
              <w:spacing w:line="360" w:lineRule="auto"/>
              <w:ind w:left="0" w:leftChars="0" w:firstLine="0" w:firstLineChars="0"/>
              <w:rPr>
                <w:rFonts w:hint="eastAsia" w:ascii="宋体" w:hAnsi="宋体" w:cs="宋体"/>
                <w:sz w:val="21"/>
                <w:szCs w:val="21"/>
                <w:lang w:val="en-US" w:eastAsia="zh-CN"/>
              </w:rPr>
            </w:pPr>
            <w:r>
              <w:rPr>
                <w:rFonts w:hint="eastAsia" w:ascii="宋体" w:hAnsi="宋体" w:cs="宋体"/>
                <w:sz w:val="21"/>
                <w:szCs w:val="21"/>
                <w:lang w:val="en-US" w:eastAsia="zh-CN"/>
              </w:rPr>
              <w:t>1、拟派技术人员（不包含本项目负责人）每有1人具有项目相关专业技术职称的，初级职称证书得1分，中级及以上职称证书得3分；本项最多得7分；（同一人员职称证书按最高的职称计算，不重复计分，需提供证明资料）</w:t>
            </w:r>
          </w:p>
          <w:p>
            <w:pPr>
              <w:pStyle w:val="35"/>
              <w:spacing w:line="360" w:lineRule="auto"/>
              <w:ind w:left="0" w:leftChars="0" w:firstLine="0" w:firstLineChars="0"/>
              <w:rPr>
                <w:rFonts w:hint="default" w:ascii="宋体" w:hAnsi="宋体" w:cs="宋体"/>
                <w:sz w:val="21"/>
                <w:szCs w:val="21"/>
                <w:lang w:val="en-US" w:eastAsia="zh-CN"/>
              </w:rPr>
            </w:pPr>
            <w:r>
              <w:rPr>
                <w:rFonts w:hint="eastAsia" w:ascii="宋体" w:hAnsi="宋体" w:cs="宋体"/>
                <w:sz w:val="21"/>
                <w:szCs w:val="21"/>
                <w:lang w:val="en-US" w:eastAsia="zh-CN"/>
              </w:rPr>
              <w:t>2、拟派本项目负责人具有项目相关专业中级及以上职称证书的，得3分；本项最多得3分；（需提供证明资料）</w:t>
            </w:r>
          </w:p>
        </w:tc>
      </w:tr>
      <w:tr>
        <w:tblPrEx>
          <w:tblCellMar>
            <w:top w:w="0" w:type="dxa"/>
            <w:left w:w="108" w:type="dxa"/>
            <w:bottom w:w="0" w:type="dxa"/>
            <w:right w:w="108" w:type="dxa"/>
          </w:tblCellMar>
        </w:tblPrEx>
        <w:trPr>
          <w:trHeight w:val="357" w:hRule="atLeast"/>
          <w:jc w:val="center"/>
        </w:trPr>
        <w:tc>
          <w:tcPr>
            <w:tcW w:w="1193"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sz w:val="21"/>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企业业绩</w:t>
            </w:r>
          </w:p>
          <w:p>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eastAsia="zh-CN"/>
              </w:rPr>
              <w:t>（</w:t>
            </w:r>
            <w:r>
              <w:rPr>
                <w:rFonts w:hint="eastAsia" w:ascii="宋体" w:hAnsi="宋体" w:cs="宋体"/>
                <w:color w:val="000000"/>
                <w:sz w:val="21"/>
                <w:szCs w:val="21"/>
                <w:lang w:val="en-US" w:eastAsia="zh-CN"/>
              </w:rPr>
              <w:t>6</w:t>
            </w:r>
            <w:r>
              <w:rPr>
                <w:rFonts w:hint="eastAsia" w:ascii="宋体" w:hAnsi="宋体" w:eastAsia="宋体" w:cs="宋体"/>
                <w:color w:val="000000"/>
                <w:sz w:val="21"/>
                <w:szCs w:val="21"/>
                <w:lang w:val="en-US" w:eastAsia="zh-CN"/>
              </w:rPr>
              <w:t>分）</w:t>
            </w:r>
          </w:p>
        </w:tc>
        <w:tc>
          <w:tcPr>
            <w:tcW w:w="667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企业自 2021 年 1 月 1 日以来承担过类似项目的业绩，每提供一项得 </w:t>
            </w:r>
            <w:r>
              <w:rPr>
                <w:rFonts w:hint="eastAsia" w:ascii="宋体" w:hAnsi="宋体" w:cs="宋体"/>
                <w:color w:val="000000"/>
                <w:sz w:val="21"/>
                <w:szCs w:val="21"/>
                <w:lang w:val="en-US" w:eastAsia="zh-CN"/>
              </w:rPr>
              <w:t>3</w:t>
            </w:r>
            <w:r>
              <w:rPr>
                <w:rFonts w:hint="eastAsia" w:ascii="宋体" w:hAnsi="宋体" w:eastAsia="宋体" w:cs="宋体"/>
                <w:color w:val="000000"/>
                <w:sz w:val="21"/>
                <w:szCs w:val="21"/>
              </w:rPr>
              <w:t>分，最多得</w:t>
            </w:r>
            <w:r>
              <w:rPr>
                <w:rFonts w:hint="eastAsia" w:ascii="宋体" w:hAnsi="宋体" w:cs="宋体"/>
                <w:color w:val="000000"/>
                <w:sz w:val="21"/>
                <w:szCs w:val="21"/>
                <w:lang w:val="en-US" w:eastAsia="zh-CN"/>
              </w:rPr>
              <w:t>6</w:t>
            </w:r>
            <w:r>
              <w:rPr>
                <w:rFonts w:hint="eastAsia" w:ascii="宋体" w:hAnsi="宋体" w:eastAsia="宋体" w:cs="宋体"/>
                <w:color w:val="000000"/>
                <w:sz w:val="21"/>
                <w:szCs w:val="21"/>
              </w:rPr>
              <w:t>分。（提供合同的扫描件，</w:t>
            </w:r>
            <w:r>
              <w:rPr>
                <w:rFonts w:hint="eastAsia" w:ascii="宋体" w:hAnsi="宋体" w:cs="宋体"/>
                <w:color w:val="000000"/>
                <w:sz w:val="21"/>
                <w:szCs w:val="21"/>
                <w:lang w:val="en-US" w:eastAsia="zh-CN"/>
              </w:rPr>
              <w:t>时间</w:t>
            </w:r>
            <w:r>
              <w:rPr>
                <w:rFonts w:hint="eastAsia" w:ascii="宋体" w:hAnsi="宋体" w:eastAsia="宋体" w:cs="宋体"/>
                <w:color w:val="000000"/>
                <w:sz w:val="21"/>
                <w:szCs w:val="21"/>
              </w:rPr>
              <w:t>以合同签订的时间为准，在响应文件中附合同的扫描件，否则不得分）。</w:t>
            </w:r>
          </w:p>
          <w:p>
            <w:pPr>
              <w:spacing w:line="360" w:lineRule="auto"/>
              <w:rPr>
                <w:rFonts w:hint="default" w:ascii="宋体" w:hAnsi="宋体" w:eastAsia="宋体" w:cs="宋体"/>
                <w:color w:val="000000"/>
                <w:sz w:val="21"/>
                <w:szCs w:val="21"/>
                <w:lang w:val="en-US" w:eastAsia="zh-CN"/>
              </w:rPr>
            </w:pPr>
            <w:r>
              <w:rPr>
                <w:rFonts w:hint="eastAsia" w:ascii="宋体" w:hAnsi="宋体" w:cs="宋体"/>
                <w:color w:val="000000"/>
                <w:sz w:val="21"/>
                <w:szCs w:val="21"/>
                <w:lang w:val="en-US" w:eastAsia="zh-CN"/>
              </w:rPr>
              <w:t>注：供应商应提供能够证明合同服务内容的材料，供磋商小组评判。</w:t>
            </w:r>
          </w:p>
        </w:tc>
      </w:tr>
      <w:tr>
        <w:tblPrEx>
          <w:tblCellMar>
            <w:top w:w="0" w:type="dxa"/>
            <w:left w:w="108" w:type="dxa"/>
            <w:bottom w:w="0" w:type="dxa"/>
            <w:right w:w="108" w:type="dxa"/>
          </w:tblCellMar>
        </w:tblPrEx>
        <w:trPr>
          <w:trHeight w:val="478" w:hRule="atLeast"/>
          <w:jc w:val="center"/>
        </w:trPr>
        <w:tc>
          <w:tcPr>
            <w:tcW w:w="1193"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000000"/>
                <w:sz w:val="21"/>
                <w:szCs w:val="21"/>
              </w:rPr>
            </w:pPr>
          </w:p>
        </w:tc>
        <w:tc>
          <w:tcPr>
            <w:tcW w:w="1275"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服务承诺</w:t>
            </w:r>
          </w:p>
          <w:p>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w:t>
            </w:r>
            <w:r>
              <w:rPr>
                <w:rFonts w:hint="eastAsia" w:ascii="宋体" w:hAnsi="宋体" w:cs="宋体"/>
                <w:color w:val="000000"/>
                <w:sz w:val="21"/>
                <w:szCs w:val="21"/>
                <w:lang w:val="en-US" w:eastAsia="zh-CN"/>
              </w:rPr>
              <w:t>9</w:t>
            </w:r>
            <w:r>
              <w:rPr>
                <w:rFonts w:hint="eastAsia" w:ascii="宋体" w:hAnsi="宋体" w:eastAsia="宋体" w:cs="宋体"/>
                <w:color w:val="000000"/>
                <w:sz w:val="21"/>
                <w:szCs w:val="21"/>
                <w:lang w:val="en-US" w:eastAsia="zh-CN"/>
              </w:rPr>
              <w:t>分）</w:t>
            </w:r>
          </w:p>
        </w:tc>
        <w:tc>
          <w:tcPr>
            <w:tcW w:w="6678" w:type="dxa"/>
            <w:gridSpan w:val="2"/>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供应商提供</w:t>
            </w:r>
            <w:r>
              <w:rPr>
                <w:rFonts w:hint="eastAsia" w:ascii="宋体" w:hAnsi="宋体" w:cs="宋体"/>
                <w:color w:val="auto"/>
                <w:sz w:val="21"/>
                <w:szCs w:val="21"/>
                <w:u w:val="single"/>
                <w:lang w:val="en-US" w:eastAsia="zh-CN"/>
              </w:rPr>
              <w:t>1、</w:t>
            </w:r>
            <w:r>
              <w:rPr>
                <w:rFonts w:hint="eastAsia" w:ascii="宋体" w:hAnsi="宋体" w:eastAsia="宋体" w:cs="宋体"/>
                <w:color w:val="auto"/>
                <w:sz w:val="21"/>
                <w:szCs w:val="21"/>
                <w:u w:val="single"/>
              </w:rPr>
              <w:t>售后服务方案</w:t>
            </w:r>
            <w:r>
              <w:rPr>
                <w:rFonts w:hint="eastAsia" w:ascii="宋体" w:hAnsi="宋体" w:cs="宋体"/>
                <w:color w:val="auto"/>
                <w:sz w:val="21"/>
                <w:szCs w:val="21"/>
                <w:u w:val="single"/>
                <w:lang w:eastAsia="zh-CN"/>
              </w:rPr>
              <w:t>；</w:t>
            </w:r>
            <w:r>
              <w:rPr>
                <w:rFonts w:hint="eastAsia" w:ascii="宋体" w:hAnsi="宋体" w:cs="宋体"/>
                <w:color w:val="auto"/>
                <w:sz w:val="21"/>
                <w:szCs w:val="21"/>
                <w:u w:val="single"/>
                <w:lang w:val="en-US" w:eastAsia="zh-CN"/>
              </w:rPr>
              <w:t>2、</w:t>
            </w:r>
            <w:r>
              <w:rPr>
                <w:rFonts w:hint="eastAsia" w:ascii="宋体" w:hAnsi="宋体" w:eastAsia="宋体" w:cs="宋体"/>
                <w:color w:val="auto"/>
                <w:sz w:val="21"/>
                <w:szCs w:val="21"/>
                <w:u w:val="single"/>
              </w:rPr>
              <w:t>重大问题的应急响应处置保障能力</w:t>
            </w:r>
            <w:r>
              <w:rPr>
                <w:rFonts w:hint="eastAsia" w:ascii="宋体" w:hAnsi="宋体" w:cs="宋体"/>
                <w:color w:val="auto"/>
                <w:sz w:val="21"/>
                <w:szCs w:val="21"/>
                <w:u w:val="single"/>
                <w:lang w:eastAsia="zh-CN"/>
              </w:rPr>
              <w:t>（</w:t>
            </w:r>
            <w:r>
              <w:rPr>
                <w:rFonts w:hint="eastAsia" w:ascii="宋体" w:hAnsi="宋体" w:eastAsia="宋体" w:cs="宋体"/>
                <w:color w:val="auto"/>
                <w:sz w:val="21"/>
                <w:szCs w:val="21"/>
                <w:u w:val="single"/>
              </w:rPr>
              <w:t>对用户故障的响应处理</w:t>
            </w:r>
            <w:r>
              <w:rPr>
                <w:rFonts w:hint="eastAsia" w:ascii="宋体" w:hAnsi="宋体" w:cs="宋体"/>
                <w:color w:val="auto"/>
                <w:sz w:val="21"/>
                <w:szCs w:val="21"/>
                <w:u w:val="single"/>
                <w:lang w:eastAsia="zh-CN"/>
              </w:rPr>
              <w:t>、</w:t>
            </w:r>
            <w:r>
              <w:rPr>
                <w:rFonts w:hint="eastAsia" w:ascii="宋体" w:hAnsi="宋体" w:eastAsia="宋体" w:cs="宋体"/>
                <w:color w:val="auto"/>
                <w:sz w:val="21"/>
                <w:szCs w:val="21"/>
                <w:u w:val="single"/>
              </w:rPr>
              <w:t>现场保障</w:t>
            </w:r>
            <w:r>
              <w:rPr>
                <w:rFonts w:hint="eastAsia" w:ascii="宋体" w:hAnsi="宋体" w:cs="宋体"/>
                <w:color w:val="auto"/>
                <w:sz w:val="21"/>
                <w:szCs w:val="21"/>
                <w:u w:val="single"/>
                <w:lang w:eastAsia="zh-CN"/>
              </w:rPr>
              <w:t>、</w:t>
            </w:r>
            <w:r>
              <w:rPr>
                <w:rFonts w:hint="eastAsia" w:ascii="宋体" w:hAnsi="宋体" w:eastAsia="宋体" w:cs="宋体"/>
                <w:color w:val="auto"/>
                <w:sz w:val="21"/>
                <w:szCs w:val="21"/>
                <w:u w:val="single"/>
              </w:rPr>
              <w:t>应急响应能力等情况</w:t>
            </w:r>
            <w:r>
              <w:rPr>
                <w:rFonts w:hint="eastAsia" w:ascii="宋体" w:hAnsi="宋体" w:cs="宋体"/>
                <w:color w:val="auto"/>
                <w:sz w:val="21"/>
                <w:szCs w:val="21"/>
                <w:u w:val="single"/>
                <w:lang w:eastAsia="zh-CN"/>
              </w:rPr>
              <w:t>）；</w:t>
            </w:r>
            <w:r>
              <w:rPr>
                <w:rFonts w:hint="eastAsia" w:ascii="宋体" w:hAnsi="宋体" w:cs="宋体"/>
                <w:color w:val="auto"/>
                <w:sz w:val="21"/>
                <w:szCs w:val="21"/>
                <w:u w:val="single"/>
                <w:lang w:val="en-US" w:eastAsia="zh-CN"/>
              </w:rPr>
              <w:t>3、</w:t>
            </w:r>
            <w:r>
              <w:rPr>
                <w:rFonts w:hint="eastAsia" w:ascii="宋体" w:hAnsi="宋体" w:eastAsia="宋体" w:cs="宋体"/>
                <w:color w:val="auto"/>
                <w:sz w:val="21"/>
                <w:szCs w:val="21"/>
                <w:u w:val="single"/>
              </w:rPr>
              <w:t>服务承诺落实的保障措施</w:t>
            </w:r>
            <w:r>
              <w:rPr>
                <w:rFonts w:hint="eastAsia" w:ascii="宋体" w:hAnsi="宋体" w:cs="宋体"/>
                <w:color w:val="auto"/>
                <w:sz w:val="21"/>
                <w:szCs w:val="21"/>
                <w:u w:val="single"/>
                <w:lang w:eastAsia="zh-CN"/>
              </w:rPr>
              <w:t>；</w:t>
            </w:r>
            <w:r>
              <w:rPr>
                <w:rFonts w:hint="eastAsia" w:ascii="宋体" w:hAnsi="宋体" w:eastAsia="宋体" w:cs="宋体"/>
                <w:color w:val="auto"/>
                <w:sz w:val="21"/>
                <w:szCs w:val="21"/>
              </w:rPr>
              <w:t>供应商</w:t>
            </w:r>
            <w:r>
              <w:rPr>
                <w:rFonts w:hint="eastAsia" w:ascii="宋体" w:hAnsi="宋体" w:cs="宋体"/>
                <w:color w:val="auto"/>
                <w:sz w:val="21"/>
                <w:szCs w:val="21"/>
                <w:lang w:val="en-US" w:eastAsia="zh-CN"/>
              </w:rPr>
              <w:t>提供的材料应符合实际情况并切实可行。</w:t>
            </w:r>
          </w:p>
          <w:p>
            <w:pPr>
              <w:tabs>
                <w:tab w:val="left" w:pos="742"/>
              </w:tabs>
              <w:spacing w:line="360" w:lineRule="auto"/>
              <w:rPr>
                <w:rFonts w:hint="eastAsia" w:ascii="宋体" w:hAnsi="宋体" w:eastAsia="宋体" w:cs="宋体"/>
                <w:color w:val="000000"/>
                <w:sz w:val="21"/>
                <w:szCs w:val="21"/>
              </w:rPr>
            </w:pPr>
            <w:r>
              <w:rPr>
                <w:rFonts w:hint="eastAsia" w:ascii="宋体" w:hAnsi="宋体" w:cs="宋体"/>
                <w:color w:val="000000"/>
                <w:sz w:val="21"/>
                <w:szCs w:val="21"/>
                <w:lang w:val="en-US" w:eastAsia="zh-CN"/>
              </w:rPr>
              <w:t>以上三项中，每提供一项内容得3分，最多得9分</w:t>
            </w:r>
          </w:p>
        </w:tc>
      </w:tr>
    </w:tbl>
    <w:p>
      <w:pPr>
        <w:pStyle w:val="25"/>
        <w:spacing w:line="360" w:lineRule="auto"/>
        <w:ind w:firstLine="480"/>
        <w:rPr>
          <w:rFonts w:hint="eastAsia" w:ascii="宋体" w:hAnsi="宋体" w:eastAsia="宋体" w:cs="宋体"/>
          <w:sz w:val="24"/>
          <w:szCs w:val="24"/>
        </w:rPr>
      </w:pPr>
    </w:p>
    <w:p>
      <w:pPr>
        <w:spacing w:line="360" w:lineRule="auto"/>
        <w:rPr>
          <w:rFonts w:hint="eastAsia" w:ascii="宋体" w:hAnsi="宋体" w:eastAsia="宋体" w:cs="宋体"/>
          <w:b/>
          <w:sz w:val="24"/>
          <w:szCs w:val="24"/>
        </w:rPr>
      </w:pPr>
      <w:r>
        <w:rPr>
          <w:rFonts w:hint="eastAsia" w:ascii="宋体" w:hAnsi="宋体" w:eastAsia="宋体" w:cs="宋体"/>
          <w:b/>
          <w:sz w:val="24"/>
          <w:szCs w:val="24"/>
        </w:rPr>
        <w:t xml:space="preserve">  最终得分为磋商小组所有成员计分的算术平均值，计算保留小数点两位，小数点后第三位四舍五入。</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22.3磋商小组根据综合评分情况，按照评审得分由高到低顺序推荐成交候选供应商，并编写评审报告。综合得分相同的供应商，报价较低者优先；报价也相同的，由采购人自行确定。</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22.5若供应商的报价高于项目预算，磋商小组有权根据采购人意见及其实际情况，拒绝该报价。</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22.7在竞争性磋商期间，供应商不得向竞争性磋商小组成员询问其它供应商竞争性磋商情况，不得进行旨在影响成交结果的活动。</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22.8在竞争性磋商期间，采购人将有专门人员与供应商进行联络。</w:t>
      </w:r>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23.竞争性磋商终止</w:t>
      </w:r>
    </w:p>
    <w:p>
      <w:pPr>
        <w:spacing w:line="360" w:lineRule="auto"/>
        <w:ind w:firstLine="480" w:firstLineChars="200"/>
        <w:rPr>
          <w:rFonts w:hint="eastAsia" w:ascii="宋体" w:hAnsi="宋体" w:eastAsia="宋体" w:cs="宋体"/>
          <w:b/>
          <w:sz w:val="24"/>
          <w:szCs w:val="24"/>
        </w:rPr>
      </w:pPr>
      <w:r>
        <w:rPr>
          <w:rFonts w:hint="eastAsia" w:ascii="宋体" w:hAnsi="宋体" w:eastAsia="宋体" w:cs="宋体"/>
          <w:bCs/>
          <w:sz w:val="24"/>
          <w:szCs w:val="24"/>
        </w:rPr>
        <w:t>23.1出现下列情形之一时，采购人有权宣布竞争性磋商终止，并将理由通知所有供应商：</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（1）因情况变化，不再符合竞争性磋商适用情形的；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（2）出现影响采购公正的违法、违规行为的；</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（3）在采购过程中符合磋商文件要求的供应商不足3家的；</w:t>
      </w:r>
    </w:p>
    <w:p>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（4）在采购活动中因重大变故，采购任务取消的；</w:t>
      </w:r>
    </w:p>
    <w:p>
      <w:pPr>
        <w:spacing w:line="360" w:lineRule="auto"/>
        <w:jc w:val="center"/>
        <w:outlineLvl w:val="1"/>
        <w:rPr>
          <w:rFonts w:hint="eastAsia" w:ascii="宋体" w:hAnsi="宋体" w:eastAsia="宋体" w:cs="宋体"/>
          <w:b/>
          <w:sz w:val="24"/>
          <w:szCs w:val="24"/>
        </w:rPr>
      </w:pPr>
      <w:bookmarkStart w:id="53" w:name="_Toc1273"/>
      <w:r>
        <w:rPr>
          <w:rFonts w:hint="eastAsia" w:ascii="宋体" w:hAnsi="宋体" w:eastAsia="宋体" w:cs="宋体"/>
          <w:b/>
          <w:sz w:val="24"/>
          <w:szCs w:val="24"/>
        </w:rPr>
        <w:t>七、成交通知</w:t>
      </w:r>
      <w:bookmarkEnd w:id="53"/>
    </w:p>
    <w:p>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24.成交通知</w:t>
      </w:r>
    </w:p>
    <w:p>
      <w:pPr>
        <w:pStyle w:val="35"/>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24.2</w:t>
      </w:r>
      <w:r>
        <w:rPr>
          <w:rFonts w:hint="eastAsia" w:ascii="宋体" w:hAnsi="宋体" w:eastAsia="宋体" w:cs="宋体"/>
          <w:sz w:val="24"/>
          <w:szCs w:val="24"/>
          <w:lang w:val="en-US" w:eastAsia="zh-CN"/>
        </w:rPr>
        <w:t>在发出成交公告后请采购人、中标人登录</w:t>
      </w:r>
      <w:r>
        <w:rPr>
          <w:rFonts w:hint="eastAsia" w:ascii="宋体" w:hAnsi="宋体" w:eastAsia="宋体" w:cs="宋体"/>
          <w:sz w:val="24"/>
          <w:szCs w:val="24"/>
        </w:rPr>
        <w:t>周口市公共资源交易</w:t>
      </w:r>
      <w:r>
        <w:rPr>
          <w:rFonts w:hint="eastAsia" w:ascii="宋体" w:hAnsi="宋体" w:eastAsia="宋体" w:cs="宋体"/>
          <w:sz w:val="24"/>
          <w:szCs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自行下载成交</w:t>
      </w:r>
      <w:r>
        <w:rPr>
          <w:rFonts w:hint="eastAsia" w:ascii="宋体" w:hAnsi="宋体" w:eastAsia="宋体" w:cs="宋体"/>
          <w:sz w:val="24"/>
          <w:szCs w:val="24"/>
        </w:rPr>
        <w:t>通知书。</w:t>
      </w:r>
    </w:p>
    <w:p>
      <w:pPr>
        <w:tabs>
          <w:tab w:val="left" w:pos="180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24.3成交通知书对采购人和成交供应商具有同等法律效力。成交通知书发出后，采购人改变成交结果，或者成交供应商放弃成交，应当承担相应的法律责任。</w:t>
      </w:r>
    </w:p>
    <w:p>
      <w:pPr>
        <w:spacing w:line="360" w:lineRule="auto"/>
        <w:jc w:val="center"/>
        <w:outlineLvl w:val="1"/>
        <w:rPr>
          <w:rFonts w:hint="eastAsia" w:ascii="宋体" w:hAnsi="宋体" w:eastAsia="宋体" w:cs="宋体"/>
          <w:sz w:val="24"/>
          <w:szCs w:val="24"/>
        </w:rPr>
      </w:pPr>
      <w:bookmarkStart w:id="54" w:name="_Toc13976"/>
      <w:r>
        <w:rPr>
          <w:rFonts w:hint="eastAsia" w:ascii="宋体" w:hAnsi="宋体" w:eastAsia="宋体" w:cs="宋体"/>
          <w:b/>
          <w:sz w:val="24"/>
          <w:szCs w:val="24"/>
        </w:rPr>
        <w:t>八、合同授予</w:t>
      </w:r>
      <w:bookmarkEnd w:id="54"/>
    </w:p>
    <w:p>
      <w:pPr>
        <w:tabs>
          <w:tab w:val="left" w:pos="1620"/>
        </w:tabs>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25.签订合同及合同的执行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25.1采购人、成交供应商按照竞争性磋商文件确定的合同文本签订政府采购合同。</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25.2采购人不得向成交供应商提出超过竞争性磋商文件以外的任何要求作为签订合同的条件，不得与成交供应商订立背离竞争性磋商文件确定的合同文本协议。</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360" w:lineRule="auto"/>
        <w:jc w:val="center"/>
        <w:outlineLvl w:val="1"/>
        <w:rPr>
          <w:rFonts w:hint="eastAsia" w:ascii="宋体" w:hAnsi="宋体" w:eastAsia="宋体" w:cs="宋体"/>
          <w:b/>
          <w:sz w:val="24"/>
          <w:szCs w:val="24"/>
        </w:rPr>
      </w:pPr>
      <w:bookmarkStart w:id="55" w:name="_Toc19579"/>
      <w:r>
        <w:rPr>
          <w:rFonts w:hint="eastAsia" w:ascii="宋体" w:hAnsi="宋体" w:eastAsia="宋体" w:cs="宋体"/>
          <w:b/>
          <w:sz w:val="24"/>
          <w:szCs w:val="24"/>
        </w:rPr>
        <w:t>九、质疑处理</w:t>
      </w:r>
      <w:bookmarkEnd w:id="55"/>
    </w:p>
    <w:p>
      <w:pPr>
        <w:spacing w:line="360" w:lineRule="auto"/>
        <w:ind w:firstLine="482" w:firstLineChars="200"/>
        <w:jc w:val="both"/>
        <w:outlineLvl w:val="9"/>
        <w:rPr>
          <w:rFonts w:hint="eastAsia" w:ascii="宋体" w:hAnsi="宋体" w:eastAsia="宋体" w:cs="宋体"/>
          <w:b/>
          <w:sz w:val="24"/>
          <w:szCs w:val="24"/>
        </w:rPr>
      </w:pPr>
      <w:r>
        <w:rPr>
          <w:rFonts w:hint="eastAsia" w:ascii="宋体" w:hAnsi="宋体" w:eastAsia="宋体" w:cs="宋体"/>
          <w:b/>
          <w:sz w:val="24"/>
          <w:szCs w:val="24"/>
        </w:rPr>
        <w:t>26.质疑程序及处理</w:t>
      </w:r>
    </w:p>
    <w:p>
      <w:pPr>
        <w:spacing w:line="360" w:lineRule="auto"/>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26.1</w:t>
      </w:r>
      <w:r>
        <w:rPr>
          <w:rFonts w:hint="eastAsia" w:ascii="宋体" w:hAnsi="宋体" w:eastAsia="宋体" w:cs="宋体"/>
          <w:bCs/>
          <w:sz w:val="24"/>
          <w:szCs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360" w:lineRule="auto"/>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26.2采购人在收到供应商的书面质疑后七个工作日内做出答复，并以书面形式通知质疑供应商和其他供应商，但答复内容不得涉及商业秘密。</w:t>
      </w:r>
    </w:p>
    <w:p>
      <w:pPr>
        <w:spacing w:line="360" w:lineRule="auto"/>
        <w:ind w:firstLine="480" w:firstLineChars="200"/>
        <w:outlineLvl w:val="9"/>
        <w:rPr>
          <w:rFonts w:hint="eastAsia" w:ascii="宋体" w:hAnsi="宋体" w:eastAsia="宋体" w:cs="宋体"/>
          <w:bCs/>
          <w:sz w:val="24"/>
          <w:szCs w:val="24"/>
        </w:rPr>
      </w:pPr>
      <w:r>
        <w:rPr>
          <w:rFonts w:hint="eastAsia" w:ascii="宋体" w:hAnsi="宋体" w:eastAsia="宋体" w:cs="宋体"/>
          <w:sz w:val="24"/>
          <w:szCs w:val="24"/>
        </w:rPr>
        <w:t>26.3</w:t>
      </w:r>
      <w:r>
        <w:rPr>
          <w:rFonts w:hint="eastAsia" w:ascii="宋体" w:hAnsi="宋体" w:eastAsia="宋体" w:cs="宋体"/>
          <w:bCs/>
          <w:sz w:val="24"/>
          <w:szCs w:val="24"/>
        </w:rPr>
        <w:t>质疑供应商行使质疑权时，必须遵守“实事求是”和“谨慎性”原则，承担使用虚假材料或恶意方式质疑的法律责任，</w:t>
      </w:r>
      <w:r>
        <w:rPr>
          <w:rFonts w:hint="eastAsia" w:ascii="宋体" w:hAnsi="宋体" w:eastAsia="宋体" w:cs="宋体"/>
          <w:sz w:val="24"/>
          <w:szCs w:val="24"/>
        </w:rPr>
        <w:t>采购人</w:t>
      </w:r>
      <w:r>
        <w:rPr>
          <w:rFonts w:hint="eastAsia" w:ascii="宋体" w:hAnsi="宋体" w:eastAsia="宋体" w:cs="宋体"/>
          <w:bCs/>
          <w:sz w:val="24"/>
          <w:szCs w:val="24"/>
        </w:rPr>
        <w:t>将遵循“谁过错谁负担”的原则，由过错方提交相关的调查论证费用。</w:t>
      </w:r>
    </w:p>
    <w:p>
      <w:pPr>
        <w:spacing w:line="360" w:lineRule="auto"/>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360" w:lineRule="auto"/>
        <w:rPr>
          <w:rFonts w:hint="eastAsia" w:ascii="宋体" w:hAnsi="宋体" w:eastAsia="宋体" w:cs="宋体"/>
          <w:sz w:val="24"/>
          <w:szCs w:val="24"/>
        </w:rPr>
        <w:sectPr>
          <w:headerReference r:id="rId3" w:type="default"/>
          <w:footerReference r:id="rId4" w:type="default"/>
          <w:pgSz w:w="11907" w:h="16840"/>
          <w:pgMar w:top="2098" w:right="1474" w:bottom="1985" w:left="1588" w:header="851" w:footer="992" w:gutter="0"/>
          <w:pgNumType w:fmt="numberInDash" w:start="1"/>
          <w:cols w:space="720" w:num="1"/>
          <w:docGrid w:type="lines" w:linePitch="312" w:charSpace="0"/>
        </w:sectPr>
      </w:pPr>
    </w:p>
    <w:p>
      <w:pPr>
        <w:jc w:val="center"/>
        <w:outlineLvl w:val="0"/>
        <w:rPr>
          <w:rFonts w:ascii="宋体" w:hAnsi="宋体" w:cs="宋体"/>
          <w:b/>
          <w:sz w:val="32"/>
          <w:szCs w:val="32"/>
        </w:rPr>
      </w:pPr>
      <w:bookmarkStart w:id="56" w:name="_Toc28100"/>
      <w:r>
        <w:rPr>
          <w:rFonts w:hint="eastAsia" w:ascii="宋体" w:hAnsi="宋体" w:cs="宋体"/>
          <w:b/>
          <w:sz w:val="32"/>
          <w:szCs w:val="32"/>
        </w:rPr>
        <w:t>第三章    采购项目内容及要求</w:t>
      </w:r>
      <w:bookmarkEnd w:id="56"/>
    </w:p>
    <w:p>
      <w:pPr>
        <w:ind w:firstLine="480" w:firstLineChars="200"/>
        <w:rPr>
          <w:rFonts w:hint="eastAsia" w:asciiTheme="minorEastAsia" w:hAnsiTheme="minorEastAsia" w:eastAsiaTheme="minorEastAsia" w:cstheme="minorEastAsia"/>
          <w:color w:val="auto"/>
          <w:sz w:val="24"/>
          <w:szCs w:val="24"/>
          <w:highlight w:val="none"/>
        </w:rPr>
      </w:pPr>
    </w:p>
    <w:p>
      <w:pPr>
        <w:spacing w:line="360" w:lineRule="auto"/>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采购需求：</w:t>
      </w:r>
      <w:r>
        <w:rPr>
          <w:rFonts w:hint="eastAsia" w:asciiTheme="minorEastAsia" w:hAnsiTheme="minorEastAsia" w:eastAsiaTheme="minorEastAsia" w:cstheme="minorEastAsia"/>
          <w:color w:val="auto"/>
          <w:sz w:val="21"/>
          <w:szCs w:val="21"/>
          <w:highlight w:val="none"/>
          <w:lang w:val="en-US" w:eastAsia="zh-CN"/>
        </w:rPr>
        <w:t>对周口市区（包括淮阳区）及商水县域（部分）的</w:t>
      </w:r>
      <w:r>
        <w:rPr>
          <w:rFonts w:hint="eastAsia" w:asciiTheme="minorEastAsia" w:hAnsiTheme="minorEastAsia" w:eastAsiaTheme="minorEastAsia" w:cstheme="minorEastAsia"/>
          <w:color w:val="auto"/>
          <w:sz w:val="21"/>
          <w:szCs w:val="21"/>
          <w:highlight w:val="none"/>
        </w:rPr>
        <w:t>古树名木保护</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涉及的古树复壮和古树保护工作</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其中</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b/>
          <w:bCs/>
          <w:color w:val="auto"/>
          <w:sz w:val="21"/>
          <w:szCs w:val="21"/>
          <w:highlight w:val="none"/>
          <w:u w:val="single"/>
        </w:rPr>
        <w:t>古树复壮包含原生境土壤改良修复、干枝修剪、树洞修补、施肥、病虫害防治等</w:t>
      </w:r>
      <w:r>
        <w:rPr>
          <w:rFonts w:hint="eastAsia" w:asciiTheme="minorEastAsia" w:hAnsiTheme="minorEastAsia" w:eastAsiaTheme="minorEastAsia" w:cstheme="minorEastAsia"/>
          <w:b/>
          <w:bCs/>
          <w:color w:val="auto"/>
          <w:sz w:val="21"/>
          <w:szCs w:val="21"/>
          <w:highlight w:val="none"/>
          <w:u w:val="single"/>
          <w:lang w:eastAsia="zh-CN"/>
        </w:rPr>
        <w:t>；</w:t>
      </w:r>
      <w:r>
        <w:rPr>
          <w:rFonts w:hint="eastAsia" w:asciiTheme="minorEastAsia" w:hAnsiTheme="minorEastAsia" w:eastAsiaTheme="minorEastAsia" w:cstheme="minorEastAsia"/>
          <w:b/>
          <w:bCs/>
          <w:color w:val="auto"/>
          <w:sz w:val="21"/>
          <w:szCs w:val="21"/>
          <w:highlight w:val="none"/>
          <w:u w:val="single"/>
        </w:rPr>
        <w:t>古树保护包含：古树周边围栏、保护支架安装和翻新、古树涂白防腐及伤口处理、安装名牌</w:t>
      </w:r>
      <w:r>
        <w:rPr>
          <w:rFonts w:hint="eastAsia" w:asciiTheme="minorEastAsia" w:hAnsiTheme="minorEastAsia" w:eastAsiaTheme="minorEastAsia" w:cstheme="minorEastAsia"/>
          <w:b/>
          <w:bCs/>
          <w:color w:val="auto"/>
          <w:sz w:val="21"/>
          <w:szCs w:val="21"/>
          <w:highlight w:val="none"/>
          <w:u w:val="single"/>
          <w:lang w:eastAsia="zh-CN"/>
        </w:rPr>
        <w:t>、</w:t>
      </w:r>
      <w:r>
        <w:rPr>
          <w:rFonts w:hint="eastAsia" w:asciiTheme="minorEastAsia" w:hAnsiTheme="minorEastAsia" w:eastAsiaTheme="minorEastAsia" w:cstheme="minorEastAsia"/>
          <w:b/>
          <w:bCs/>
          <w:color w:val="auto"/>
          <w:sz w:val="21"/>
          <w:szCs w:val="21"/>
          <w:highlight w:val="none"/>
          <w:u w:val="single"/>
          <w:lang w:val="en-US" w:eastAsia="zh-CN"/>
        </w:rPr>
        <w:t>古树生长和周边环境智慧化监测</w:t>
      </w:r>
      <w:r>
        <w:rPr>
          <w:rFonts w:hint="eastAsia" w:asciiTheme="minorEastAsia" w:hAnsiTheme="minorEastAsia" w:eastAsiaTheme="minorEastAsia" w:cstheme="minorEastAsia"/>
          <w:b/>
          <w:bCs/>
          <w:color w:val="auto"/>
          <w:sz w:val="21"/>
          <w:szCs w:val="21"/>
          <w:highlight w:val="none"/>
          <w:u w:val="single"/>
        </w:rPr>
        <w:t>等内容</w:t>
      </w:r>
      <w:r>
        <w:rPr>
          <w:rFonts w:hint="eastAsia" w:asciiTheme="minorEastAsia" w:hAnsiTheme="minorEastAsia" w:eastAsiaTheme="minorEastAsia" w:cstheme="minorEastAsia"/>
          <w:color w:val="auto"/>
          <w:sz w:val="21"/>
          <w:szCs w:val="21"/>
          <w:highlight w:val="none"/>
          <w:u w:val="single"/>
          <w:lang w:eastAsia="zh-CN"/>
        </w:rPr>
        <w:t>。</w:t>
      </w:r>
      <w:r>
        <w:rPr>
          <w:rFonts w:hint="eastAsia" w:asciiTheme="minorEastAsia" w:hAnsiTheme="minorEastAsia" w:eastAsiaTheme="minorEastAsia" w:cstheme="minorEastAsia"/>
          <w:color w:val="auto"/>
          <w:sz w:val="21"/>
          <w:szCs w:val="21"/>
          <w:highlight w:val="none"/>
        </w:rPr>
        <w:t>施工期间按照古树名木保护条例及相关古树苗木保护和实施条例开展，确保施工符合行业要求，保证古树名木健康，提高古树名木生长势，确保施工安全。</w:t>
      </w:r>
    </w:p>
    <w:p>
      <w:pPr>
        <w:spacing w:line="360" w:lineRule="auto"/>
        <w:ind w:firstLine="420" w:firstLineChars="200"/>
        <w:jc w:val="both"/>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lang w:val="en-US" w:eastAsia="zh-CN"/>
        </w:rPr>
        <w:t>2、</w:t>
      </w:r>
      <w:r>
        <w:rPr>
          <w:rFonts w:hint="eastAsia" w:asciiTheme="minorEastAsia" w:hAnsiTheme="minorEastAsia" w:eastAsiaTheme="minorEastAsia" w:cstheme="minorEastAsia"/>
          <w:color w:val="auto"/>
          <w:sz w:val="21"/>
          <w:szCs w:val="21"/>
        </w:rPr>
        <w:t>服务要求</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周口市</w:t>
      </w:r>
      <w:r>
        <w:rPr>
          <w:rFonts w:hint="eastAsia" w:asciiTheme="minorEastAsia" w:hAnsiTheme="minorEastAsia" w:eastAsiaTheme="minorEastAsia" w:cstheme="minorEastAsia"/>
          <w:color w:val="auto"/>
          <w:sz w:val="21"/>
          <w:szCs w:val="21"/>
        </w:rPr>
        <w:t>三级及以上古树名木保护计划任务数</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见附表：</w:t>
      </w:r>
    </w:p>
    <w:p>
      <w:pPr>
        <w:spacing w:line="360" w:lineRule="auto"/>
        <w:ind w:firstLine="420" w:firstLineChars="200"/>
        <w:jc w:val="both"/>
        <w:rPr>
          <w:rFonts w:hint="eastAsia" w:asciiTheme="minorEastAsia" w:hAnsiTheme="minorEastAsia" w:eastAsiaTheme="minorEastAsia" w:cstheme="minorEastAsia"/>
          <w:b/>
          <w:bCs/>
          <w:color w:val="auto"/>
          <w:sz w:val="21"/>
          <w:szCs w:val="21"/>
          <w:u w:val="single"/>
        </w:rPr>
      </w:pPr>
      <w:r>
        <w:rPr>
          <w:rFonts w:hint="eastAsia" w:asciiTheme="minorEastAsia" w:hAnsiTheme="minorEastAsia" w:eastAsiaTheme="minorEastAsia" w:cstheme="minorEastAsia"/>
          <w:color w:val="auto"/>
          <w:sz w:val="21"/>
          <w:szCs w:val="21"/>
        </w:rPr>
        <w:t>严格按照《古树名木“一树一策”方案》的施工要求开展实施，保护</w:t>
      </w:r>
      <w:r>
        <w:rPr>
          <w:rFonts w:hint="eastAsia" w:asciiTheme="minorEastAsia" w:hAnsiTheme="minorEastAsia" w:eastAsiaTheme="minorEastAsia" w:cstheme="minorEastAsia"/>
          <w:color w:val="auto"/>
          <w:sz w:val="21"/>
          <w:szCs w:val="21"/>
          <w:lang w:val="en-US" w:eastAsia="zh-CN"/>
        </w:rPr>
        <w:t>淮阳区太昊陵</w:t>
      </w:r>
      <w:r>
        <w:rPr>
          <w:rFonts w:hint="eastAsia" w:asciiTheme="minorEastAsia" w:hAnsiTheme="minorEastAsia" w:eastAsiaTheme="minorEastAsia" w:cstheme="minorEastAsia"/>
          <w:color w:val="auto"/>
          <w:sz w:val="21"/>
          <w:szCs w:val="21"/>
        </w:rPr>
        <w:t>三级及以上古树名木1</w:t>
      </w:r>
      <w:r>
        <w:rPr>
          <w:rFonts w:hint="eastAsia" w:asciiTheme="minorEastAsia" w:hAnsiTheme="minorEastAsia" w:eastAsiaTheme="minorEastAsia" w:cstheme="minorEastAsia"/>
          <w:color w:val="auto"/>
          <w:sz w:val="21"/>
          <w:szCs w:val="21"/>
          <w:lang w:val="en-US" w:eastAsia="zh-CN"/>
        </w:rPr>
        <w:t>7</w:t>
      </w:r>
      <w:r>
        <w:rPr>
          <w:rFonts w:hint="eastAsia" w:asciiTheme="minorEastAsia" w:hAnsiTheme="minorEastAsia" w:eastAsiaTheme="minorEastAsia" w:cstheme="minorEastAsia"/>
          <w:color w:val="auto"/>
          <w:sz w:val="21"/>
          <w:szCs w:val="21"/>
        </w:rPr>
        <w:t>株</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商水县</w:t>
      </w:r>
      <w:r>
        <w:rPr>
          <w:rFonts w:hint="eastAsia" w:asciiTheme="minorEastAsia" w:hAnsiTheme="minorEastAsia" w:eastAsiaTheme="minorEastAsia" w:cstheme="minorEastAsia"/>
          <w:color w:val="auto"/>
          <w:sz w:val="21"/>
          <w:szCs w:val="21"/>
        </w:rPr>
        <w:t>三级及以上古树名木</w:t>
      </w:r>
      <w:r>
        <w:rPr>
          <w:rFonts w:hint="eastAsia" w:asciiTheme="minorEastAsia" w:hAnsiTheme="minorEastAsia" w:eastAsiaTheme="minorEastAsia" w:cstheme="minorEastAsia"/>
          <w:color w:val="auto"/>
          <w:sz w:val="21"/>
          <w:szCs w:val="21"/>
          <w:lang w:val="en-US" w:eastAsia="zh-CN"/>
        </w:rPr>
        <w:t>6</w:t>
      </w:r>
      <w:r>
        <w:rPr>
          <w:rFonts w:hint="eastAsia" w:asciiTheme="minorEastAsia" w:hAnsiTheme="minorEastAsia" w:eastAsiaTheme="minorEastAsia" w:cstheme="minorEastAsia"/>
          <w:color w:val="auto"/>
          <w:sz w:val="21"/>
          <w:szCs w:val="21"/>
        </w:rPr>
        <w:t>株</w:t>
      </w:r>
      <w:r>
        <w:rPr>
          <w:rFonts w:hint="eastAsia" w:asciiTheme="minorEastAsia" w:hAnsiTheme="minorEastAsia" w:eastAsiaTheme="minorEastAsia" w:cstheme="minorEastAsia"/>
          <w:color w:val="auto"/>
          <w:sz w:val="21"/>
          <w:szCs w:val="21"/>
          <w:lang w:eastAsia="zh-CN"/>
        </w:rPr>
        <w:t>，</w:t>
      </w:r>
      <w:r>
        <w:rPr>
          <w:rFonts w:hint="eastAsia" w:asciiTheme="minorEastAsia" w:hAnsiTheme="minorEastAsia" w:eastAsiaTheme="minorEastAsia" w:cstheme="minorEastAsia"/>
          <w:color w:val="auto"/>
          <w:sz w:val="21"/>
          <w:szCs w:val="21"/>
          <w:lang w:val="en-US" w:eastAsia="zh-CN"/>
        </w:rPr>
        <w:t>共23株。</w:t>
      </w:r>
      <w:r>
        <w:rPr>
          <w:rFonts w:hint="eastAsia" w:asciiTheme="minorEastAsia" w:hAnsiTheme="minorEastAsia" w:eastAsiaTheme="minorEastAsia" w:cstheme="minorEastAsia"/>
          <w:b/>
          <w:bCs/>
          <w:color w:val="auto"/>
          <w:sz w:val="21"/>
          <w:szCs w:val="21"/>
          <w:u w:val="single"/>
        </w:rPr>
        <w:t>项目要求对保护对象的健康状况、保护内容等进行全面系统地记录，特别是采取保护措施前后的对比材料，要形成完整的文字、影像、图片、电子资料，整理归档。</w:t>
      </w:r>
    </w:p>
    <w:p>
      <w:pPr>
        <w:numPr>
          <w:ilvl w:val="0"/>
          <w:numId w:val="3"/>
        </w:numPr>
        <w:spacing w:line="360" w:lineRule="auto"/>
        <w:ind w:firstLine="420" w:firstLineChars="200"/>
        <w:outlineLvl w:val="9"/>
        <w:rPr>
          <w:rFonts w:hint="eastAsia" w:asciiTheme="minorEastAsia" w:hAnsiTheme="minorEastAsia" w:eastAsiaTheme="minorEastAsia" w:cstheme="minorEastAsia"/>
          <w:color w:val="auto"/>
          <w:sz w:val="21"/>
          <w:szCs w:val="21"/>
          <w:lang w:val="en-US" w:eastAsia="zh-CN"/>
        </w:rPr>
      </w:pPr>
      <w:r>
        <w:rPr>
          <w:rFonts w:hint="eastAsia" w:asciiTheme="minorEastAsia" w:hAnsiTheme="minorEastAsia" w:eastAsiaTheme="minorEastAsia" w:cstheme="minorEastAsia"/>
          <w:color w:val="auto"/>
          <w:sz w:val="21"/>
          <w:szCs w:val="21"/>
        </w:rPr>
        <w:t>服务</w:t>
      </w:r>
      <w:r>
        <w:rPr>
          <w:rFonts w:hint="eastAsia" w:asciiTheme="minorEastAsia" w:hAnsiTheme="minorEastAsia" w:eastAsiaTheme="minorEastAsia" w:cstheme="minorEastAsia"/>
          <w:color w:val="auto"/>
          <w:sz w:val="21"/>
          <w:szCs w:val="21"/>
          <w:lang w:val="en-US" w:eastAsia="zh-CN"/>
        </w:rPr>
        <w:t>地点及</w:t>
      </w:r>
      <w:r>
        <w:rPr>
          <w:rFonts w:hint="eastAsia" w:asciiTheme="minorEastAsia" w:hAnsiTheme="minorEastAsia" w:eastAsiaTheme="minorEastAsia" w:cstheme="minorEastAsia"/>
          <w:color w:val="auto"/>
          <w:sz w:val="21"/>
          <w:szCs w:val="21"/>
        </w:rPr>
        <w:t>范围：</w:t>
      </w:r>
      <w:r>
        <w:rPr>
          <w:rFonts w:hint="eastAsia" w:asciiTheme="minorEastAsia" w:hAnsiTheme="minorEastAsia" w:eastAsiaTheme="minorEastAsia" w:cstheme="minorEastAsia"/>
          <w:color w:val="auto"/>
          <w:sz w:val="21"/>
          <w:szCs w:val="21"/>
          <w:lang w:val="en-US" w:eastAsia="zh-CN"/>
        </w:rPr>
        <w:t>见附表：</w:t>
      </w:r>
    </w:p>
    <w:p>
      <w:pPr>
        <w:numPr>
          <w:ilvl w:val="0"/>
          <w:numId w:val="3"/>
        </w:numPr>
        <w:spacing w:line="360" w:lineRule="auto"/>
        <w:ind w:left="0" w:leftChars="0" w:firstLine="420" w:firstLineChars="200"/>
        <w:jc w:val="both"/>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质量标准：合格，满足国家及行业标准，达到国家现行规范及相关法律法规的要求。</w:t>
      </w:r>
    </w:p>
    <w:p>
      <w:pPr>
        <w:numPr>
          <w:ilvl w:val="0"/>
          <w:numId w:val="3"/>
        </w:numPr>
        <w:spacing w:line="360" w:lineRule="auto"/>
        <w:ind w:left="0" w:leftChars="0" w:firstLine="420" w:firstLineChars="200"/>
        <w:jc w:val="both"/>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质量检查：20</w:t>
      </w:r>
      <w:r>
        <w:rPr>
          <w:rFonts w:hint="eastAsia" w:asciiTheme="minorEastAsia" w:hAnsiTheme="minorEastAsia" w:eastAsiaTheme="minorEastAsia" w:cstheme="minorEastAsia"/>
          <w:b w:val="0"/>
          <w:bCs w:val="0"/>
          <w:color w:val="auto"/>
          <w:sz w:val="21"/>
          <w:szCs w:val="21"/>
          <w:highlight w:val="none"/>
          <w:lang w:val="en-US" w:eastAsia="zh-CN"/>
        </w:rPr>
        <w:t>24</w:t>
      </w:r>
      <w:r>
        <w:rPr>
          <w:rFonts w:hint="eastAsia" w:asciiTheme="minorEastAsia" w:hAnsiTheme="minorEastAsia" w:eastAsiaTheme="minorEastAsia" w:cstheme="minorEastAsia"/>
          <w:b w:val="0"/>
          <w:bCs w:val="0"/>
          <w:color w:val="auto"/>
          <w:sz w:val="21"/>
          <w:szCs w:val="21"/>
          <w:highlight w:val="none"/>
        </w:rPr>
        <w:t>年</w:t>
      </w:r>
      <w:r>
        <w:rPr>
          <w:rFonts w:hint="eastAsia" w:asciiTheme="minorEastAsia" w:hAnsiTheme="minorEastAsia" w:eastAsiaTheme="minorEastAsia" w:cstheme="minorEastAsia"/>
          <w:b w:val="0"/>
          <w:bCs w:val="0"/>
          <w:color w:val="auto"/>
          <w:sz w:val="21"/>
          <w:szCs w:val="21"/>
          <w:highlight w:val="none"/>
          <w:lang w:val="en-US" w:eastAsia="zh-CN"/>
        </w:rPr>
        <w:t>6</w:t>
      </w:r>
      <w:r>
        <w:rPr>
          <w:rFonts w:hint="eastAsia" w:asciiTheme="minorEastAsia" w:hAnsiTheme="minorEastAsia" w:eastAsiaTheme="minorEastAsia" w:cstheme="minorEastAsia"/>
          <w:b w:val="0"/>
          <w:bCs w:val="0"/>
          <w:color w:val="auto"/>
          <w:sz w:val="21"/>
          <w:szCs w:val="21"/>
          <w:highlight w:val="none"/>
        </w:rPr>
        <w:t>月中旬</w:t>
      </w:r>
      <w:r>
        <w:rPr>
          <w:rFonts w:hint="eastAsia" w:asciiTheme="minorEastAsia" w:hAnsiTheme="minorEastAsia" w:eastAsiaTheme="minorEastAsia" w:cstheme="minorEastAsia"/>
          <w:b w:val="0"/>
          <w:bCs w:val="0"/>
          <w:color w:val="auto"/>
          <w:sz w:val="21"/>
          <w:szCs w:val="21"/>
          <w:highlight w:val="none"/>
          <w:lang w:val="en-US" w:eastAsia="zh-CN"/>
        </w:rPr>
        <w:t>-2024年10月中旬</w:t>
      </w:r>
      <w:r>
        <w:rPr>
          <w:rFonts w:hint="eastAsia" w:asciiTheme="minorEastAsia" w:hAnsiTheme="minorEastAsia" w:eastAsiaTheme="minorEastAsia" w:cstheme="minorEastAsia"/>
          <w:b w:val="0"/>
          <w:bCs w:val="0"/>
          <w:color w:val="auto"/>
          <w:sz w:val="21"/>
          <w:szCs w:val="21"/>
          <w:highlight w:val="none"/>
        </w:rPr>
        <w:t>供应商组织自查</w:t>
      </w:r>
      <w:r>
        <w:rPr>
          <w:rFonts w:hint="eastAsia" w:asciiTheme="minorEastAsia" w:hAnsiTheme="minorEastAsia" w:eastAsiaTheme="minorEastAsia" w:cstheme="minorEastAsia"/>
          <w:b w:val="0"/>
          <w:bCs w:val="0"/>
          <w:color w:val="auto"/>
          <w:sz w:val="21"/>
          <w:szCs w:val="21"/>
          <w:highlight w:val="none"/>
          <w:lang w:eastAsia="zh-CN"/>
        </w:rPr>
        <w:t>，</w:t>
      </w:r>
      <w:r>
        <w:rPr>
          <w:rFonts w:hint="eastAsia" w:asciiTheme="minorEastAsia" w:hAnsiTheme="minorEastAsia" w:eastAsiaTheme="minorEastAsia" w:cstheme="minorEastAsia"/>
          <w:b w:val="0"/>
          <w:bCs w:val="0"/>
          <w:color w:val="auto"/>
          <w:sz w:val="21"/>
          <w:szCs w:val="21"/>
          <w:highlight w:val="none"/>
        </w:rPr>
        <w:t>采购人组织人员进行抽查，发现问题责令整改。</w:t>
      </w:r>
    </w:p>
    <w:p>
      <w:pPr>
        <w:spacing w:line="360" w:lineRule="auto"/>
        <w:ind w:firstLine="420" w:firstLineChars="200"/>
        <w:outlineLvl w:val="9"/>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6、服务期限（实施期）：合同签订后120日历天</w:t>
      </w:r>
    </w:p>
    <w:p>
      <w:pPr>
        <w:spacing w:line="360" w:lineRule="auto"/>
        <w:ind w:firstLine="420" w:firstLineChars="200"/>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7、质保期（养护期）：3年（自合同签订之日起开始计算）；质保期内要确保治疗的效果达到95%以上（由采购人组织人员对质量进行评估）</w:t>
      </w:r>
    </w:p>
    <w:p>
      <w:pPr>
        <w:spacing w:line="360" w:lineRule="auto"/>
        <w:ind w:firstLine="400"/>
        <w:jc w:val="both"/>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lang w:val="en-US" w:eastAsia="zh-CN"/>
        </w:rPr>
        <w:t>8、验收</w:t>
      </w:r>
      <w:r>
        <w:rPr>
          <w:rFonts w:hint="eastAsia" w:asciiTheme="minorEastAsia" w:hAnsiTheme="minorEastAsia" w:eastAsiaTheme="minorEastAsia" w:cstheme="minorEastAsia"/>
          <w:b w:val="0"/>
          <w:bCs w:val="0"/>
          <w:color w:val="auto"/>
          <w:sz w:val="21"/>
          <w:szCs w:val="21"/>
          <w:highlight w:val="none"/>
        </w:rPr>
        <w:t>阶段（20</w:t>
      </w:r>
      <w:r>
        <w:rPr>
          <w:rFonts w:hint="eastAsia" w:asciiTheme="minorEastAsia" w:hAnsiTheme="minorEastAsia" w:eastAsiaTheme="minorEastAsia" w:cstheme="minorEastAsia"/>
          <w:b w:val="0"/>
          <w:bCs w:val="0"/>
          <w:color w:val="auto"/>
          <w:sz w:val="21"/>
          <w:szCs w:val="21"/>
          <w:highlight w:val="none"/>
          <w:lang w:val="en-US" w:eastAsia="zh-CN"/>
        </w:rPr>
        <w:t>24</w:t>
      </w:r>
      <w:r>
        <w:rPr>
          <w:rFonts w:hint="eastAsia" w:asciiTheme="minorEastAsia" w:hAnsiTheme="minorEastAsia" w:eastAsiaTheme="minorEastAsia" w:cstheme="minorEastAsia"/>
          <w:b w:val="0"/>
          <w:bCs w:val="0"/>
          <w:color w:val="auto"/>
          <w:sz w:val="21"/>
          <w:szCs w:val="21"/>
          <w:highlight w:val="none"/>
        </w:rPr>
        <w:t>年</w:t>
      </w:r>
      <w:r>
        <w:rPr>
          <w:rFonts w:hint="eastAsia" w:asciiTheme="minorEastAsia" w:hAnsiTheme="minorEastAsia" w:eastAsiaTheme="minorEastAsia" w:cstheme="minorEastAsia"/>
          <w:b w:val="0"/>
          <w:bCs w:val="0"/>
          <w:color w:val="auto"/>
          <w:sz w:val="21"/>
          <w:szCs w:val="21"/>
          <w:highlight w:val="none"/>
          <w:lang w:val="en-US" w:eastAsia="zh-CN"/>
        </w:rPr>
        <w:t>10</w:t>
      </w:r>
      <w:r>
        <w:rPr>
          <w:rFonts w:hint="eastAsia" w:asciiTheme="minorEastAsia" w:hAnsiTheme="minorEastAsia" w:eastAsiaTheme="minorEastAsia" w:cstheme="minorEastAsia"/>
          <w:b w:val="0"/>
          <w:bCs w:val="0"/>
          <w:color w:val="auto"/>
          <w:sz w:val="21"/>
          <w:szCs w:val="21"/>
          <w:highlight w:val="none"/>
        </w:rPr>
        <w:t>月10至20</w:t>
      </w:r>
      <w:r>
        <w:rPr>
          <w:rFonts w:hint="eastAsia" w:asciiTheme="minorEastAsia" w:hAnsiTheme="minorEastAsia" w:eastAsiaTheme="minorEastAsia" w:cstheme="minorEastAsia"/>
          <w:b w:val="0"/>
          <w:bCs w:val="0"/>
          <w:color w:val="auto"/>
          <w:sz w:val="21"/>
          <w:szCs w:val="21"/>
          <w:highlight w:val="none"/>
          <w:lang w:val="en-US" w:eastAsia="zh-CN"/>
        </w:rPr>
        <w:t>24</w:t>
      </w:r>
      <w:r>
        <w:rPr>
          <w:rFonts w:hint="eastAsia" w:asciiTheme="minorEastAsia" w:hAnsiTheme="minorEastAsia" w:eastAsiaTheme="minorEastAsia" w:cstheme="minorEastAsia"/>
          <w:b w:val="0"/>
          <w:bCs w:val="0"/>
          <w:color w:val="auto"/>
          <w:sz w:val="21"/>
          <w:szCs w:val="21"/>
          <w:highlight w:val="none"/>
        </w:rPr>
        <w:t>年1</w:t>
      </w:r>
      <w:r>
        <w:rPr>
          <w:rFonts w:hint="eastAsia" w:asciiTheme="minorEastAsia" w:hAnsiTheme="minorEastAsia" w:eastAsiaTheme="minorEastAsia" w:cstheme="minorEastAsia"/>
          <w:b w:val="0"/>
          <w:bCs w:val="0"/>
          <w:color w:val="auto"/>
          <w:sz w:val="21"/>
          <w:szCs w:val="21"/>
          <w:highlight w:val="none"/>
          <w:lang w:val="en-US" w:eastAsia="zh-CN"/>
        </w:rPr>
        <w:t>0</w:t>
      </w:r>
      <w:r>
        <w:rPr>
          <w:rFonts w:hint="eastAsia" w:asciiTheme="minorEastAsia" w:hAnsiTheme="minorEastAsia" w:eastAsiaTheme="minorEastAsia" w:cstheme="minorEastAsia"/>
          <w:b w:val="0"/>
          <w:bCs w:val="0"/>
          <w:color w:val="auto"/>
          <w:sz w:val="21"/>
          <w:szCs w:val="21"/>
          <w:highlight w:val="none"/>
        </w:rPr>
        <w:t>月</w:t>
      </w:r>
      <w:r>
        <w:rPr>
          <w:rFonts w:hint="eastAsia" w:asciiTheme="minorEastAsia" w:hAnsiTheme="minorEastAsia" w:eastAsiaTheme="minorEastAsia" w:cstheme="minorEastAsia"/>
          <w:b w:val="0"/>
          <w:bCs w:val="0"/>
          <w:color w:val="auto"/>
          <w:sz w:val="21"/>
          <w:szCs w:val="21"/>
          <w:highlight w:val="none"/>
          <w:lang w:val="en-US" w:eastAsia="zh-CN"/>
        </w:rPr>
        <w:t>30</w:t>
      </w:r>
      <w:r>
        <w:rPr>
          <w:rFonts w:hint="eastAsia" w:asciiTheme="minorEastAsia" w:hAnsiTheme="minorEastAsia" w:eastAsiaTheme="minorEastAsia" w:cstheme="minorEastAsia"/>
          <w:b w:val="0"/>
          <w:bCs w:val="0"/>
          <w:color w:val="auto"/>
          <w:sz w:val="21"/>
          <w:szCs w:val="21"/>
          <w:highlight w:val="none"/>
        </w:rPr>
        <w:t>日）</w:t>
      </w:r>
    </w:p>
    <w:p>
      <w:pPr>
        <w:spacing w:line="360" w:lineRule="auto"/>
        <w:ind w:firstLine="4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古树保护成果由采购人组织相关人员进行验收。</w:t>
      </w:r>
    </w:p>
    <w:p>
      <w:pPr>
        <w:spacing w:line="360" w:lineRule="auto"/>
        <w:ind w:firstLine="422" w:firstLineChars="200"/>
        <w:jc w:val="both"/>
        <w:rPr>
          <w:rFonts w:hint="eastAsia" w:asciiTheme="minorEastAsia" w:hAnsiTheme="minorEastAsia" w:eastAsiaTheme="minorEastAsia" w:cstheme="minorEastAsia"/>
          <w:b/>
          <w:bCs/>
          <w:color w:val="auto"/>
          <w:sz w:val="21"/>
          <w:szCs w:val="21"/>
          <w:u w:val="single"/>
        </w:rPr>
      </w:pPr>
      <w:r>
        <w:rPr>
          <w:rFonts w:hint="eastAsia" w:asciiTheme="minorEastAsia" w:hAnsiTheme="minorEastAsia" w:eastAsiaTheme="minorEastAsia" w:cstheme="minorEastAsia"/>
          <w:b/>
          <w:bCs/>
          <w:color w:val="auto"/>
          <w:sz w:val="21"/>
          <w:szCs w:val="21"/>
          <w:u w:val="single"/>
          <w:lang w:val="en-US" w:eastAsia="zh-CN"/>
        </w:rPr>
        <w:t>验收</w:t>
      </w:r>
      <w:r>
        <w:rPr>
          <w:rFonts w:hint="eastAsia" w:asciiTheme="minorEastAsia" w:hAnsiTheme="minorEastAsia" w:eastAsiaTheme="minorEastAsia" w:cstheme="minorEastAsia"/>
          <w:b/>
          <w:bCs/>
          <w:color w:val="auto"/>
          <w:sz w:val="21"/>
          <w:szCs w:val="21"/>
          <w:u w:val="single"/>
        </w:rPr>
        <w:t>包括：对保护对象的健康状况、保护内容等全面系统的记录，采取保护措施前后的对比材料（以完整的文字、影像、图片、电子资料的形式），包括招标文件、施工合同、古树名木“一树一策”验收表、施工小结（包括施工技术方案、施工具体实施过程、费用清单和后续服务、“一树一策”古树名木保护费用明细表、施工前、施工中、施工后的照片若干（电子稿），上述材料一式</w:t>
      </w:r>
      <w:r>
        <w:rPr>
          <w:rFonts w:hint="eastAsia" w:asciiTheme="minorEastAsia" w:hAnsiTheme="minorEastAsia" w:eastAsiaTheme="minorEastAsia" w:cstheme="minorEastAsia"/>
          <w:b/>
          <w:bCs/>
          <w:color w:val="auto"/>
          <w:sz w:val="21"/>
          <w:szCs w:val="21"/>
          <w:u w:val="single"/>
          <w:lang w:val="en-US" w:eastAsia="zh-CN"/>
        </w:rPr>
        <w:t>二</w:t>
      </w:r>
      <w:r>
        <w:rPr>
          <w:rFonts w:hint="eastAsia" w:asciiTheme="minorEastAsia" w:hAnsiTheme="minorEastAsia" w:eastAsiaTheme="minorEastAsia" w:cstheme="minorEastAsia"/>
          <w:b/>
          <w:bCs/>
          <w:color w:val="auto"/>
          <w:sz w:val="21"/>
          <w:szCs w:val="21"/>
          <w:u w:val="single"/>
        </w:rPr>
        <w:t>份。</w:t>
      </w:r>
    </w:p>
    <w:p>
      <w:pPr>
        <w:spacing w:line="360" w:lineRule="auto"/>
        <w:ind w:firstLine="210" w:firstLineChars="1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lang w:val="en-US" w:eastAsia="zh-CN"/>
        </w:rPr>
        <w:t>9、</w:t>
      </w:r>
      <w:r>
        <w:rPr>
          <w:rFonts w:hint="eastAsia" w:asciiTheme="minorEastAsia" w:hAnsiTheme="minorEastAsia" w:eastAsiaTheme="minorEastAsia" w:cstheme="minorEastAsia"/>
          <w:color w:val="auto"/>
          <w:sz w:val="21"/>
          <w:szCs w:val="21"/>
        </w:rPr>
        <w:t>其它要求：</w:t>
      </w:r>
    </w:p>
    <w:p>
      <w:pPr>
        <w:spacing w:line="360" w:lineRule="auto"/>
        <w:ind w:firstLine="400"/>
        <w:jc w:val="both"/>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color w:val="auto"/>
          <w:sz w:val="21"/>
          <w:szCs w:val="21"/>
        </w:rPr>
        <w:t>要强化安全意识，健全安全保障制度，杜绝各类安全事故发生；要加强资金管理，做到专款专用。</w:t>
      </w:r>
    </w:p>
    <w:p>
      <w:pPr>
        <w:spacing w:line="360" w:lineRule="auto"/>
        <w:rPr>
          <w:rFonts w:hint="default" w:asciiTheme="minorEastAsia" w:hAnsiTheme="minorEastAsia" w:eastAsiaTheme="minorEastAsia" w:cstheme="minorEastAsia"/>
          <w:b/>
          <w:bCs/>
          <w:sz w:val="24"/>
          <w:szCs w:val="24"/>
          <w:highlight w:val="yellow"/>
          <w:lang w:val="en-US" w:eastAsia="zh-CN"/>
        </w:rPr>
      </w:pPr>
    </w:p>
    <w:p>
      <w:pPr>
        <w:spacing w:line="360" w:lineRule="auto"/>
        <w:rPr>
          <w:rFonts w:hint="default" w:asciiTheme="minorEastAsia" w:hAnsiTheme="minorEastAsia" w:eastAsiaTheme="minorEastAsia" w:cstheme="minorEastAsia"/>
          <w:b/>
          <w:bCs/>
          <w:sz w:val="24"/>
          <w:szCs w:val="24"/>
          <w:highlight w:val="yellow"/>
          <w:lang w:val="en-US" w:eastAsia="zh-CN"/>
        </w:rPr>
      </w:pPr>
      <w:r>
        <w:rPr>
          <w:rFonts w:hint="eastAsia" w:asciiTheme="minorEastAsia" w:hAnsiTheme="minorEastAsia" w:eastAsiaTheme="minorEastAsia" w:cstheme="minorEastAsia"/>
          <w:b/>
          <w:bCs/>
          <w:sz w:val="24"/>
          <w:szCs w:val="24"/>
          <w:highlight w:val="yellow"/>
          <w:lang w:val="en-US" w:eastAsia="zh-CN"/>
        </w:rPr>
        <w:t>附表：</w:t>
      </w:r>
    </w:p>
    <w:tbl>
      <w:tblPr>
        <w:tblStyle w:val="26"/>
        <w:tblpPr w:leftFromText="180" w:rightFromText="180" w:vertAnchor="text" w:horzAnchor="page" w:tblpXSpec="center" w:tblpY="463"/>
        <w:tblOverlap w:val="never"/>
        <w:tblW w:w="1012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43"/>
        <w:gridCol w:w="774"/>
        <w:gridCol w:w="434"/>
        <w:gridCol w:w="411"/>
        <w:gridCol w:w="618"/>
        <w:gridCol w:w="967"/>
        <w:gridCol w:w="583"/>
        <w:gridCol w:w="700"/>
        <w:gridCol w:w="583"/>
        <w:gridCol w:w="584"/>
        <w:gridCol w:w="2638"/>
        <w:gridCol w:w="620"/>
        <w:gridCol w:w="6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0" w:hRule="atLeast"/>
          <w:jc w:val="center"/>
        </w:trPr>
        <w:tc>
          <w:tcPr>
            <w:tcW w:w="10125" w:type="dxa"/>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周口市2023古树名木抢救复壮项目实施投资估算表（“一树一策”）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序号</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县（市、区）</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乡镇</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村屯</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小地名</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古树编号</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树种</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树龄（年）</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等级</w:t>
            </w: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生长势</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抢救复壮措施</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复壮措施年限</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效益评价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4"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00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41162600001</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国槐</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濒危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1.土壤通透性不好，需挖通气沟（长60x宽40x深80cm）回填有机腐熟殖。</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2.干枯的部分用丙烯酸进行防腐处理。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3.用304不锈钢对树干加固、牢固，以防自然灾害折断。</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4.正常修剪，病虫害防治.</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有新发叶片或枝条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41162600022</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侧柏</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衰弱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1.土壤通透性不好，需挖通气沟（长60x宽40x深80cm）回填有机腐熟殖。</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2.设支撑架，干死的部分防腐处理。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3.病虫害防治，喷叶面肥，根部施肥（有机肥为主）树体挂营养液。                    </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树势恢复明显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41162600028</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侧柏</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濒危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1.土壤通透性不好，需挖通气沟（长60x宽40x深80cm）回填有机腐熟殖。</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2.设支撑架，干死的部分防腐处理。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3.病虫害防治，喷叶面肥，根部施肥（有机肥为主）树体挂营养液。                    </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有新发叶片或枝条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8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41162600031</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侧柏</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衰弱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1.土壤通透性不好，需挖通气沟（长60x宽40x深80cm）回填有机腐熟殖。</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2.增设围栏。</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3.病虫害防治，喷叶面肥，根部施肥（有机肥为主）树体挂营养液。                    </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树势恢复明显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41162600032</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侧柏</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衰弱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1.清除硬铺装，改成木铺装，土壤改良，设通气管，挖复壮穴。</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2.根部施肥、喷叶面肥，病虫害防治。</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3.设顶杆。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树势恢复明显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41162600044</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侧柏</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濒危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1.伐除竞争木，用钢板设置阻隔墙，用丙烯酸对其裸露部分进行涂抹。</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2.地面土壤改良，挖复壮沟设通气管，根叶施肥。</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3.树体挂营养液，干死部分防腐处理。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4.清除硬铺装。</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有新发叶片或枝条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7</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41162600058</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侧柏</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衰弱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1.消除根部周围的建筑垃圾，土壤改良，挖复壮沟，设通气管。</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2.设围栏清除硬铺装，改成木铺装。</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3.根叶施肥，树干挂营养液，病虫害防治。</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树势恢复明显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8</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41162600059</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侧柏</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1600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濒危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1.消除根部周围的建筑垃圾，土壤改良，挖复壮沟，设通气管,建观察井。</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2.设围栏清除硬铺装，改成木铺装。</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3.根叶施肥，树干挂营养液，病虫害防治。</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有新发叶片或枝条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76"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9</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41162600072</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侧柏</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衰弱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1.清除硬铺装，改成木铺装，清除树周围建筑垃圾，改良土壤，挖复壮沟，设通气管,设护栏顶杆。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2.根部施肥、喷叶面肥。</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3.病虫害防治，修剪弱枝，病枝。</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4.干枯的部分防腐处理。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树势恢复明显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41162600073</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侧柏</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衰弱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1.清除硬铺装，改成木铺装，清除树周围建筑垃圾，改良土壤，挖复壮沟，设通气管,建观察井。</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2.根叶施肥，树干挂营养液。</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3.病虫害防治，修剪弱枝，病枝。</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4.干枯的部分防腐处理。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树势恢复明显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11</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41162600085</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侧柏</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濒危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1.土壤通透性不好，需挖通气沟（长60x宽40x深80cm）回填有机腐熟殖。</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2.病虫害防治，喷叶面肥，根部施肥（有机肥为主）树体挂营养液。                    </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有新发叶片或枝条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12</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41162600099</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侧柏</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300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衰弱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1..挖复壮沟（60x40x80cm），设通气管，建观察井。</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2.根叶施肥，树干挂营养液。</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3.病虫害防治，干枯的部分防腐处理。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树势恢复明显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13</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41162600101</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000000"/>
                <w:sz w:val="18"/>
                <w:szCs w:val="18"/>
                <w:highlight w:val="none"/>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濒危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 xml:space="preserve"> 1.清除树周围建筑垃圾，改良土壤挖复壮沟，设通气管。</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2.设护栏，干死部分防腐处理，修剪病枝。</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3.根叶施肥，病虫害防治。</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4.清除硬铺装改为木铺装。</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5.朴树进行环剥，修剪药物等方法控制长势。</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6.复壮全过程生长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有新发叶片或枝条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14</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41162600106</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000000"/>
                <w:sz w:val="18"/>
                <w:szCs w:val="18"/>
                <w:highlight w:val="none"/>
                <w:u w:val="none"/>
              </w:rPr>
            </w:pP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1000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衰弱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1.清除硬铺装，改成木铺装，清除树周围建筑垃圾，改良土壤。</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2.挖复壮沟，设通气管，建观察井。</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3.根叶施肥，树干挂营养液</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4.病虫害防治，干枯的部分防腐处理。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树势恢复明显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15</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41162600113</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国槐</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1</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濒危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1.设通气管，挖复壮沟。</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2.病虫害防治，修剪施肥。</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3.干枯的部分防腐处理。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4.设仿真顶杆。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5.复壮全过程生长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有新发叶片或枝条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16</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41162600113</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国槐</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濒危</w:t>
            </w: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1.设通气管，挖复壮沟。</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2.病虫害防治，修剪施肥。</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3.干枯的部分防腐处理。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4.设仿真顶杆。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5.复壮全过程生长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有新发叶片或枝条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17</w:t>
            </w:r>
          </w:p>
        </w:tc>
        <w:tc>
          <w:tcPr>
            <w:tcW w:w="7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淮阳区</w:t>
            </w:r>
          </w:p>
        </w:tc>
        <w:tc>
          <w:tcPr>
            <w:tcW w:w="43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城关镇</w:t>
            </w:r>
          </w:p>
        </w:tc>
        <w:tc>
          <w:tcPr>
            <w:tcW w:w="411"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eastAsia" w:ascii="宋体" w:hAnsi="宋体" w:eastAsia="宋体" w:cs="宋体"/>
                <w:i w:val="0"/>
                <w:iCs w:val="0"/>
                <w:color w:val="FF0000"/>
                <w:sz w:val="18"/>
                <w:szCs w:val="18"/>
                <w:highlight w:val="none"/>
                <w:u w:val="none"/>
              </w:rPr>
            </w:pPr>
          </w:p>
        </w:tc>
        <w:tc>
          <w:tcPr>
            <w:tcW w:w="61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太昊陵</w:t>
            </w:r>
          </w:p>
        </w:tc>
        <w:tc>
          <w:tcPr>
            <w:tcW w:w="96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41162600118</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刺槐</w:t>
            </w:r>
          </w:p>
        </w:tc>
        <w:tc>
          <w:tcPr>
            <w:tcW w:w="70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100</w:t>
            </w:r>
          </w:p>
        </w:tc>
        <w:tc>
          <w:tcPr>
            <w:tcW w:w="58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w:t>
            </w:r>
          </w:p>
        </w:tc>
        <w:tc>
          <w:tcPr>
            <w:tcW w:w="58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26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1.扩大树池或围栏范围</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2.设通气管，挖复壮沟。</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3.病虫害防治，喷叶面肥，根部施肥（有机肥为主）树体挂营养液。</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4.合理修剪，干枯的部分防腐处理。</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5.增设仿真顶杆进行支撑</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6.复壮全过程生长</w:t>
            </w:r>
            <w:r>
              <w:rPr>
                <w:rFonts w:hint="eastAsia" w:ascii="宋体" w:hAnsi="宋体" w:cs="宋体"/>
                <w:i w:val="0"/>
                <w:iCs w:val="0"/>
                <w:color w:val="000000"/>
                <w:kern w:val="0"/>
                <w:sz w:val="18"/>
                <w:szCs w:val="18"/>
                <w:highlight w:val="none"/>
                <w:u w:val="none"/>
                <w:lang w:val="en-US" w:eastAsia="zh-CN" w:bidi="ar"/>
              </w:rPr>
              <w:t>智慧</w:t>
            </w:r>
            <w:r>
              <w:rPr>
                <w:rFonts w:hint="eastAsia" w:ascii="宋体" w:hAnsi="宋体" w:eastAsia="宋体" w:cs="宋体"/>
                <w:i w:val="0"/>
                <w:iCs w:val="0"/>
                <w:color w:val="000000"/>
                <w:kern w:val="0"/>
                <w:sz w:val="18"/>
                <w:szCs w:val="18"/>
                <w:highlight w:val="none"/>
                <w:u w:val="none"/>
                <w:lang w:val="en-US" w:eastAsia="zh-CN" w:bidi="ar"/>
              </w:rPr>
              <w:t>监测分析。</w:t>
            </w:r>
          </w:p>
        </w:tc>
        <w:tc>
          <w:tcPr>
            <w:tcW w:w="62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cs="宋体"/>
                <w:i w:val="0"/>
                <w:iCs w:val="0"/>
                <w:color w:val="000000"/>
                <w:kern w:val="0"/>
                <w:sz w:val="18"/>
                <w:szCs w:val="18"/>
                <w:highlight w:val="none"/>
                <w:u w:val="none"/>
                <w:lang w:val="en-US" w:eastAsia="zh-CN" w:bidi="ar"/>
              </w:rPr>
              <w:t>3</w:t>
            </w:r>
          </w:p>
        </w:tc>
        <w:tc>
          <w:tcPr>
            <w:tcW w:w="6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有新发叶片或枝条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7"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18</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商水</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邓城镇</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西南角</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许村</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411623YXA0001</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银杏</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2200</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濒危</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设置木栈道避免游人践踏古银杏树地面的土壤增加土壤的透气性，木栈道1.5米宽、设置围栏1.5米高、长100米，标牌、防治病虫害、疏花疏果，促进营养生长。</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hint="eastAsia" w:ascii="宋体" w:hAnsi="宋体" w:eastAsia="宋体" w:cs="宋体"/>
                <w:b/>
                <w:bCs/>
                <w:i w:val="0"/>
                <w:iCs w:val="0"/>
                <w:color w:val="auto"/>
                <w:sz w:val="18"/>
                <w:szCs w:val="18"/>
                <w:highlight w:val="none"/>
                <w:u w:val="none"/>
              </w:rPr>
            </w:pPr>
            <w:r>
              <w:rPr>
                <w:rFonts w:hint="eastAsia" w:ascii="宋体" w:hAnsi="宋体" w:cs="宋体"/>
                <w:b/>
                <w:bCs/>
                <w:i w:val="0"/>
                <w:iCs w:val="0"/>
                <w:color w:val="auto"/>
                <w:sz w:val="18"/>
                <w:szCs w:val="18"/>
                <w:highlight w:val="none"/>
                <w:u w:val="none"/>
                <w:lang w:val="en-US" w:eastAsia="zh-CN"/>
              </w:rPr>
              <w:t>复壮后</w:t>
            </w:r>
            <w:r>
              <w:rPr>
                <w:rFonts w:hint="eastAsia" w:ascii="宋体" w:hAnsi="宋体" w:eastAsia="宋体" w:cs="宋体"/>
                <w:b/>
                <w:bCs/>
                <w:i w:val="0"/>
                <w:iCs w:val="0"/>
                <w:color w:val="auto"/>
                <w:kern w:val="0"/>
                <w:sz w:val="18"/>
                <w:szCs w:val="18"/>
                <w:highlight w:val="none"/>
                <w:u w:val="none"/>
                <w:lang w:val="en-US" w:eastAsia="zh-CN" w:bidi="ar"/>
              </w:rPr>
              <w:t>树势恢复明显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19</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商水</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大武乡</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夏庄</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西南角</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411623YXA0002</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银杏</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2000</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正常</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设置避雷装置，对折断的枯枝进行整修并采取保护措施。</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hint="default" w:ascii="宋体" w:hAnsi="宋体" w:eastAsia="宋体" w:cs="宋体"/>
                <w:b/>
                <w:bCs/>
                <w:i w:val="0"/>
                <w:iCs w:val="0"/>
                <w:color w:val="auto"/>
                <w:sz w:val="18"/>
                <w:szCs w:val="18"/>
                <w:highlight w:val="none"/>
                <w:u w:val="none"/>
                <w:lang w:val="en-US" w:eastAsia="zh-CN"/>
              </w:rPr>
            </w:pPr>
            <w:r>
              <w:rPr>
                <w:rFonts w:hint="eastAsia" w:ascii="宋体" w:hAnsi="宋体" w:cs="宋体"/>
                <w:b/>
                <w:bCs/>
                <w:i w:val="0"/>
                <w:iCs w:val="0"/>
                <w:color w:val="auto"/>
                <w:sz w:val="18"/>
                <w:szCs w:val="18"/>
                <w:highlight w:val="none"/>
                <w:u w:val="none"/>
                <w:lang w:val="en-US" w:eastAsia="zh-CN"/>
              </w:rPr>
              <w:t>改善明显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04"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20</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商水</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平店乡</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白塔寺</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西北</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411623001</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柏树群</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130</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衰弱</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460棵拆除硬化铺装地面，铺设透气砖及其他透气透水材料 ，处理腐烂的树杆、树枝及树洞，打支撑。</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hint="default" w:ascii="宋体" w:hAnsi="宋体" w:eastAsia="宋体" w:cs="宋体"/>
                <w:b/>
                <w:bCs/>
                <w:i w:val="0"/>
                <w:iCs w:val="0"/>
                <w:color w:val="auto"/>
                <w:sz w:val="18"/>
                <w:szCs w:val="18"/>
                <w:highlight w:val="none"/>
                <w:u w:val="none"/>
                <w:lang w:val="en-US"/>
              </w:rPr>
            </w:pPr>
            <w:r>
              <w:rPr>
                <w:rFonts w:hint="eastAsia" w:ascii="宋体" w:hAnsi="宋体" w:cs="宋体"/>
                <w:b/>
                <w:bCs/>
                <w:i w:val="0"/>
                <w:iCs w:val="0"/>
                <w:color w:val="auto"/>
                <w:sz w:val="18"/>
                <w:szCs w:val="18"/>
                <w:highlight w:val="none"/>
                <w:u w:val="none"/>
                <w:lang w:val="en-US" w:eastAsia="zh-CN"/>
              </w:rPr>
              <w:t>复壮明显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94"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21</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商水</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姚集镇</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张庄村</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北侧</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411623ZJA002</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皂角树</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510</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衰弱</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设置围栏、标牌、避雷装置、打支撑。</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hint="default" w:ascii="宋体" w:hAnsi="宋体" w:eastAsia="宋体" w:cs="宋体"/>
                <w:b/>
                <w:bCs/>
                <w:i w:val="0"/>
                <w:iCs w:val="0"/>
                <w:color w:val="auto"/>
                <w:sz w:val="18"/>
                <w:szCs w:val="18"/>
                <w:highlight w:val="none"/>
                <w:u w:val="none"/>
                <w:lang w:val="en-US"/>
              </w:rPr>
            </w:pPr>
            <w:r>
              <w:rPr>
                <w:rFonts w:hint="eastAsia" w:ascii="宋体" w:hAnsi="宋体" w:cs="宋体"/>
                <w:b/>
                <w:bCs/>
                <w:i w:val="0"/>
                <w:iCs w:val="0"/>
                <w:color w:val="auto"/>
                <w:sz w:val="18"/>
                <w:szCs w:val="18"/>
                <w:highlight w:val="none"/>
                <w:u w:val="none"/>
                <w:lang w:val="en-US" w:eastAsia="zh-CN"/>
              </w:rPr>
              <w:t>改善明显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22</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商水</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张庄镇</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张坡村</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南侧</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411623ZJA002</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皂角树</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500</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正常</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设置围栏、标牌、避雷装置、修补树洞、杀菌、清理障碍物。</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hint="default" w:ascii="宋体" w:hAnsi="宋体" w:eastAsia="宋体" w:cs="宋体"/>
                <w:b/>
                <w:bCs/>
                <w:i w:val="0"/>
                <w:iCs w:val="0"/>
                <w:color w:val="auto"/>
                <w:sz w:val="18"/>
                <w:szCs w:val="18"/>
                <w:highlight w:val="none"/>
                <w:u w:val="none"/>
                <w:lang w:val="en-US"/>
              </w:rPr>
            </w:pPr>
            <w:r>
              <w:rPr>
                <w:rFonts w:hint="eastAsia" w:ascii="宋体" w:hAnsi="宋体" w:cs="宋体"/>
                <w:b/>
                <w:bCs/>
                <w:i w:val="0"/>
                <w:iCs w:val="0"/>
                <w:color w:val="auto"/>
                <w:sz w:val="18"/>
                <w:szCs w:val="18"/>
                <w:highlight w:val="none"/>
                <w:u w:val="none"/>
                <w:lang w:val="en-US" w:eastAsia="zh-CN"/>
              </w:rPr>
              <w:t>改善明显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jc w:val="center"/>
        </w:trPr>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23</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商水</w:t>
            </w:r>
          </w:p>
        </w:tc>
        <w:tc>
          <w:tcPr>
            <w:tcW w:w="4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bidi="ar"/>
              </w:rPr>
              <w:t>张庄镇</w:t>
            </w:r>
          </w:p>
        </w:tc>
        <w:tc>
          <w:tcPr>
            <w:tcW w:w="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边楼村</w:t>
            </w:r>
          </w:p>
        </w:tc>
        <w:tc>
          <w:tcPr>
            <w:tcW w:w="61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村东侧</w:t>
            </w:r>
          </w:p>
        </w:tc>
        <w:tc>
          <w:tcPr>
            <w:tcW w:w="967"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411623ZSA001</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柘树</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650</w:t>
            </w:r>
          </w:p>
        </w:tc>
        <w:tc>
          <w:tcPr>
            <w:tcW w:w="583"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衰弱</w:t>
            </w:r>
          </w:p>
        </w:tc>
        <w:tc>
          <w:tcPr>
            <w:tcW w:w="2638"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设置围栏、标牌、地上环境改良，伐除影响古树生长的植物，剪除枯枝、处理树洞。设置排水管道。</w:t>
            </w:r>
          </w:p>
        </w:tc>
        <w:tc>
          <w:tcPr>
            <w:tcW w:w="62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670"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left"/>
              <w:rPr>
                <w:rFonts w:hint="default" w:ascii="宋体" w:hAnsi="宋体" w:eastAsia="宋体" w:cs="宋体"/>
                <w:b/>
                <w:bCs/>
                <w:i w:val="0"/>
                <w:iCs w:val="0"/>
                <w:color w:val="auto"/>
                <w:sz w:val="18"/>
                <w:szCs w:val="18"/>
                <w:highlight w:val="none"/>
                <w:u w:val="none"/>
                <w:lang w:val="en-US"/>
              </w:rPr>
            </w:pPr>
            <w:r>
              <w:rPr>
                <w:rFonts w:hint="eastAsia" w:ascii="宋体" w:hAnsi="宋体" w:cs="宋体"/>
                <w:b/>
                <w:bCs/>
                <w:i w:val="0"/>
                <w:iCs w:val="0"/>
                <w:color w:val="auto"/>
                <w:sz w:val="18"/>
                <w:szCs w:val="18"/>
                <w:highlight w:val="none"/>
                <w:u w:val="none"/>
                <w:lang w:val="en-US" w:eastAsia="zh-CN"/>
              </w:rPr>
              <w:t>改善明显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0125" w:type="dxa"/>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备注：1.复壮措施包含但不限土壤深松、施肥、枝干整形、病虫害害防治、树干及叶面营养补充等需要常年或经常采取的措施。2.效益评价指经过抢救复壮措施的使用达到的目标，例如树势恢复明显，有新发叶片或枝条等</w:t>
            </w:r>
          </w:p>
        </w:tc>
      </w:tr>
    </w:tbl>
    <w:p>
      <w:pPr>
        <w:rPr>
          <w:highlight w:val="none"/>
        </w:rPr>
      </w:pPr>
    </w:p>
    <w:p>
      <w:pPr>
        <w:spacing w:after="120" w:line="415" w:lineRule="auto"/>
        <w:ind w:firstLine="480" w:firstLineChars="200"/>
        <w:jc w:val="center"/>
        <w:rPr>
          <w:rStyle w:val="66"/>
          <w:rFonts w:ascii="宋体" w:hAnsi="宋体" w:cs="宋体"/>
          <w:color w:val="000000"/>
          <w:sz w:val="24"/>
          <w:lang w:val="zh-CN"/>
        </w:rPr>
      </w:pPr>
    </w:p>
    <w:p>
      <w:pPr>
        <w:pStyle w:val="35"/>
        <w:ind w:firstLine="210"/>
        <w:rPr>
          <w:rStyle w:val="66"/>
          <w:color w:val="000000"/>
          <w:lang w:val="zh-CN"/>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spacing w:after="120" w:line="415" w:lineRule="auto"/>
        <w:ind w:firstLine="480" w:firstLineChars="200"/>
        <w:jc w:val="center"/>
        <w:rPr>
          <w:rStyle w:val="66"/>
          <w:rFonts w:ascii="宋体" w:hAnsi="宋体" w:cs="宋体"/>
          <w:color w:val="000000"/>
          <w:sz w:val="24"/>
          <w:lang w:val="zh-CN"/>
        </w:rPr>
      </w:pPr>
    </w:p>
    <w:p>
      <w:pPr>
        <w:pStyle w:val="35"/>
        <w:ind w:firstLine="210"/>
        <w:rPr>
          <w:rStyle w:val="66"/>
          <w:color w:val="000000"/>
          <w:lang w:val="zh-CN"/>
        </w:rPr>
      </w:pPr>
    </w:p>
    <w:p>
      <w:pPr>
        <w:rPr>
          <w:rFonts w:hint="eastAsia" w:ascii="宋体" w:hAnsi="宋体" w:cs="宋体"/>
          <w:b/>
          <w:bCs/>
          <w:sz w:val="32"/>
          <w:szCs w:val="32"/>
        </w:rPr>
      </w:pPr>
      <w:bookmarkStart w:id="57" w:name="_Toc3642"/>
    </w:p>
    <w:p>
      <w:pPr>
        <w:spacing w:line="480" w:lineRule="auto"/>
        <w:jc w:val="center"/>
        <w:outlineLvl w:val="0"/>
        <w:rPr>
          <w:rFonts w:ascii="宋体" w:hAnsi="宋体" w:cs="宋体"/>
          <w:sz w:val="32"/>
          <w:szCs w:val="32"/>
        </w:rPr>
      </w:pPr>
      <w:r>
        <w:rPr>
          <w:rFonts w:hint="eastAsia" w:ascii="宋体" w:hAnsi="宋体" w:cs="宋体"/>
          <w:b/>
          <w:bCs/>
          <w:sz w:val="32"/>
          <w:szCs w:val="32"/>
        </w:rPr>
        <w:t>第四章</w:t>
      </w:r>
      <w:r>
        <w:rPr>
          <w:rFonts w:hint="eastAsia" w:ascii="宋体" w:hAnsi="宋体" w:cs="宋体"/>
          <w:b/>
          <w:sz w:val="32"/>
          <w:szCs w:val="32"/>
        </w:rPr>
        <w:t xml:space="preserve">    </w:t>
      </w:r>
      <w:r>
        <w:rPr>
          <w:rFonts w:hint="eastAsia" w:ascii="宋体" w:hAnsi="宋体" w:cs="宋体"/>
          <w:b/>
          <w:bCs/>
          <w:sz w:val="32"/>
          <w:szCs w:val="32"/>
        </w:rPr>
        <w:t>响应性文件内容及格式</w:t>
      </w:r>
      <w:bookmarkEnd w:id="57"/>
    </w:p>
    <w:p>
      <w:pPr>
        <w:widowControl/>
        <w:spacing w:line="520" w:lineRule="exact"/>
        <w:ind w:firstLine="480" w:firstLineChars="200"/>
        <w:jc w:val="center"/>
        <w:rPr>
          <w:rFonts w:ascii="宋体" w:hAnsi="宋体" w:cs="宋体"/>
          <w:sz w:val="24"/>
        </w:rPr>
      </w:pPr>
    </w:p>
    <w:p>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pPr>
        <w:spacing w:line="560" w:lineRule="exact"/>
        <w:ind w:firstLine="482" w:firstLineChars="200"/>
        <w:rPr>
          <w:rFonts w:ascii="宋体" w:hAnsi="宋体" w:cs="宋体"/>
          <w:b/>
          <w:sz w:val="24"/>
        </w:rPr>
      </w:pPr>
      <w:r>
        <w:rPr>
          <w:rFonts w:hint="eastAsia" w:ascii="宋体" w:hAnsi="宋体" w:cs="宋体"/>
          <w:b/>
          <w:sz w:val="24"/>
        </w:rPr>
        <w:t>重要提示：</w:t>
      </w:r>
    </w:p>
    <w:p>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pPr>
        <w:snapToGrid w:val="0"/>
        <w:spacing w:line="560" w:lineRule="exact"/>
        <w:ind w:firstLine="480" w:firstLineChars="200"/>
        <w:outlineLvl w:val="1"/>
        <w:rPr>
          <w:rFonts w:ascii="宋体" w:hAnsi="宋体" w:cs="宋体"/>
          <w:sz w:val="24"/>
        </w:rPr>
      </w:pPr>
      <w:bookmarkStart w:id="58" w:name="_Toc30778"/>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bookmarkEnd w:id="58"/>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pacing w:line="360" w:lineRule="auto"/>
        <w:jc w:val="left"/>
        <w:rPr>
          <w:rFonts w:ascii="宋体" w:hAnsi="宋体" w:cs="宋体"/>
          <w:sz w:val="24"/>
        </w:rPr>
      </w:pPr>
    </w:p>
    <w:p>
      <w:pPr>
        <w:rPr>
          <w:rFonts w:hint="eastAsia" w:ascii="宋体" w:hAnsi="宋体" w:cs="宋体"/>
          <w:sz w:val="24"/>
        </w:rPr>
      </w:pPr>
      <w:r>
        <w:rPr>
          <w:rFonts w:hint="eastAsia" w:ascii="宋体" w:hAnsi="宋体" w:cs="宋体"/>
          <w:sz w:val="24"/>
        </w:rPr>
        <w:br w:type="page"/>
      </w:r>
    </w:p>
    <w:p>
      <w:pPr>
        <w:spacing w:line="360" w:lineRule="auto"/>
        <w:jc w:val="left"/>
        <w:rPr>
          <w:rFonts w:ascii="宋体" w:hAnsi="宋体" w:cs="宋体"/>
          <w:sz w:val="24"/>
        </w:rPr>
      </w:pPr>
      <w:r>
        <w:rPr>
          <w:rFonts w:hint="eastAsia" w:ascii="宋体" w:hAnsi="宋体" w:cs="宋体"/>
          <w:sz w:val="24"/>
        </w:rPr>
        <w:t>格式2-1</w:t>
      </w:r>
    </w:p>
    <w:p>
      <w:pPr>
        <w:widowControl/>
        <w:jc w:val="center"/>
        <w:rPr>
          <w:rFonts w:hint="eastAsia" w:ascii="宋体" w:hAnsi="宋体" w:eastAsia="宋体" w:cs="宋体"/>
          <w:kern w:val="0"/>
          <w:sz w:val="24"/>
          <w:lang w:eastAsia="zh-CN"/>
        </w:rPr>
      </w:pPr>
      <w:r>
        <w:rPr>
          <w:rFonts w:hint="eastAsia" w:ascii="宋体" w:hAnsi="宋体" w:cs="宋体"/>
          <w:sz w:val="24"/>
        </w:rPr>
        <w:t>企业营业执照副本</w:t>
      </w:r>
      <w:r>
        <w:rPr>
          <w:rFonts w:hint="eastAsia" w:ascii="宋体" w:hAnsi="宋体" w:cs="宋体"/>
          <w:sz w:val="24"/>
          <w:lang w:val="en-US" w:eastAsia="zh-CN"/>
        </w:rPr>
        <w:t>及</w:t>
      </w:r>
      <w:r>
        <w:rPr>
          <w:rFonts w:hint="eastAsia" w:ascii="宋体" w:hAnsi="宋体" w:cs="宋体"/>
          <w:kern w:val="0"/>
          <w:sz w:val="24"/>
        </w:rPr>
        <w:t>资格性证明材料</w:t>
      </w:r>
    </w:p>
    <w:p>
      <w:pPr>
        <w:pStyle w:val="35"/>
        <w:rPr>
          <w:rFonts w:hint="eastAsia"/>
          <w:lang w:eastAsia="zh-CN"/>
        </w:rPr>
      </w:pPr>
    </w:p>
    <w:p>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pPr>
        <w:spacing w:line="360" w:lineRule="auto"/>
        <w:jc w:val="center"/>
        <w:rPr>
          <w:rFonts w:ascii="宋体" w:hAnsi="宋体" w:cs="宋体"/>
          <w:sz w:val="24"/>
        </w:rPr>
      </w:pPr>
      <w:r>
        <w:rPr>
          <w:rFonts w:hint="eastAsia" w:ascii="宋体" w:hAnsi="宋体" w:cs="宋体"/>
          <w:sz w:val="24"/>
        </w:rPr>
        <w:t>法定代表人身份证明书</w:t>
      </w:r>
    </w:p>
    <w:p>
      <w:pPr>
        <w:spacing w:line="360" w:lineRule="auto"/>
        <w:jc w:val="center"/>
        <w:rPr>
          <w:rFonts w:ascii="宋体" w:hAnsi="宋体" w:cs="宋体"/>
          <w:sz w:val="24"/>
        </w:rPr>
      </w:pPr>
      <w:r>
        <w:rPr>
          <w:rFonts w:hint="eastAsia" w:ascii="宋体" w:hAnsi="宋体" w:cs="宋体"/>
          <w:sz w:val="24"/>
        </w:rPr>
        <w:t>（法定代表人参加竞争性磋商的，出具此证明书）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pPr>
        <w:spacing w:line="360" w:lineRule="auto"/>
        <w:ind w:firstLine="480" w:firstLineChars="200"/>
        <w:rPr>
          <w:rFonts w:ascii="宋体" w:hAnsi="宋体" w:cs="宋体"/>
          <w:sz w:val="24"/>
        </w:rPr>
      </w:pPr>
      <w:r>
        <w:rPr>
          <w:rFonts w:hint="eastAsia" w:ascii="宋体" w:hAnsi="宋体" w:cs="宋体"/>
          <w:sz w:val="24"/>
        </w:rPr>
        <w:t>特此证明。</w:t>
      </w:r>
    </w:p>
    <w:p>
      <w:pPr>
        <w:spacing w:line="360" w:lineRule="auto"/>
        <w:ind w:firstLine="480" w:firstLineChars="200"/>
        <w:rPr>
          <w:rFonts w:ascii="宋体" w:hAnsi="宋体" w:cs="宋体"/>
          <w:sz w:val="24"/>
        </w:rPr>
      </w:pPr>
      <w:r>
        <w:rPr>
          <w:rFonts w:hint="eastAsia" w:ascii="宋体" w:hAnsi="宋体" w:cs="宋体"/>
          <w:sz w:val="24"/>
        </w:rPr>
        <w:t xml:space="preserve">附：联系地址：               </w:t>
      </w:r>
    </w:p>
    <w:p>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b/>
                <w:bCs/>
                <w:sz w:val="24"/>
              </w:rPr>
            </w:pPr>
            <w:r>
              <w:rPr>
                <w:rFonts w:hint="eastAsia" w:ascii="宋体" w:hAnsi="宋体" w:cs="宋体"/>
                <w:b/>
                <w:bCs/>
                <w:sz w:val="24"/>
              </w:rPr>
              <w:t>（※附：法定代表人身份证复印件※）</w:t>
            </w:r>
          </w:p>
          <w:p>
            <w:pPr>
              <w:spacing w:line="480" w:lineRule="exact"/>
              <w:rPr>
                <w:rFonts w:ascii="宋体" w:hAnsi="宋体" w:cs="宋体"/>
                <w:sz w:val="24"/>
              </w:rPr>
            </w:pPr>
          </w:p>
          <w:p>
            <w:pPr>
              <w:spacing w:line="480" w:lineRule="exact"/>
              <w:rPr>
                <w:rFonts w:ascii="宋体" w:hAnsi="宋体" w:cs="宋体"/>
                <w:sz w:val="24"/>
              </w:rPr>
            </w:pPr>
          </w:p>
        </w:tc>
      </w:tr>
    </w:tbl>
    <w:p>
      <w:pPr>
        <w:spacing w:line="360" w:lineRule="auto"/>
        <w:ind w:firstLine="960" w:firstLineChars="4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spacing w:line="360" w:lineRule="auto"/>
        <w:jc w:val="center"/>
        <w:rPr>
          <w:rFonts w:ascii="宋体" w:hAnsi="宋体" w:cs="宋体"/>
          <w:sz w:val="24"/>
        </w:rPr>
      </w:pPr>
    </w:p>
    <w:p>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3</w:t>
      </w:r>
    </w:p>
    <w:p>
      <w:pPr>
        <w:spacing w:line="360" w:lineRule="auto"/>
        <w:ind w:firstLine="480" w:firstLineChars="200"/>
        <w:jc w:val="center"/>
        <w:rPr>
          <w:rFonts w:ascii="宋体" w:hAnsi="宋体" w:cs="宋体"/>
          <w:sz w:val="24"/>
        </w:rPr>
      </w:pPr>
      <w:r>
        <w:rPr>
          <w:rFonts w:hint="eastAsia" w:ascii="宋体" w:hAnsi="宋体" w:cs="宋体"/>
          <w:sz w:val="24"/>
        </w:rPr>
        <w:t>授权委托书</w:t>
      </w:r>
    </w:p>
    <w:p>
      <w:pPr>
        <w:spacing w:line="360" w:lineRule="auto"/>
        <w:jc w:val="center"/>
        <w:rPr>
          <w:rFonts w:ascii="宋体" w:hAnsi="宋体" w:cs="宋体"/>
          <w:sz w:val="24"/>
        </w:rPr>
      </w:pPr>
      <w:r>
        <w:rPr>
          <w:rFonts w:hint="eastAsia" w:ascii="宋体" w:hAnsi="宋体" w:cs="宋体"/>
          <w:sz w:val="24"/>
        </w:rPr>
        <w:t>（委托代理人参加竞争性磋商的，出具此证明书）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pPr>
        <w:spacing w:line="360" w:lineRule="auto"/>
        <w:rPr>
          <w:rFonts w:ascii="宋体" w:hAnsi="宋体" w:cs="宋体"/>
          <w:sz w:val="24"/>
        </w:rPr>
      </w:pPr>
    </w:p>
    <w:p>
      <w:pPr>
        <w:spacing w:line="360" w:lineRule="auto"/>
        <w:ind w:firstLine="480" w:firstLineChars="200"/>
        <w:rPr>
          <w:rFonts w:hint="eastAsia" w:ascii="宋体" w:hAnsi="宋体" w:cs="宋体"/>
          <w:sz w:val="24"/>
        </w:rPr>
      </w:pPr>
      <w:r>
        <w:rPr>
          <w:rFonts w:hint="eastAsia" w:ascii="宋体" w:hAnsi="宋体" w:cs="宋体"/>
          <w:sz w:val="24"/>
        </w:rPr>
        <w:t>委托人：</w:t>
      </w:r>
    </w:p>
    <w:p>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pPr>
        <w:spacing w:line="360" w:lineRule="auto"/>
        <w:ind w:firstLine="480" w:firstLineChars="200"/>
        <w:rPr>
          <w:rFonts w:hint="eastAsia" w:ascii="宋体" w:hAnsi="宋体" w:cs="宋体"/>
          <w:sz w:val="24"/>
        </w:rPr>
      </w:pPr>
      <w:r>
        <w:rPr>
          <w:rFonts w:hint="eastAsia" w:ascii="宋体" w:hAnsi="宋体" w:cs="宋体"/>
          <w:sz w:val="24"/>
        </w:rPr>
        <w:t>被委托人：</w:t>
      </w:r>
    </w:p>
    <w:p>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sz w:val="24"/>
              </w:rPr>
            </w:pPr>
            <w:r>
              <w:rPr>
                <w:rFonts w:hint="eastAsia" w:ascii="宋体" w:hAnsi="宋体" w:cs="宋体"/>
                <w:b/>
                <w:bCs/>
                <w:sz w:val="24"/>
              </w:rPr>
              <w:t>（※附：被委托人身份证复印件※）</w:t>
            </w:r>
          </w:p>
        </w:tc>
      </w:tr>
    </w:tbl>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920" w:firstLineChars="2050"/>
        <w:rPr>
          <w:rFonts w:ascii="宋体" w:hAnsi="宋体" w:cs="宋体"/>
          <w:sz w:val="24"/>
        </w:rPr>
      </w:pPr>
    </w:p>
    <w:p>
      <w:pPr>
        <w:spacing w:line="360" w:lineRule="auto"/>
        <w:jc w:val="center"/>
        <w:rPr>
          <w:rFonts w:ascii="宋体" w:hAnsi="宋体" w:cs="宋体"/>
          <w:sz w:val="24"/>
        </w:rPr>
      </w:pPr>
    </w:p>
    <w:p>
      <w:pPr>
        <w:spacing w:line="360" w:lineRule="auto"/>
        <w:jc w:val="center"/>
        <w:rPr>
          <w:rFonts w:hint="eastAsia" w:ascii="宋体" w:hAnsi="宋体" w:cs="宋体"/>
          <w:sz w:val="24"/>
        </w:rPr>
      </w:pPr>
    </w:p>
    <w:p>
      <w:pPr>
        <w:spacing w:line="360" w:lineRule="auto"/>
        <w:jc w:val="center"/>
        <w:rPr>
          <w:rFonts w:hint="eastAsia"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60" w:lineRule="auto"/>
        <w:jc w:val="center"/>
        <w:rPr>
          <w:rFonts w:ascii="宋体" w:hAnsi="宋体" w:cs="宋体"/>
          <w:sz w:val="24"/>
        </w:rPr>
      </w:pPr>
      <w:r>
        <w:rPr>
          <w:rFonts w:hint="eastAsia" w:ascii="宋体" w:hAnsi="宋体" w:cs="宋体"/>
          <w:sz w:val="24"/>
        </w:rPr>
        <w:t xml:space="preserve">                                      </w:t>
      </w:r>
    </w:p>
    <w:p>
      <w:pPr>
        <w:spacing w:line="360" w:lineRule="auto"/>
        <w:jc w:val="center"/>
        <w:rPr>
          <w:rFonts w:hint="eastAsia" w:ascii="宋体" w:hAnsi="宋体" w:cs="宋体"/>
          <w:sz w:val="24"/>
        </w:rPr>
      </w:pPr>
      <w:r>
        <w:rPr>
          <w:rFonts w:hint="eastAsia" w:ascii="宋体" w:hAnsi="宋体" w:cs="宋体"/>
          <w:sz w:val="24"/>
        </w:rPr>
        <w:t xml:space="preserve"> 年   月   日</w:t>
      </w:r>
    </w:p>
    <w:p>
      <w:pPr>
        <w:pStyle w:val="35"/>
      </w:pPr>
    </w:p>
    <w:p>
      <w:pPr>
        <w:pStyle w:val="35"/>
      </w:pPr>
    </w:p>
    <w:p>
      <w:pPr>
        <w:pStyle w:val="35"/>
      </w:pPr>
    </w:p>
    <w:p>
      <w:pPr>
        <w:pStyle w:val="35"/>
      </w:pPr>
    </w:p>
    <w:p>
      <w:pPr>
        <w:pStyle w:val="35"/>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rPr>
          <w:rFonts w:hint="eastAsia" w:ascii="宋体" w:hAnsi="宋体" w:cs="宋体"/>
          <w:sz w:val="24"/>
        </w:rPr>
      </w:pPr>
      <w:r>
        <w:rPr>
          <w:rFonts w:hint="eastAsia" w:ascii="宋体" w:hAnsi="宋体" w:cs="宋体"/>
          <w:sz w:val="24"/>
        </w:rPr>
        <w:br w:type="page"/>
      </w:r>
    </w:p>
    <w:p>
      <w:pPr>
        <w:spacing w:line="360" w:lineRule="auto"/>
        <w:jc w:val="left"/>
        <w:rPr>
          <w:rFonts w:ascii="宋体" w:hAnsi="宋体" w:cs="宋体"/>
          <w:sz w:val="24"/>
        </w:rPr>
      </w:pPr>
      <w:r>
        <w:rPr>
          <w:rFonts w:hint="eastAsia" w:ascii="宋体" w:hAnsi="宋体" w:cs="宋体"/>
          <w:sz w:val="24"/>
        </w:rPr>
        <w:t>格式3</w:t>
      </w:r>
    </w:p>
    <w:p>
      <w:pPr>
        <w:spacing w:line="560" w:lineRule="exact"/>
        <w:jc w:val="center"/>
        <w:rPr>
          <w:rFonts w:ascii="宋体" w:hAnsi="宋体" w:cs="宋体"/>
          <w:sz w:val="24"/>
        </w:rPr>
      </w:pPr>
      <w:r>
        <w:rPr>
          <w:rFonts w:hint="eastAsia" w:ascii="宋体" w:hAnsi="宋体" w:cs="宋体"/>
          <w:sz w:val="24"/>
        </w:rPr>
        <w:t>投标函</w:t>
      </w:r>
    </w:p>
    <w:p>
      <w:pPr>
        <w:pStyle w:val="23"/>
        <w:shd w:val="clear" w:color="auto" w:fill="FFFFFF"/>
        <w:adjustRightInd w:val="0"/>
        <w:snapToGrid w:val="0"/>
        <w:spacing w:before="0" w:beforeAutospacing="0" w:after="0" w:afterAutospacing="0" w:line="360" w:lineRule="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pPr>
        <w:ind w:firstLine="568" w:firstLineChars="237"/>
        <w:rPr>
          <w:rFonts w:ascii="宋体" w:hAnsi="宋体" w:cs="宋体"/>
          <w:sz w:val="24"/>
        </w:rPr>
      </w:pPr>
      <w:r>
        <w:rPr>
          <w:rFonts w:hint="eastAsia" w:ascii="宋体" w:hAnsi="宋体" w:cs="宋体"/>
          <w:sz w:val="24"/>
        </w:rPr>
        <w:t>据此函，宣布同意如下：</w:t>
      </w:r>
    </w:p>
    <w:p>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pPr>
        <w:ind w:firstLine="480" w:firstLineChars="200"/>
        <w:rPr>
          <w:rFonts w:ascii="宋体" w:hAnsi="宋体" w:cs="宋体"/>
          <w:sz w:val="24"/>
        </w:rPr>
      </w:pPr>
      <w:r>
        <w:rPr>
          <w:rFonts w:hint="eastAsia" w:ascii="宋体" w:hAnsi="宋体" w:cs="宋体"/>
          <w:sz w:val="24"/>
        </w:rPr>
        <w:t>(4)一旦我们成交，我们将严格履行合同责任和义务。</w:t>
      </w:r>
    </w:p>
    <w:p>
      <w:pPr>
        <w:ind w:firstLine="480" w:firstLineChars="200"/>
        <w:rPr>
          <w:rFonts w:ascii="宋体" w:hAnsi="宋体" w:cs="宋体"/>
          <w:sz w:val="24"/>
        </w:rPr>
      </w:pPr>
      <w:r>
        <w:rPr>
          <w:rFonts w:hint="eastAsia" w:ascii="宋体" w:hAnsi="宋体" w:cs="宋体"/>
          <w:sz w:val="24"/>
        </w:rPr>
        <w:t>(5)我们完全理解不向未成交人解释未成交理由的义务。</w:t>
      </w:r>
    </w:p>
    <w:p>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pPr>
        <w:ind w:firstLine="480" w:firstLineChars="200"/>
        <w:rPr>
          <w:rFonts w:ascii="宋体" w:hAnsi="宋体" w:cs="宋体"/>
          <w:sz w:val="24"/>
        </w:rPr>
      </w:pPr>
      <w:r>
        <w:rPr>
          <w:rFonts w:hint="eastAsia" w:ascii="宋体" w:hAnsi="宋体" w:cs="宋体"/>
          <w:sz w:val="24"/>
        </w:rPr>
        <w:t>(8)与本次竞争性磋商有关的正式通讯地址为：</w:t>
      </w:r>
    </w:p>
    <w:p>
      <w:pPr>
        <w:ind w:firstLine="480" w:firstLineChars="200"/>
        <w:rPr>
          <w:rFonts w:ascii="宋体" w:hAnsi="宋体" w:cs="宋体"/>
          <w:sz w:val="24"/>
        </w:rPr>
      </w:pPr>
      <w:r>
        <w:rPr>
          <w:rFonts w:hint="eastAsia" w:ascii="宋体" w:hAnsi="宋体" w:cs="宋体"/>
          <w:sz w:val="24"/>
        </w:rPr>
        <w:t>地 址：                  邮 编：</w:t>
      </w:r>
    </w:p>
    <w:p>
      <w:pPr>
        <w:ind w:firstLine="480" w:firstLineChars="200"/>
        <w:rPr>
          <w:rFonts w:ascii="宋体" w:hAnsi="宋体" w:cs="宋体"/>
          <w:sz w:val="24"/>
        </w:rPr>
      </w:pPr>
      <w:r>
        <w:rPr>
          <w:rFonts w:hint="eastAsia" w:ascii="宋体" w:hAnsi="宋体" w:cs="宋体"/>
          <w:sz w:val="24"/>
        </w:rPr>
        <w:t>电 话：                  电子信箱：</w:t>
      </w:r>
    </w:p>
    <w:p>
      <w:pPr>
        <w:ind w:firstLine="480" w:firstLineChars="200"/>
        <w:jc w:val="left"/>
        <w:rPr>
          <w:rFonts w:ascii="宋体" w:hAnsi="宋体" w:cs="宋体"/>
          <w:sz w:val="24"/>
        </w:rPr>
      </w:pPr>
      <w:r>
        <w:rPr>
          <w:rFonts w:hint="eastAsia" w:ascii="宋体" w:hAnsi="宋体" w:cs="宋体"/>
          <w:sz w:val="24"/>
        </w:rPr>
        <w:t>我们保证：</w:t>
      </w:r>
    </w:p>
    <w:p>
      <w:pPr>
        <w:ind w:firstLine="480" w:firstLineChars="200"/>
        <w:jc w:val="left"/>
        <w:rPr>
          <w:rFonts w:ascii="宋体" w:hAnsi="宋体" w:cs="宋体"/>
          <w:sz w:val="24"/>
        </w:rPr>
      </w:pPr>
      <w:r>
        <w:rPr>
          <w:rFonts w:hint="eastAsia" w:ascii="宋体" w:hAnsi="宋体" w:cs="宋体"/>
          <w:sz w:val="24"/>
        </w:rPr>
        <w:t>(1)不提供虚假材料谋取成交；</w:t>
      </w:r>
    </w:p>
    <w:p>
      <w:pPr>
        <w:ind w:firstLine="480" w:firstLineChars="200"/>
        <w:jc w:val="left"/>
        <w:rPr>
          <w:rFonts w:ascii="宋体" w:hAnsi="宋体" w:cs="宋体"/>
          <w:sz w:val="24"/>
        </w:rPr>
      </w:pPr>
      <w:r>
        <w:rPr>
          <w:rFonts w:hint="eastAsia" w:ascii="宋体" w:hAnsi="宋体" w:cs="宋体"/>
          <w:sz w:val="24"/>
        </w:rPr>
        <w:t>(2)不以不正当手段抵毁、排挤其他供应商；</w:t>
      </w:r>
    </w:p>
    <w:p>
      <w:pPr>
        <w:ind w:firstLine="480" w:firstLineChars="200"/>
        <w:jc w:val="left"/>
        <w:rPr>
          <w:rFonts w:ascii="宋体" w:hAnsi="宋体" w:cs="宋体"/>
          <w:sz w:val="24"/>
        </w:rPr>
      </w:pPr>
      <w:r>
        <w:rPr>
          <w:rFonts w:hint="eastAsia" w:ascii="宋体" w:hAnsi="宋体" w:cs="宋体"/>
          <w:sz w:val="24"/>
        </w:rPr>
        <w:t>(3)不与采购人和其它供应商恶意串通；</w:t>
      </w:r>
    </w:p>
    <w:p>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pPr>
        <w:ind w:firstLine="480" w:firstLineChars="200"/>
        <w:jc w:val="left"/>
        <w:rPr>
          <w:rFonts w:ascii="宋体" w:hAnsi="宋体" w:cs="宋体"/>
          <w:sz w:val="24"/>
        </w:rPr>
      </w:pPr>
      <w:r>
        <w:rPr>
          <w:rFonts w:hint="eastAsia" w:ascii="宋体" w:hAnsi="宋体" w:cs="宋体"/>
          <w:sz w:val="24"/>
        </w:rPr>
        <w:t>(5)不拒绝有关部门监督检查或提供虚假情况。</w:t>
      </w:r>
    </w:p>
    <w:p>
      <w:pPr>
        <w:spacing w:line="560" w:lineRule="exact"/>
        <w:jc w:val="left"/>
        <w:rPr>
          <w:rFonts w:ascii="宋体" w:hAnsi="宋体" w:cs="宋体"/>
          <w:sz w:val="24"/>
        </w:rPr>
      </w:pPr>
    </w:p>
    <w:p>
      <w:pPr>
        <w:spacing w:line="560" w:lineRule="exact"/>
        <w:jc w:val="left"/>
        <w:rPr>
          <w:rFonts w:hint="default" w:ascii="宋体" w:hAnsi="宋体" w:eastAsia="宋体" w:cs="宋体"/>
          <w:sz w:val="24"/>
          <w:lang w:val="en-US" w:eastAsia="zh-CN"/>
        </w:rPr>
      </w:pPr>
      <w:r>
        <w:rPr>
          <w:rFonts w:hint="eastAsia" w:ascii="宋体" w:hAnsi="宋体" w:cs="宋体"/>
          <w:sz w:val="24"/>
          <w:lang w:val="en-US" w:eastAsia="zh-CN"/>
        </w:rPr>
        <w:t xml:space="preserve">     联系人：              联系电话：</w:t>
      </w: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left"/>
        <w:outlineLvl w:val="9"/>
        <w:rPr>
          <w:rFonts w:ascii="宋体" w:hAnsi="宋体" w:cs="宋体"/>
          <w:sz w:val="24"/>
        </w:rPr>
      </w:pPr>
      <w:r>
        <w:rPr>
          <w:rFonts w:hint="eastAsia" w:ascii="宋体" w:hAnsi="宋体" w:cs="宋体"/>
          <w:sz w:val="24"/>
        </w:rPr>
        <w:br w:type="page"/>
      </w:r>
      <w:r>
        <w:rPr>
          <w:rFonts w:hint="eastAsia" w:ascii="宋体" w:hAnsi="宋体" w:cs="宋体"/>
          <w:sz w:val="24"/>
        </w:rPr>
        <w:t>格式4</w:t>
      </w:r>
    </w:p>
    <w:p>
      <w:pPr>
        <w:jc w:val="center"/>
        <w:outlineLvl w:val="9"/>
        <w:rPr>
          <w:rFonts w:ascii="宋体" w:hAnsi="宋体" w:cs="宋体"/>
          <w:b w:val="0"/>
          <w:sz w:val="24"/>
          <w:szCs w:val="24"/>
        </w:rPr>
      </w:pPr>
      <w:bookmarkStart w:id="59" w:name="_Toc495414231"/>
      <w:bookmarkStart w:id="60" w:name="_Toc197934561"/>
      <w:r>
        <w:rPr>
          <w:rFonts w:hint="eastAsia" w:ascii="宋体" w:hAnsi="宋体" w:cs="宋体"/>
          <w:b w:val="0"/>
          <w:sz w:val="24"/>
          <w:szCs w:val="24"/>
        </w:rPr>
        <w:t>一．报价一览表</w:t>
      </w:r>
      <w:bookmarkEnd w:id="59"/>
      <w:bookmarkEnd w:id="60"/>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1111"/>
        <w:gridCol w:w="1739"/>
        <w:gridCol w:w="1410"/>
        <w:gridCol w:w="2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outlineLvl w:val="9"/>
              <w:rPr>
                <w:rFonts w:ascii="宋体" w:hAnsi="宋体" w:cs="宋体"/>
                <w:sz w:val="24"/>
              </w:rPr>
            </w:pPr>
            <w:r>
              <w:rPr>
                <w:rFonts w:hint="eastAsia" w:ascii="宋体" w:hAnsi="宋体" w:cs="宋体"/>
                <w:sz w:val="24"/>
              </w:rPr>
              <w:t>项目名称</w:t>
            </w:r>
          </w:p>
        </w:tc>
        <w:tc>
          <w:tcPr>
            <w:tcW w:w="6667" w:type="dxa"/>
            <w:gridSpan w:val="4"/>
            <w:tcBorders>
              <w:top w:val="single" w:color="auto" w:sz="4" w:space="0"/>
              <w:bottom w:val="single" w:color="auto" w:sz="4" w:space="0"/>
              <w:right w:val="single" w:color="auto" w:sz="4" w:space="0"/>
            </w:tcBorders>
            <w:vAlign w:val="center"/>
          </w:tcPr>
          <w:p>
            <w:pPr>
              <w:spacing w:line="360" w:lineRule="exact"/>
              <w:jc w:val="center"/>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outlineLvl w:val="9"/>
              <w:rPr>
                <w:rFonts w:ascii="宋体" w:hAnsi="宋体" w:cs="宋体"/>
                <w:sz w:val="24"/>
              </w:rPr>
            </w:pPr>
            <w:r>
              <w:rPr>
                <w:rFonts w:hint="eastAsia" w:ascii="宋体" w:hAnsi="宋体" w:cs="宋体"/>
                <w:sz w:val="24"/>
              </w:rPr>
              <w:t>投标人全称</w:t>
            </w:r>
          </w:p>
        </w:tc>
        <w:tc>
          <w:tcPr>
            <w:tcW w:w="6667" w:type="dxa"/>
            <w:gridSpan w:val="4"/>
            <w:tcBorders>
              <w:top w:val="nil"/>
            </w:tcBorders>
            <w:vAlign w:val="center"/>
          </w:tcPr>
          <w:p>
            <w:pPr>
              <w:spacing w:line="360" w:lineRule="auto"/>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outlineLvl w:val="9"/>
              <w:rPr>
                <w:rFonts w:hint="default" w:ascii="宋体" w:hAnsi="宋体" w:eastAsia="宋体" w:cs="宋体"/>
                <w:sz w:val="24"/>
                <w:lang w:val="en-US" w:eastAsia="zh-CN"/>
              </w:rPr>
            </w:pPr>
            <w:r>
              <w:rPr>
                <w:rFonts w:hint="eastAsia" w:ascii="宋体" w:hAnsi="宋体" w:cs="宋体"/>
                <w:sz w:val="24"/>
                <w:lang w:val="en-US" w:eastAsia="zh-CN"/>
              </w:rPr>
              <w:t>拟派项目负责人</w:t>
            </w:r>
          </w:p>
        </w:tc>
        <w:tc>
          <w:tcPr>
            <w:tcW w:w="1111" w:type="dxa"/>
            <w:tcBorders>
              <w:top w:val="nil"/>
            </w:tcBorders>
            <w:vAlign w:val="center"/>
          </w:tcPr>
          <w:p>
            <w:pPr>
              <w:spacing w:line="360" w:lineRule="auto"/>
              <w:ind w:right="-670"/>
              <w:jc w:val="both"/>
              <w:outlineLvl w:val="9"/>
              <w:rPr>
                <w:rFonts w:hint="eastAsia" w:ascii="宋体" w:hAnsi="宋体" w:eastAsia="宋体" w:cs="宋体"/>
                <w:sz w:val="24"/>
                <w:lang w:val="en-US" w:eastAsia="zh-CN"/>
              </w:rPr>
            </w:pPr>
            <w:r>
              <w:rPr>
                <w:rFonts w:hint="eastAsia" w:ascii="宋体" w:hAnsi="宋体" w:cs="宋体"/>
                <w:sz w:val="24"/>
                <w:lang w:val="en-US" w:eastAsia="zh-CN"/>
              </w:rPr>
              <w:t>姓名</w:t>
            </w:r>
          </w:p>
        </w:tc>
        <w:tc>
          <w:tcPr>
            <w:tcW w:w="1739" w:type="dxa"/>
            <w:tcBorders>
              <w:top w:val="nil"/>
            </w:tcBorders>
            <w:vAlign w:val="center"/>
          </w:tcPr>
          <w:p>
            <w:pPr>
              <w:spacing w:line="360" w:lineRule="auto"/>
              <w:ind w:right="-670"/>
              <w:jc w:val="center"/>
              <w:outlineLvl w:val="9"/>
              <w:rPr>
                <w:rFonts w:hint="eastAsia" w:ascii="宋体" w:hAnsi="宋体" w:cs="宋体"/>
                <w:sz w:val="24"/>
              </w:rPr>
            </w:pPr>
          </w:p>
        </w:tc>
        <w:tc>
          <w:tcPr>
            <w:tcW w:w="1410" w:type="dxa"/>
            <w:tcBorders>
              <w:top w:val="nil"/>
            </w:tcBorders>
            <w:vAlign w:val="center"/>
          </w:tcPr>
          <w:p>
            <w:pPr>
              <w:spacing w:line="360" w:lineRule="auto"/>
              <w:ind w:right="-670"/>
              <w:jc w:val="both"/>
              <w:outlineLvl w:val="9"/>
              <w:rPr>
                <w:rFonts w:hint="default" w:ascii="宋体" w:hAnsi="宋体" w:eastAsia="宋体" w:cs="宋体"/>
                <w:sz w:val="24"/>
                <w:lang w:val="en-US" w:eastAsia="zh-CN"/>
              </w:rPr>
            </w:pPr>
            <w:r>
              <w:rPr>
                <w:rFonts w:hint="eastAsia" w:ascii="宋体" w:hAnsi="宋体" w:cs="宋体"/>
                <w:sz w:val="24"/>
                <w:lang w:val="en-US" w:eastAsia="zh-CN"/>
              </w:rPr>
              <w:t>身份证号码</w:t>
            </w:r>
          </w:p>
        </w:tc>
        <w:tc>
          <w:tcPr>
            <w:tcW w:w="2407" w:type="dxa"/>
            <w:tcBorders>
              <w:top w:val="nil"/>
            </w:tcBorders>
            <w:vAlign w:val="center"/>
          </w:tcPr>
          <w:p>
            <w:pPr>
              <w:spacing w:line="360" w:lineRule="auto"/>
              <w:ind w:right="-670"/>
              <w:jc w:val="center"/>
              <w:outlineLvl w:val="9"/>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outlineLvl w:val="9"/>
              <w:rPr>
                <w:rFonts w:ascii="宋体" w:hAnsi="宋体" w:cs="宋体"/>
                <w:sz w:val="24"/>
              </w:rPr>
            </w:pPr>
            <w:r>
              <w:rPr>
                <w:rFonts w:hint="eastAsia" w:ascii="宋体" w:hAnsi="宋体" w:cs="宋体"/>
                <w:sz w:val="24"/>
              </w:rPr>
              <w:t>最终投标报价（包：）</w:t>
            </w:r>
          </w:p>
          <w:p>
            <w:pPr>
              <w:spacing w:line="360" w:lineRule="exact"/>
              <w:jc w:val="center"/>
              <w:outlineLvl w:val="9"/>
              <w:rPr>
                <w:rFonts w:ascii="宋体" w:hAnsi="宋体" w:cs="宋体"/>
                <w:sz w:val="24"/>
              </w:rPr>
            </w:pPr>
            <w:r>
              <w:rPr>
                <w:rFonts w:hint="eastAsia" w:ascii="宋体" w:hAnsi="宋体" w:cs="宋体"/>
                <w:sz w:val="24"/>
              </w:rPr>
              <w:t>（人民币）</w:t>
            </w:r>
          </w:p>
        </w:tc>
        <w:tc>
          <w:tcPr>
            <w:tcW w:w="6667" w:type="dxa"/>
            <w:gridSpan w:val="4"/>
            <w:tcBorders>
              <w:top w:val="nil"/>
            </w:tcBorders>
            <w:vAlign w:val="center"/>
          </w:tcPr>
          <w:p>
            <w:pPr>
              <w:spacing w:line="360" w:lineRule="auto"/>
              <w:ind w:right="-670"/>
              <w:outlineLvl w:val="9"/>
              <w:rPr>
                <w:rFonts w:ascii="宋体" w:hAnsi="宋体" w:cs="宋体"/>
                <w:sz w:val="24"/>
              </w:rPr>
            </w:pPr>
            <w:r>
              <w:rPr>
                <w:rFonts w:hint="eastAsia" w:ascii="宋体" w:hAnsi="宋体" w:cs="宋体"/>
                <w:sz w:val="24"/>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outlineLvl w:val="9"/>
              <w:rPr>
                <w:rFonts w:ascii="宋体" w:hAnsi="宋体" w:cs="宋体"/>
                <w:sz w:val="24"/>
              </w:rPr>
            </w:pPr>
            <w:r>
              <w:rPr>
                <w:rFonts w:hint="eastAsia" w:ascii="宋体" w:hAnsi="宋体" w:cs="宋体"/>
                <w:sz w:val="24"/>
              </w:rPr>
              <w:t>备注</w:t>
            </w:r>
          </w:p>
        </w:tc>
        <w:tc>
          <w:tcPr>
            <w:tcW w:w="6667" w:type="dxa"/>
            <w:gridSpan w:val="4"/>
            <w:tcBorders>
              <w:top w:val="nil"/>
            </w:tcBorders>
            <w:vAlign w:val="center"/>
          </w:tcPr>
          <w:p>
            <w:pPr>
              <w:spacing w:line="360" w:lineRule="auto"/>
              <w:jc w:val="left"/>
              <w:outlineLvl w:val="9"/>
              <w:rPr>
                <w:rFonts w:ascii="宋体" w:hAnsi="宋体" w:cs="宋体"/>
                <w:sz w:val="24"/>
              </w:rPr>
            </w:pPr>
          </w:p>
        </w:tc>
      </w:tr>
    </w:tbl>
    <w:p>
      <w:pPr>
        <w:spacing w:line="360" w:lineRule="auto"/>
        <w:ind w:firstLine="3840" w:firstLineChars="1600"/>
        <w:outlineLvl w:val="9"/>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60" w:lineRule="auto"/>
        <w:outlineLvl w:val="9"/>
        <w:rPr>
          <w:rFonts w:hint="eastAsia" w:ascii="宋体" w:hAnsi="宋体" w:eastAsia="宋体" w:cs="宋体"/>
          <w:sz w:val="24"/>
          <w:lang w:eastAsia="zh-CN"/>
        </w:rPr>
      </w:pPr>
      <w:r>
        <w:rPr>
          <w:rFonts w:hint="eastAsia" w:ascii="宋体" w:hAnsi="宋体" w:cs="宋体"/>
          <w:sz w:val="24"/>
        </w:rPr>
        <w:t>备注：</w:t>
      </w:r>
    </w:p>
    <w:p>
      <w:pPr>
        <w:spacing w:line="360" w:lineRule="auto"/>
        <w:outlineLvl w:val="1"/>
        <w:rPr>
          <w:rFonts w:ascii="宋体" w:hAnsi="宋体" w:cs="宋体"/>
          <w:sz w:val="24"/>
        </w:rPr>
      </w:pPr>
      <w:bookmarkStart w:id="61" w:name="_Toc4561"/>
      <w:r>
        <w:rPr>
          <w:rFonts w:hint="eastAsia" w:ascii="宋体" w:hAnsi="宋体" w:cs="宋体"/>
          <w:sz w:val="24"/>
        </w:rPr>
        <w:t>1、此表用于开标会唱标之用。</w:t>
      </w:r>
      <w:bookmarkEnd w:id="61"/>
    </w:p>
    <w:p>
      <w:pPr>
        <w:spacing w:line="360" w:lineRule="auto"/>
        <w:outlineLvl w:val="9"/>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pPr>
        <w:spacing w:line="360" w:lineRule="auto"/>
        <w:jc w:val="left"/>
        <w:outlineLvl w:val="9"/>
        <w:rPr>
          <w:rFonts w:ascii="宋体" w:hAnsi="宋体" w:cs="宋体"/>
          <w:sz w:val="24"/>
        </w:rPr>
      </w:pPr>
      <w:bookmarkStart w:id="62" w:name="_Toc495414234"/>
      <w:bookmarkStart w:id="63" w:name="_Toc220232409"/>
    </w:p>
    <w:p>
      <w:pPr>
        <w:pStyle w:val="35"/>
        <w:ind w:firstLine="240"/>
        <w:outlineLvl w:val="9"/>
        <w:rPr>
          <w:rFonts w:ascii="宋体" w:hAnsi="宋体" w:cs="宋体"/>
          <w:sz w:val="24"/>
        </w:rPr>
      </w:pPr>
    </w:p>
    <w:p>
      <w:pPr>
        <w:pStyle w:val="35"/>
        <w:ind w:firstLine="240"/>
        <w:outlineLvl w:val="9"/>
        <w:rPr>
          <w:rFonts w:ascii="宋体" w:hAnsi="宋体" w:cs="宋体"/>
          <w:sz w:val="24"/>
        </w:rPr>
      </w:pPr>
    </w:p>
    <w:p>
      <w:pPr>
        <w:pStyle w:val="35"/>
        <w:ind w:firstLine="240"/>
        <w:outlineLvl w:val="9"/>
        <w:rPr>
          <w:rFonts w:ascii="宋体" w:hAnsi="宋体" w:cs="宋体"/>
          <w:sz w:val="24"/>
        </w:rPr>
      </w:pPr>
    </w:p>
    <w:p>
      <w:pPr>
        <w:pStyle w:val="35"/>
        <w:ind w:firstLine="240"/>
        <w:outlineLvl w:val="9"/>
        <w:rPr>
          <w:rFonts w:ascii="宋体" w:hAnsi="宋体" w:cs="宋体"/>
          <w:sz w:val="24"/>
        </w:rPr>
      </w:pPr>
    </w:p>
    <w:p>
      <w:pPr>
        <w:pStyle w:val="35"/>
        <w:ind w:firstLine="240"/>
        <w:outlineLvl w:val="9"/>
        <w:rPr>
          <w:rFonts w:ascii="宋体" w:hAnsi="宋体" w:cs="宋体"/>
          <w:sz w:val="24"/>
        </w:rPr>
      </w:pPr>
    </w:p>
    <w:p>
      <w:pPr>
        <w:pStyle w:val="35"/>
        <w:ind w:firstLine="240"/>
        <w:outlineLvl w:val="9"/>
        <w:rPr>
          <w:rFonts w:ascii="宋体" w:hAnsi="宋体" w:cs="宋体"/>
          <w:sz w:val="24"/>
        </w:rPr>
      </w:pPr>
    </w:p>
    <w:p>
      <w:pPr>
        <w:spacing w:line="360" w:lineRule="auto"/>
        <w:jc w:val="left"/>
        <w:outlineLvl w:val="9"/>
        <w:rPr>
          <w:rFonts w:ascii="宋体" w:hAnsi="宋体" w:cs="宋体"/>
          <w:sz w:val="24"/>
        </w:rPr>
      </w:pPr>
    </w:p>
    <w:p>
      <w:pPr>
        <w:rPr>
          <w:rFonts w:hint="eastAsia" w:ascii="宋体" w:hAnsi="宋体" w:cs="宋体"/>
          <w:sz w:val="24"/>
        </w:rPr>
      </w:pPr>
    </w:p>
    <w:p>
      <w:pPr>
        <w:spacing w:line="360" w:lineRule="auto"/>
        <w:jc w:val="left"/>
        <w:outlineLvl w:val="9"/>
        <w:rPr>
          <w:rFonts w:ascii="宋体" w:hAnsi="宋体" w:cs="宋体"/>
          <w:sz w:val="24"/>
        </w:rPr>
      </w:pPr>
      <w:r>
        <w:rPr>
          <w:rFonts w:hint="eastAsia" w:ascii="宋体" w:hAnsi="宋体" w:cs="宋体"/>
          <w:sz w:val="24"/>
        </w:rPr>
        <w:t>格式5</w:t>
      </w:r>
    </w:p>
    <w:p>
      <w:pPr>
        <w:jc w:val="center"/>
        <w:outlineLvl w:val="9"/>
        <w:rPr>
          <w:rFonts w:ascii="宋体" w:hAnsi="宋体" w:cs="宋体"/>
          <w:b w:val="0"/>
          <w:sz w:val="24"/>
          <w:szCs w:val="24"/>
        </w:rPr>
      </w:pPr>
      <w:r>
        <w:rPr>
          <w:rFonts w:hint="eastAsia" w:ascii="宋体" w:hAnsi="宋体" w:cs="宋体"/>
          <w:b w:val="0"/>
          <w:sz w:val="24"/>
          <w:szCs w:val="24"/>
        </w:rPr>
        <w:t>投标分项报价表</w:t>
      </w:r>
      <w:bookmarkEnd w:id="62"/>
      <w:bookmarkEnd w:id="63"/>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59"/>
              <w:widowControl w:val="0"/>
              <w:spacing w:before="0" w:beforeAutospacing="0" w:after="0" w:afterAutospacing="0" w:line="340" w:lineRule="exact"/>
              <w:outlineLvl w:val="9"/>
              <w:rPr>
                <w:rFonts w:cs="宋体"/>
                <w:b w:val="0"/>
                <w:bCs w:val="0"/>
                <w:kern w:val="2"/>
                <w:sz w:val="24"/>
                <w:szCs w:val="24"/>
              </w:rPr>
            </w:pPr>
            <w:r>
              <w:rPr>
                <w:rFonts w:hint="eastAsia" w:cs="宋体"/>
                <w:b w:val="0"/>
                <w:bCs w:val="0"/>
                <w:kern w:val="2"/>
                <w:sz w:val="24"/>
                <w:szCs w:val="24"/>
              </w:rPr>
              <w:t>序号</w:t>
            </w:r>
          </w:p>
        </w:tc>
        <w:tc>
          <w:tcPr>
            <w:tcW w:w="2205" w:type="dxa"/>
            <w:vAlign w:val="center"/>
          </w:tcPr>
          <w:p>
            <w:pPr>
              <w:spacing w:line="340" w:lineRule="exact"/>
              <w:jc w:val="center"/>
              <w:outlineLvl w:val="9"/>
              <w:rPr>
                <w:rFonts w:ascii="宋体" w:hAnsi="宋体" w:cs="宋体"/>
                <w:sz w:val="24"/>
              </w:rPr>
            </w:pPr>
            <w:r>
              <w:rPr>
                <w:rFonts w:hint="eastAsia" w:ascii="宋体" w:hAnsi="宋体" w:cs="宋体"/>
                <w:sz w:val="24"/>
              </w:rPr>
              <w:t>服务项目名称</w:t>
            </w:r>
          </w:p>
        </w:tc>
        <w:tc>
          <w:tcPr>
            <w:tcW w:w="957" w:type="dxa"/>
            <w:vAlign w:val="center"/>
          </w:tcPr>
          <w:p>
            <w:pPr>
              <w:spacing w:line="340" w:lineRule="exact"/>
              <w:jc w:val="center"/>
              <w:outlineLvl w:val="9"/>
              <w:rPr>
                <w:rFonts w:ascii="宋体" w:hAnsi="宋体" w:cs="宋体"/>
                <w:sz w:val="24"/>
              </w:rPr>
            </w:pPr>
            <w:r>
              <w:rPr>
                <w:rFonts w:hint="eastAsia" w:ascii="宋体" w:hAnsi="宋体" w:cs="宋体"/>
                <w:sz w:val="24"/>
              </w:rPr>
              <w:t>单位</w:t>
            </w:r>
          </w:p>
        </w:tc>
        <w:tc>
          <w:tcPr>
            <w:tcW w:w="840" w:type="dxa"/>
            <w:vAlign w:val="center"/>
          </w:tcPr>
          <w:p>
            <w:pPr>
              <w:spacing w:line="340" w:lineRule="exact"/>
              <w:jc w:val="center"/>
              <w:outlineLvl w:val="9"/>
              <w:rPr>
                <w:rFonts w:ascii="宋体" w:hAnsi="宋体" w:cs="宋体"/>
                <w:sz w:val="24"/>
              </w:rPr>
            </w:pPr>
            <w:r>
              <w:rPr>
                <w:rFonts w:hint="eastAsia" w:ascii="宋体" w:hAnsi="宋体" w:cs="宋体"/>
                <w:sz w:val="24"/>
              </w:rPr>
              <w:t>数量</w:t>
            </w:r>
          </w:p>
        </w:tc>
        <w:tc>
          <w:tcPr>
            <w:tcW w:w="1260" w:type="dxa"/>
            <w:vAlign w:val="center"/>
          </w:tcPr>
          <w:p>
            <w:pPr>
              <w:spacing w:line="340" w:lineRule="exact"/>
              <w:jc w:val="center"/>
              <w:outlineLvl w:val="9"/>
              <w:rPr>
                <w:rFonts w:ascii="宋体" w:hAnsi="宋体" w:cs="宋体"/>
                <w:sz w:val="24"/>
              </w:rPr>
            </w:pPr>
            <w:r>
              <w:rPr>
                <w:rFonts w:hint="eastAsia" w:ascii="宋体" w:hAnsi="宋体" w:cs="宋体"/>
                <w:sz w:val="24"/>
              </w:rPr>
              <w:t>单价</w:t>
            </w:r>
          </w:p>
        </w:tc>
        <w:tc>
          <w:tcPr>
            <w:tcW w:w="1340" w:type="dxa"/>
            <w:vAlign w:val="center"/>
          </w:tcPr>
          <w:p>
            <w:pPr>
              <w:spacing w:line="340" w:lineRule="exact"/>
              <w:jc w:val="center"/>
              <w:outlineLvl w:val="9"/>
              <w:rPr>
                <w:rFonts w:ascii="宋体" w:hAnsi="宋体" w:cs="宋体"/>
                <w:sz w:val="24"/>
              </w:rPr>
            </w:pPr>
            <w:r>
              <w:rPr>
                <w:rFonts w:hint="eastAsia" w:ascii="宋体" w:hAnsi="宋体" w:cs="宋体"/>
                <w:bCs/>
                <w:sz w:val="24"/>
              </w:rPr>
              <w:t>小计</w:t>
            </w:r>
          </w:p>
        </w:tc>
        <w:tc>
          <w:tcPr>
            <w:tcW w:w="1347" w:type="dxa"/>
            <w:vAlign w:val="center"/>
          </w:tcPr>
          <w:p>
            <w:pPr>
              <w:spacing w:line="340" w:lineRule="exact"/>
              <w:jc w:val="center"/>
              <w:outlineLvl w:val="9"/>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40" w:lineRule="exact"/>
              <w:jc w:val="center"/>
              <w:outlineLvl w:val="9"/>
              <w:rPr>
                <w:rFonts w:ascii="宋体" w:hAnsi="宋体" w:cs="宋体"/>
                <w:sz w:val="24"/>
              </w:rPr>
            </w:pPr>
            <w:r>
              <w:rPr>
                <w:rFonts w:hint="eastAsia" w:ascii="宋体" w:hAnsi="宋体" w:cs="宋体"/>
                <w:sz w:val="24"/>
              </w:rPr>
              <w:t>1</w:t>
            </w:r>
          </w:p>
        </w:tc>
        <w:tc>
          <w:tcPr>
            <w:tcW w:w="2205" w:type="dxa"/>
          </w:tcPr>
          <w:p>
            <w:pPr>
              <w:spacing w:line="340" w:lineRule="exact"/>
              <w:outlineLvl w:val="9"/>
              <w:rPr>
                <w:rFonts w:ascii="宋体" w:hAnsi="宋体" w:cs="宋体"/>
                <w:sz w:val="24"/>
              </w:rPr>
            </w:pP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outlineLvl w:val="9"/>
              <w:rPr>
                <w:rFonts w:ascii="宋体" w:hAnsi="宋体" w:cs="宋体"/>
                <w:sz w:val="24"/>
              </w:rPr>
            </w:pPr>
            <w:r>
              <w:rPr>
                <w:rFonts w:hint="eastAsia" w:ascii="宋体" w:hAnsi="宋体" w:cs="宋体"/>
                <w:sz w:val="24"/>
              </w:rPr>
              <w:t>2</w:t>
            </w:r>
          </w:p>
        </w:tc>
        <w:tc>
          <w:tcPr>
            <w:tcW w:w="2205" w:type="dxa"/>
          </w:tcPr>
          <w:p>
            <w:pPr>
              <w:spacing w:line="340" w:lineRule="exact"/>
              <w:outlineLvl w:val="9"/>
              <w:rPr>
                <w:rFonts w:ascii="宋体" w:hAnsi="宋体" w:cs="宋体"/>
                <w:sz w:val="24"/>
              </w:rPr>
            </w:pP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outlineLvl w:val="9"/>
              <w:rPr>
                <w:rFonts w:ascii="宋体" w:hAnsi="宋体" w:cs="宋体"/>
                <w:sz w:val="24"/>
              </w:rPr>
            </w:pPr>
            <w:r>
              <w:rPr>
                <w:rFonts w:hint="eastAsia" w:ascii="宋体" w:hAnsi="宋体" w:cs="宋体"/>
                <w:sz w:val="24"/>
              </w:rPr>
              <w:t>3</w:t>
            </w:r>
          </w:p>
        </w:tc>
        <w:tc>
          <w:tcPr>
            <w:tcW w:w="2205" w:type="dxa"/>
          </w:tcPr>
          <w:p>
            <w:pPr>
              <w:spacing w:line="340" w:lineRule="exact"/>
              <w:outlineLvl w:val="9"/>
              <w:rPr>
                <w:rFonts w:ascii="宋体" w:hAnsi="宋体" w:cs="宋体"/>
                <w:sz w:val="24"/>
              </w:rPr>
            </w:pP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outlineLvl w:val="9"/>
              <w:rPr>
                <w:rFonts w:ascii="宋体" w:hAnsi="宋体" w:cs="宋体"/>
                <w:sz w:val="24"/>
              </w:rPr>
            </w:pPr>
            <w:r>
              <w:rPr>
                <w:rFonts w:hint="eastAsia" w:ascii="宋体" w:hAnsi="宋体" w:cs="宋体"/>
                <w:sz w:val="24"/>
              </w:rPr>
              <w:t>4</w:t>
            </w:r>
          </w:p>
        </w:tc>
        <w:tc>
          <w:tcPr>
            <w:tcW w:w="2205" w:type="dxa"/>
          </w:tcPr>
          <w:p>
            <w:pPr>
              <w:spacing w:line="340" w:lineRule="exact"/>
              <w:outlineLvl w:val="9"/>
              <w:rPr>
                <w:rFonts w:ascii="宋体" w:hAnsi="宋体" w:cs="宋体"/>
                <w:sz w:val="24"/>
              </w:rPr>
            </w:pP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outlineLvl w:val="9"/>
              <w:rPr>
                <w:rFonts w:ascii="宋体" w:hAnsi="宋体" w:cs="宋体"/>
                <w:sz w:val="24"/>
              </w:rPr>
            </w:pPr>
            <w:r>
              <w:rPr>
                <w:rFonts w:hint="eastAsia" w:ascii="宋体" w:hAnsi="宋体" w:cs="宋体"/>
                <w:sz w:val="24"/>
              </w:rPr>
              <w:t>5</w:t>
            </w:r>
          </w:p>
        </w:tc>
        <w:tc>
          <w:tcPr>
            <w:tcW w:w="2205" w:type="dxa"/>
          </w:tcPr>
          <w:p>
            <w:pPr>
              <w:spacing w:line="340" w:lineRule="exact"/>
              <w:outlineLvl w:val="9"/>
              <w:rPr>
                <w:rFonts w:ascii="宋体" w:hAnsi="宋体" w:cs="宋体"/>
                <w:sz w:val="24"/>
              </w:rPr>
            </w:pP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outlineLvl w:val="9"/>
              <w:rPr>
                <w:rFonts w:ascii="宋体" w:hAnsi="宋体" w:cs="宋体"/>
                <w:sz w:val="24"/>
              </w:rPr>
            </w:pPr>
            <w:r>
              <w:rPr>
                <w:rFonts w:hint="eastAsia" w:ascii="宋体" w:hAnsi="宋体" w:cs="宋体"/>
                <w:sz w:val="24"/>
              </w:rPr>
              <w:t>6</w:t>
            </w:r>
          </w:p>
        </w:tc>
        <w:tc>
          <w:tcPr>
            <w:tcW w:w="2205" w:type="dxa"/>
          </w:tcPr>
          <w:p>
            <w:pPr>
              <w:spacing w:line="340" w:lineRule="exact"/>
              <w:outlineLvl w:val="9"/>
              <w:rPr>
                <w:rFonts w:ascii="宋体" w:hAnsi="宋体" w:cs="宋体"/>
                <w:sz w:val="24"/>
              </w:rPr>
            </w:pP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outlineLvl w:val="9"/>
              <w:rPr>
                <w:rFonts w:ascii="宋体" w:hAnsi="宋体" w:cs="宋体"/>
                <w:sz w:val="24"/>
              </w:rPr>
            </w:pPr>
            <w:r>
              <w:rPr>
                <w:rFonts w:hint="eastAsia" w:ascii="宋体" w:hAnsi="宋体" w:cs="宋体"/>
                <w:sz w:val="24"/>
              </w:rPr>
              <w:t>7</w:t>
            </w:r>
          </w:p>
        </w:tc>
        <w:tc>
          <w:tcPr>
            <w:tcW w:w="2205" w:type="dxa"/>
          </w:tcPr>
          <w:p>
            <w:pPr>
              <w:spacing w:line="340" w:lineRule="exact"/>
              <w:outlineLvl w:val="9"/>
              <w:rPr>
                <w:rFonts w:ascii="宋体" w:hAnsi="宋体" w:cs="宋体"/>
                <w:sz w:val="24"/>
              </w:rPr>
            </w:pP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outlineLvl w:val="9"/>
              <w:rPr>
                <w:rFonts w:ascii="宋体" w:hAnsi="宋体" w:cs="宋体"/>
                <w:sz w:val="24"/>
              </w:rPr>
            </w:pPr>
            <w:r>
              <w:rPr>
                <w:rFonts w:hint="eastAsia" w:ascii="宋体" w:hAnsi="宋体" w:cs="宋体"/>
                <w:sz w:val="24"/>
              </w:rPr>
              <w:t>8</w:t>
            </w:r>
          </w:p>
        </w:tc>
        <w:tc>
          <w:tcPr>
            <w:tcW w:w="2205" w:type="dxa"/>
          </w:tcPr>
          <w:p>
            <w:pPr>
              <w:spacing w:line="340" w:lineRule="exact"/>
              <w:outlineLvl w:val="9"/>
              <w:rPr>
                <w:rFonts w:ascii="宋体" w:hAnsi="宋体" w:cs="宋体"/>
                <w:sz w:val="24"/>
              </w:rPr>
            </w:pP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outlineLvl w:val="9"/>
              <w:rPr>
                <w:rFonts w:ascii="宋体" w:hAnsi="宋体" w:cs="宋体"/>
                <w:sz w:val="24"/>
              </w:rPr>
            </w:pPr>
            <w:r>
              <w:rPr>
                <w:rFonts w:hint="eastAsia" w:ascii="宋体" w:hAnsi="宋体" w:cs="宋体"/>
                <w:sz w:val="24"/>
              </w:rPr>
              <w:t>9</w:t>
            </w:r>
          </w:p>
        </w:tc>
        <w:tc>
          <w:tcPr>
            <w:tcW w:w="2205" w:type="dxa"/>
          </w:tcPr>
          <w:p>
            <w:pPr>
              <w:spacing w:line="340" w:lineRule="exact"/>
              <w:outlineLvl w:val="9"/>
              <w:rPr>
                <w:rFonts w:ascii="宋体" w:hAnsi="宋体" w:cs="宋体"/>
                <w:sz w:val="24"/>
              </w:rPr>
            </w:pP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outlineLvl w:val="9"/>
              <w:rPr>
                <w:rFonts w:ascii="宋体" w:hAnsi="宋体" w:cs="宋体"/>
                <w:sz w:val="24"/>
              </w:rPr>
            </w:pPr>
            <w:r>
              <w:rPr>
                <w:rFonts w:hint="eastAsia" w:ascii="宋体" w:hAnsi="宋体" w:cs="宋体"/>
                <w:sz w:val="24"/>
              </w:rPr>
              <w:t>10</w:t>
            </w:r>
          </w:p>
        </w:tc>
        <w:tc>
          <w:tcPr>
            <w:tcW w:w="2205" w:type="dxa"/>
          </w:tcPr>
          <w:p>
            <w:pPr>
              <w:spacing w:line="340" w:lineRule="exact"/>
              <w:outlineLvl w:val="9"/>
              <w:rPr>
                <w:rFonts w:ascii="宋体" w:hAnsi="宋体" w:cs="宋体"/>
                <w:sz w:val="24"/>
              </w:rPr>
            </w:pP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outlineLvl w:val="9"/>
              <w:rPr>
                <w:rFonts w:ascii="宋体" w:hAnsi="宋体" w:cs="宋体"/>
                <w:sz w:val="24"/>
              </w:rPr>
            </w:pPr>
            <w:r>
              <w:rPr>
                <w:rFonts w:hint="eastAsia" w:ascii="宋体" w:hAnsi="宋体" w:cs="宋体"/>
                <w:sz w:val="24"/>
              </w:rPr>
              <w:t>11</w:t>
            </w:r>
          </w:p>
        </w:tc>
        <w:tc>
          <w:tcPr>
            <w:tcW w:w="2205" w:type="dxa"/>
          </w:tcPr>
          <w:p>
            <w:pPr>
              <w:spacing w:line="340" w:lineRule="exact"/>
              <w:outlineLvl w:val="9"/>
              <w:rPr>
                <w:rFonts w:ascii="宋体" w:hAnsi="宋体" w:cs="宋体"/>
                <w:sz w:val="24"/>
              </w:rPr>
            </w:pP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outlineLvl w:val="9"/>
              <w:rPr>
                <w:rFonts w:ascii="宋体" w:hAnsi="宋体" w:cs="宋体"/>
                <w:sz w:val="24"/>
              </w:rPr>
            </w:pPr>
            <w:r>
              <w:rPr>
                <w:rFonts w:hint="eastAsia" w:ascii="宋体" w:hAnsi="宋体" w:cs="宋体"/>
                <w:sz w:val="24"/>
              </w:rPr>
              <w:t>12</w:t>
            </w:r>
          </w:p>
        </w:tc>
        <w:tc>
          <w:tcPr>
            <w:tcW w:w="2205" w:type="dxa"/>
          </w:tcPr>
          <w:p>
            <w:pPr>
              <w:spacing w:line="340" w:lineRule="exact"/>
              <w:outlineLvl w:val="9"/>
              <w:rPr>
                <w:rFonts w:ascii="宋体" w:hAnsi="宋体" w:cs="宋体"/>
                <w:sz w:val="24"/>
              </w:rPr>
            </w:pP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outlineLvl w:val="9"/>
              <w:rPr>
                <w:rFonts w:ascii="宋体" w:hAnsi="宋体" w:cs="宋体"/>
                <w:sz w:val="24"/>
              </w:rPr>
            </w:pPr>
            <w:r>
              <w:rPr>
                <w:rFonts w:hint="eastAsia" w:ascii="宋体" w:hAnsi="宋体" w:cs="宋体"/>
                <w:sz w:val="24"/>
              </w:rPr>
              <w:t>13</w:t>
            </w:r>
          </w:p>
        </w:tc>
        <w:tc>
          <w:tcPr>
            <w:tcW w:w="2205" w:type="dxa"/>
          </w:tcPr>
          <w:p>
            <w:pPr>
              <w:spacing w:line="340" w:lineRule="exact"/>
              <w:outlineLvl w:val="9"/>
              <w:rPr>
                <w:rFonts w:ascii="宋体" w:hAnsi="宋体" w:cs="宋体"/>
                <w:sz w:val="24"/>
              </w:rPr>
            </w:pP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outlineLvl w:val="9"/>
              <w:rPr>
                <w:rFonts w:ascii="宋体" w:hAnsi="宋体" w:cs="宋体"/>
                <w:sz w:val="24"/>
              </w:rPr>
            </w:pPr>
          </w:p>
        </w:tc>
        <w:tc>
          <w:tcPr>
            <w:tcW w:w="2205" w:type="dxa"/>
            <w:vAlign w:val="center"/>
          </w:tcPr>
          <w:p>
            <w:pPr>
              <w:pStyle w:val="60"/>
              <w:spacing w:line="340" w:lineRule="exact"/>
              <w:outlineLvl w:val="9"/>
              <w:rPr>
                <w:rFonts w:ascii="宋体" w:hAnsi="宋体" w:cs="宋体"/>
                <w:szCs w:val="24"/>
              </w:rPr>
            </w:pPr>
            <w:r>
              <w:rPr>
                <w:rFonts w:hint="eastAsia" w:ascii="宋体" w:hAnsi="宋体" w:cs="宋体"/>
                <w:szCs w:val="24"/>
              </w:rPr>
              <w:t>其他费用</w:t>
            </w: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outlineLvl w:val="9"/>
              <w:rPr>
                <w:rFonts w:ascii="宋体" w:hAnsi="宋体" w:cs="宋体"/>
                <w:sz w:val="24"/>
              </w:rPr>
            </w:pPr>
          </w:p>
        </w:tc>
        <w:tc>
          <w:tcPr>
            <w:tcW w:w="2205" w:type="dxa"/>
          </w:tcPr>
          <w:p>
            <w:pPr>
              <w:spacing w:line="340" w:lineRule="exact"/>
              <w:outlineLvl w:val="9"/>
              <w:rPr>
                <w:rFonts w:ascii="宋体" w:hAnsi="宋体" w:cs="宋体"/>
                <w:sz w:val="24"/>
              </w:rPr>
            </w:pPr>
            <w:r>
              <w:rPr>
                <w:rFonts w:hint="eastAsia" w:ascii="宋体" w:hAnsi="宋体" w:cs="宋体"/>
                <w:sz w:val="24"/>
              </w:rPr>
              <w:t>…</w:t>
            </w: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outlineLvl w:val="9"/>
              <w:rPr>
                <w:rFonts w:ascii="宋体" w:hAnsi="宋体" w:cs="宋体"/>
                <w:sz w:val="24"/>
              </w:rPr>
            </w:pPr>
          </w:p>
        </w:tc>
        <w:tc>
          <w:tcPr>
            <w:tcW w:w="2205" w:type="dxa"/>
          </w:tcPr>
          <w:p>
            <w:pPr>
              <w:pStyle w:val="60"/>
              <w:spacing w:line="340" w:lineRule="exact"/>
              <w:outlineLvl w:val="9"/>
              <w:rPr>
                <w:rFonts w:ascii="宋体" w:hAnsi="宋体" w:cs="宋体"/>
                <w:szCs w:val="24"/>
              </w:rPr>
            </w:pPr>
            <w:r>
              <w:rPr>
                <w:rFonts w:hint="eastAsia" w:ascii="宋体" w:hAnsi="宋体" w:cs="宋体"/>
                <w:szCs w:val="24"/>
              </w:rPr>
              <w:t>…</w:t>
            </w: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outlineLvl w:val="9"/>
              <w:rPr>
                <w:rFonts w:ascii="宋体" w:hAnsi="宋体" w:cs="宋体"/>
                <w:sz w:val="24"/>
              </w:rPr>
            </w:pPr>
          </w:p>
        </w:tc>
        <w:tc>
          <w:tcPr>
            <w:tcW w:w="2205" w:type="dxa"/>
          </w:tcPr>
          <w:p>
            <w:pPr>
              <w:spacing w:line="340" w:lineRule="exact"/>
              <w:outlineLvl w:val="9"/>
              <w:rPr>
                <w:rFonts w:ascii="宋体" w:hAnsi="宋体" w:cs="宋体"/>
                <w:sz w:val="24"/>
              </w:rPr>
            </w:pPr>
            <w:r>
              <w:rPr>
                <w:rFonts w:hint="eastAsia" w:ascii="宋体" w:hAnsi="宋体" w:cs="宋体"/>
                <w:sz w:val="24"/>
              </w:rPr>
              <w:t>…</w:t>
            </w: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outlineLvl w:val="9"/>
              <w:rPr>
                <w:rFonts w:ascii="宋体" w:hAnsi="宋体" w:cs="宋体"/>
                <w:sz w:val="24"/>
              </w:rPr>
            </w:pPr>
          </w:p>
        </w:tc>
        <w:tc>
          <w:tcPr>
            <w:tcW w:w="2205" w:type="dxa"/>
            <w:vAlign w:val="center"/>
          </w:tcPr>
          <w:p>
            <w:pPr>
              <w:pStyle w:val="60"/>
              <w:spacing w:line="340" w:lineRule="exact"/>
              <w:outlineLvl w:val="9"/>
              <w:rPr>
                <w:rFonts w:ascii="宋体" w:hAnsi="宋体" w:cs="宋体"/>
                <w:szCs w:val="24"/>
              </w:rPr>
            </w:pPr>
            <w:r>
              <w:rPr>
                <w:rFonts w:hint="eastAsia" w:ascii="宋体" w:hAnsi="宋体" w:cs="宋体"/>
                <w:szCs w:val="24"/>
              </w:rPr>
              <w:t>合计</w:t>
            </w:r>
          </w:p>
        </w:tc>
        <w:tc>
          <w:tcPr>
            <w:tcW w:w="957" w:type="dxa"/>
          </w:tcPr>
          <w:p>
            <w:pPr>
              <w:spacing w:line="340" w:lineRule="exact"/>
              <w:outlineLvl w:val="9"/>
              <w:rPr>
                <w:rFonts w:ascii="宋体" w:hAnsi="宋体" w:cs="宋体"/>
                <w:sz w:val="24"/>
              </w:rPr>
            </w:pPr>
          </w:p>
        </w:tc>
        <w:tc>
          <w:tcPr>
            <w:tcW w:w="840" w:type="dxa"/>
          </w:tcPr>
          <w:p>
            <w:pPr>
              <w:spacing w:line="340" w:lineRule="exact"/>
              <w:outlineLvl w:val="9"/>
              <w:rPr>
                <w:rFonts w:ascii="宋体" w:hAnsi="宋体" w:cs="宋体"/>
                <w:sz w:val="24"/>
              </w:rPr>
            </w:pPr>
          </w:p>
        </w:tc>
        <w:tc>
          <w:tcPr>
            <w:tcW w:w="1260" w:type="dxa"/>
          </w:tcPr>
          <w:p>
            <w:pPr>
              <w:spacing w:line="340" w:lineRule="exact"/>
              <w:outlineLvl w:val="9"/>
              <w:rPr>
                <w:rFonts w:ascii="宋体" w:hAnsi="宋体" w:cs="宋体"/>
                <w:sz w:val="24"/>
              </w:rPr>
            </w:pPr>
          </w:p>
        </w:tc>
        <w:tc>
          <w:tcPr>
            <w:tcW w:w="1340" w:type="dxa"/>
          </w:tcPr>
          <w:p>
            <w:pPr>
              <w:spacing w:line="340" w:lineRule="exact"/>
              <w:outlineLvl w:val="9"/>
              <w:rPr>
                <w:rFonts w:ascii="宋体" w:hAnsi="宋体" w:cs="宋体"/>
                <w:sz w:val="24"/>
              </w:rPr>
            </w:pPr>
          </w:p>
        </w:tc>
        <w:tc>
          <w:tcPr>
            <w:tcW w:w="1347" w:type="dxa"/>
          </w:tcPr>
          <w:p>
            <w:pPr>
              <w:spacing w:line="340" w:lineRule="exact"/>
              <w:outlineLvl w:val="9"/>
              <w:rPr>
                <w:rFonts w:ascii="宋体" w:hAnsi="宋体" w:cs="宋体"/>
                <w:sz w:val="24"/>
              </w:rPr>
            </w:pPr>
          </w:p>
        </w:tc>
      </w:tr>
    </w:tbl>
    <w:p>
      <w:pPr>
        <w:spacing w:line="360" w:lineRule="auto"/>
        <w:ind w:firstLine="3840" w:firstLineChars="1600"/>
        <w:outlineLvl w:val="9"/>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60" w:lineRule="auto"/>
        <w:jc w:val="right"/>
        <w:outlineLvl w:val="9"/>
        <w:rPr>
          <w:rFonts w:ascii="宋体" w:hAnsi="宋体" w:cs="宋体"/>
          <w:sz w:val="24"/>
        </w:rPr>
      </w:pPr>
      <w:r>
        <w:rPr>
          <w:rFonts w:hint="eastAsia" w:ascii="宋体" w:hAnsi="宋体" w:cs="宋体"/>
          <w:sz w:val="24"/>
        </w:rPr>
        <w:t xml:space="preserve">  年  月  日</w:t>
      </w:r>
    </w:p>
    <w:p>
      <w:pPr>
        <w:adjustRightInd w:val="0"/>
        <w:snapToGrid w:val="0"/>
        <w:spacing w:line="360" w:lineRule="auto"/>
        <w:outlineLvl w:val="9"/>
        <w:rPr>
          <w:rFonts w:ascii="宋体" w:hAnsi="宋体" w:cs="宋体"/>
          <w:sz w:val="24"/>
        </w:rPr>
      </w:pPr>
      <w:r>
        <w:rPr>
          <w:rFonts w:hint="eastAsia" w:ascii="宋体" w:hAnsi="宋体" w:cs="宋体"/>
          <w:sz w:val="24"/>
        </w:rPr>
        <w:t>备注：</w:t>
      </w:r>
    </w:p>
    <w:p>
      <w:pPr>
        <w:spacing w:line="360" w:lineRule="auto"/>
        <w:jc w:val="left"/>
        <w:outlineLvl w:val="9"/>
        <w:rPr>
          <w:rFonts w:ascii="宋体" w:hAnsi="宋体" w:cs="宋体"/>
          <w:sz w:val="24"/>
        </w:rPr>
      </w:pPr>
      <w:r>
        <w:rPr>
          <w:rFonts w:hint="eastAsia" w:ascii="宋体" w:hAnsi="宋体" w:cs="宋体"/>
          <w:sz w:val="24"/>
        </w:rPr>
        <w:t>表中所列内容为对应本项目需求的全部要求。如有漏项或缺项，投标人承担全部责任。</w:t>
      </w:r>
    </w:p>
    <w:p>
      <w:pPr>
        <w:spacing w:line="360" w:lineRule="auto"/>
        <w:jc w:val="center"/>
        <w:outlineLvl w:val="9"/>
        <w:rPr>
          <w:rFonts w:ascii="宋体" w:hAnsi="宋体" w:cs="宋体"/>
          <w:b/>
          <w:sz w:val="24"/>
        </w:rPr>
      </w:pPr>
    </w:p>
    <w:p>
      <w:pPr>
        <w:spacing w:line="360" w:lineRule="auto"/>
        <w:jc w:val="center"/>
        <w:outlineLvl w:val="9"/>
        <w:rPr>
          <w:rFonts w:ascii="宋体" w:hAnsi="宋体" w:cs="宋体"/>
          <w:b/>
          <w:sz w:val="24"/>
        </w:rPr>
      </w:pPr>
    </w:p>
    <w:p>
      <w:pPr>
        <w:pStyle w:val="35"/>
        <w:ind w:firstLine="241"/>
        <w:rPr>
          <w:rFonts w:ascii="宋体" w:hAnsi="宋体" w:cs="宋体"/>
          <w:b/>
          <w:sz w:val="24"/>
        </w:rPr>
      </w:pPr>
    </w:p>
    <w:p>
      <w:pPr>
        <w:pStyle w:val="35"/>
        <w:ind w:firstLine="241"/>
        <w:rPr>
          <w:rFonts w:ascii="宋体" w:hAnsi="宋体" w:cs="宋体"/>
          <w:b/>
          <w:sz w:val="24"/>
        </w:rPr>
      </w:pPr>
    </w:p>
    <w:p>
      <w:pPr>
        <w:rPr>
          <w:rFonts w:hint="eastAsia" w:ascii="宋体" w:hAnsi="宋体" w:cs="宋体"/>
          <w:sz w:val="24"/>
        </w:rPr>
      </w:pPr>
      <w:r>
        <w:rPr>
          <w:rFonts w:hint="eastAsia" w:ascii="宋体" w:hAnsi="宋体" w:cs="宋体"/>
          <w:sz w:val="24"/>
        </w:rPr>
        <w:br w:type="page"/>
      </w:r>
    </w:p>
    <w:p>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pPr>
        <w:rPr>
          <w:rFonts w:ascii="宋体" w:hAnsi="宋体" w:cs="宋体"/>
          <w:sz w:val="24"/>
        </w:rPr>
      </w:pPr>
    </w:p>
    <w:p>
      <w:pPr>
        <w:rPr>
          <w:rFonts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pStyle w:val="13"/>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pStyle w:val="13"/>
              <w:jc w:val="center"/>
              <w:rPr>
                <w:rFonts w:hAnsi="宋体" w:cs="宋体"/>
                <w:bCs/>
                <w:sz w:val="24"/>
                <w:szCs w:val="24"/>
              </w:rPr>
            </w:pPr>
            <w:r>
              <w:rPr>
                <w:rFonts w:hint="eastAsia" w:hAnsi="宋体" w:cs="宋体"/>
                <w:bCs/>
                <w:sz w:val="24"/>
                <w:szCs w:val="24"/>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pStyle w:val="13"/>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pPr>
              <w:pStyle w:val="13"/>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pPr>
              <w:pStyle w:val="13"/>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pPr>
              <w:pStyle w:val="13"/>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pPr>
              <w:pStyle w:val="13"/>
              <w:jc w:val="center"/>
              <w:rPr>
                <w:rFonts w:hAnsi="宋体" w:cs="宋体"/>
                <w:bCs/>
                <w:sz w:val="24"/>
                <w:szCs w:val="24"/>
              </w:rPr>
            </w:pPr>
            <w:r>
              <w:rPr>
                <w:rFonts w:hint="eastAsia" w:hAnsi="宋体" w:cs="宋体"/>
                <w:bCs/>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bl>
    <w:p>
      <w:pPr>
        <w:rPr>
          <w:rFonts w:ascii="宋体" w:hAnsi="宋体" w:cs="宋体"/>
          <w:sz w:val="24"/>
        </w:rPr>
      </w:pPr>
    </w:p>
    <w:p>
      <w:pPr>
        <w:rPr>
          <w:rFonts w:ascii="宋体" w:hAnsi="宋体" w:cs="宋体"/>
          <w:sz w:val="24"/>
        </w:rPr>
      </w:pPr>
      <w:r>
        <w:rPr>
          <w:rFonts w:hint="eastAsia" w:ascii="宋体" w:hAnsi="宋体" w:cs="宋体"/>
          <w:sz w:val="24"/>
        </w:rPr>
        <w:t>(可根据需求自行更改)</w:t>
      </w:r>
    </w:p>
    <w:p>
      <w:pP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60" w:lineRule="auto"/>
        <w:jc w:val="right"/>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pPr>
        <w:pStyle w:val="25"/>
        <w:ind w:firstLine="480"/>
        <w:rPr>
          <w:rFonts w:ascii="宋体" w:hAnsi="宋体" w:eastAsia="宋体" w:cs="宋体"/>
          <w:sz w:val="24"/>
        </w:rPr>
      </w:pPr>
    </w:p>
    <w:p>
      <w:pPr>
        <w:spacing w:line="380" w:lineRule="exact"/>
        <w:jc w:val="center"/>
        <w:rPr>
          <w:rFonts w:ascii="宋体" w:hAnsi="宋体" w:cs="宋体"/>
          <w:sz w:val="24"/>
        </w:rPr>
      </w:pPr>
      <w:r>
        <w:rPr>
          <w:rFonts w:hint="eastAsia" w:ascii="宋体" w:hAnsi="宋体" w:cs="宋体"/>
          <w:sz w:val="24"/>
        </w:rPr>
        <w:t>服务方案及服务承诺</w:t>
      </w:r>
    </w:p>
    <w:p>
      <w:pPr>
        <w:spacing w:line="380" w:lineRule="exact"/>
        <w:jc w:val="center"/>
        <w:rPr>
          <w:rFonts w:ascii="宋体" w:hAnsi="宋体" w:cs="宋体"/>
          <w:sz w:val="24"/>
        </w:rPr>
      </w:pPr>
    </w:p>
    <w:p>
      <w:pPr>
        <w:spacing w:line="380" w:lineRule="exact"/>
        <w:ind w:firstLine="360" w:firstLineChars="150"/>
        <w:rPr>
          <w:rFonts w:ascii="宋体" w:hAnsi="宋体" w:cs="宋体"/>
          <w:sz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spacing w:line="380" w:lineRule="exact"/>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80" w:lineRule="exact"/>
        <w:ind w:right="640" w:firstLine="1560" w:firstLineChars="650"/>
        <w:rPr>
          <w:rFonts w:ascii="宋体" w:hAnsi="宋体" w:cs="宋体"/>
          <w:sz w:val="24"/>
        </w:rPr>
      </w:pPr>
    </w:p>
    <w:p>
      <w:pPr>
        <w:spacing w:line="380" w:lineRule="exact"/>
        <w:ind w:right="640" w:firstLine="4680" w:firstLineChars="1950"/>
        <w:rPr>
          <w:rFonts w:ascii="宋体" w:hAnsi="宋体" w:cs="宋体"/>
          <w:sz w:val="24"/>
        </w:rPr>
      </w:pPr>
    </w:p>
    <w:p>
      <w:pPr>
        <w:spacing w:line="380" w:lineRule="exact"/>
        <w:jc w:val="center"/>
        <w:rPr>
          <w:rFonts w:ascii="宋体" w:hAnsi="宋体" w:cs="宋体"/>
          <w:sz w:val="24"/>
        </w:rPr>
      </w:pPr>
    </w:p>
    <w:p>
      <w:pPr>
        <w:spacing w:line="380" w:lineRule="exact"/>
        <w:ind w:firstLine="3600" w:firstLineChars="1500"/>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b/>
          <w:bCs/>
          <w:sz w:val="24"/>
        </w:rPr>
      </w:pPr>
      <w:r>
        <w:rPr>
          <w:rFonts w:hint="eastAsia" w:ascii="宋体" w:hAnsi="宋体" w:cs="宋体"/>
          <w:b/>
          <w:bCs/>
          <w:sz w:val="24"/>
        </w:rPr>
        <w:br w:type="page"/>
      </w:r>
    </w:p>
    <w:p>
      <w:pPr>
        <w:spacing w:line="380" w:lineRule="exact"/>
        <w:jc w:val="center"/>
        <w:rPr>
          <w:rFonts w:hint="eastAsia" w:ascii="宋体" w:hAnsi="宋体" w:eastAsia="宋体" w:cs="宋体"/>
          <w:sz w:val="24"/>
        </w:rPr>
      </w:pPr>
      <w:r>
        <w:rPr>
          <w:rFonts w:hint="eastAsia" w:ascii="宋体" w:hAnsi="宋体" w:eastAsia="宋体" w:cs="宋体"/>
          <w:sz w:val="24"/>
        </w:rPr>
        <w:t>格式8合格供应商的声明函和承诺书</w:t>
      </w:r>
    </w:p>
    <w:p>
      <w:pPr>
        <w:spacing w:line="360" w:lineRule="auto"/>
        <w:rPr>
          <w:rFonts w:ascii="宋体" w:hAnsi="宋体" w:cs="宋体"/>
          <w:sz w:val="24"/>
        </w:rPr>
      </w:pPr>
    </w:p>
    <w:p>
      <w:pPr>
        <w:spacing w:line="360" w:lineRule="auto"/>
        <w:jc w:val="center"/>
        <w:rPr>
          <w:rFonts w:ascii="宋体" w:hAnsi="宋体" w:cs="宋体"/>
          <w:b/>
          <w:bCs/>
          <w:sz w:val="24"/>
        </w:rPr>
      </w:pPr>
    </w:p>
    <w:p>
      <w:pPr>
        <w:pStyle w:val="37"/>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pPr>
        <w:spacing w:line="380" w:lineRule="exact"/>
        <w:ind w:right="640" w:firstLine="1560" w:firstLineChars="650"/>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sz w:val="24"/>
        </w:rPr>
      </w:pPr>
    </w:p>
    <w:p>
      <w:pPr>
        <w:spacing w:line="380" w:lineRule="exact"/>
        <w:jc w:val="center"/>
        <w:rPr>
          <w:rFonts w:hint="eastAsia" w:ascii="宋体" w:hAnsi="宋体" w:eastAsia="宋体" w:cs="宋体"/>
          <w:color w:val="auto"/>
          <w:sz w:val="24"/>
        </w:rPr>
      </w:pPr>
      <w:r>
        <w:rPr>
          <w:rFonts w:hint="eastAsia" w:ascii="宋体" w:hAnsi="宋体" w:eastAsia="宋体" w:cs="宋体"/>
          <w:color w:val="auto"/>
          <w:sz w:val="24"/>
        </w:rPr>
        <w:t>格式9中小企业声明函（工程、服务）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pPr>
        <w:pStyle w:val="37"/>
        <w:rPr>
          <w:rFonts w:hint="eastAsia" w:ascii="宋体" w:hAnsi="宋体" w:eastAsia="宋体" w:cs="宋体"/>
          <w:sz w:val="24"/>
          <w:szCs w:val="24"/>
        </w:rPr>
      </w:pPr>
    </w:p>
    <w:p>
      <w:pPr>
        <w:pStyle w:val="6"/>
        <w:rPr>
          <w:rFonts w:hint="eastAsia" w:ascii="宋体" w:hAnsi="宋体" w:eastAsia="宋体" w:cs="宋体"/>
          <w:sz w:val="24"/>
          <w:szCs w:val="24"/>
        </w:rPr>
      </w:pPr>
    </w:p>
    <w:p>
      <w:pPr>
        <w:rPr>
          <w:rFonts w:hint="eastAsia" w:ascii="宋体" w:hAnsi="宋体" w:eastAsia="宋体" w:cs="宋体"/>
          <w:sz w:val="24"/>
          <w:szCs w:val="24"/>
        </w:rPr>
      </w:pPr>
    </w:p>
    <w:p>
      <w:pPr>
        <w:pStyle w:val="37"/>
        <w:rPr>
          <w:rFonts w:hint="eastAsia" w:ascii="宋体" w:hAnsi="宋体" w:eastAsia="宋体" w:cs="宋体"/>
          <w:sz w:val="24"/>
          <w:szCs w:val="24"/>
        </w:rPr>
      </w:pPr>
    </w:p>
    <w:p>
      <w:pPr>
        <w:pStyle w:val="6"/>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1"/>
        <w:rPr>
          <w:rFonts w:hint="default" w:ascii="Times New Roman" w:hAnsi="Times New Roman" w:eastAsia="宋体" w:cs="Times New Roman"/>
          <w:lang w:val="en-US" w:eastAsia="zh-CN"/>
        </w:rPr>
      </w:pPr>
      <w:bookmarkStart w:id="64" w:name="_Toc22455"/>
      <w:r>
        <w:rPr>
          <w:rFonts w:hint="eastAsia" w:ascii="Times New Roman" w:hAnsi="Times New Roman" w:eastAsia="宋体" w:cs="Times New Roman"/>
          <w:lang w:val="en-US" w:eastAsia="zh-CN"/>
        </w:rPr>
        <w:t>2.本项目如是只面向中小企业采购的应当必须提供。</w:t>
      </w:r>
      <w:bookmarkEnd w:id="64"/>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pStyle w:val="37"/>
        <w:rPr>
          <w:rFonts w:ascii="宋体" w:hAnsi="宋体" w:cs="宋体"/>
          <w:b/>
          <w:bCs/>
          <w:sz w:val="24"/>
        </w:rPr>
      </w:pPr>
    </w:p>
    <w:p>
      <w:pPr>
        <w:pStyle w:val="6"/>
      </w:pPr>
    </w:p>
    <w:p>
      <w:pPr>
        <w:spacing w:line="360" w:lineRule="auto"/>
        <w:rPr>
          <w:rFonts w:hint="eastAsia" w:ascii="宋体" w:hAnsi="宋体" w:cs="宋体"/>
          <w:sz w:val="24"/>
        </w:rPr>
      </w:pPr>
    </w:p>
    <w:p>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pPr>
        <w:pStyle w:val="35"/>
        <w:ind w:firstLine="240"/>
        <w:rPr>
          <w:rFonts w:ascii="宋体" w:hAnsi="宋体" w:cs="宋体"/>
          <w:sz w:val="24"/>
        </w:rPr>
      </w:pPr>
    </w:p>
    <w:p>
      <w:pPr>
        <w:spacing w:line="360" w:lineRule="auto"/>
        <w:jc w:val="left"/>
        <w:rPr>
          <w:rFonts w:hint="eastAsia" w:ascii="宋体" w:hAnsi="宋体" w:cs="宋体"/>
          <w:b/>
          <w:bCs/>
          <w:color w:val="auto"/>
          <w:sz w:val="24"/>
          <w:szCs w:val="24"/>
          <w:lang w:val="en-US" w:eastAsia="zh-CN"/>
        </w:rPr>
      </w:pPr>
      <w:r>
        <w:rPr>
          <w:rFonts w:hint="eastAsia" w:ascii="宋体" w:hAnsi="宋体" w:cs="宋体"/>
          <w:b/>
          <w:bCs/>
          <w:color w:val="auto"/>
          <w:sz w:val="24"/>
          <w:szCs w:val="24"/>
          <w:lang w:val="en-US" w:eastAsia="zh-CN"/>
        </w:rPr>
        <w:t>10.1拟用于本项目的人员情况</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6"/>
        <w:gridCol w:w="2625"/>
        <w:gridCol w:w="1426"/>
        <w:gridCol w:w="1790"/>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pPr>
              <w:spacing w:line="360" w:lineRule="auto"/>
              <w:jc w:val="left"/>
              <w:rPr>
                <w:rFonts w:hint="default" w:ascii="宋体" w:hAnsi="宋体" w:cs="宋体"/>
                <w:b/>
                <w:bCs/>
                <w:color w:val="auto"/>
                <w:sz w:val="24"/>
                <w:szCs w:val="24"/>
                <w:vertAlign w:val="baseline"/>
                <w:lang w:val="en-US" w:eastAsia="zh-CN"/>
              </w:rPr>
            </w:pPr>
            <w:r>
              <w:rPr>
                <w:rFonts w:hint="eastAsia" w:ascii="宋体" w:hAnsi="宋体" w:cs="宋体"/>
                <w:b/>
                <w:bCs/>
                <w:color w:val="auto"/>
                <w:sz w:val="24"/>
                <w:szCs w:val="24"/>
                <w:vertAlign w:val="baseline"/>
                <w:lang w:val="en-US" w:eastAsia="zh-CN"/>
              </w:rPr>
              <w:t>姓名</w:t>
            </w:r>
          </w:p>
        </w:tc>
        <w:tc>
          <w:tcPr>
            <w:tcW w:w="2625" w:type="dxa"/>
          </w:tcPr>
          <w:p>
            <w:pPr>
              <w:spacing w:line="360" w:lineRule="auto"/>
              <w:jc w:val="left"/>
              <w:rPr>
                <w:rFonts w:hint="default" w:ascii="宋体" w:hAnsi="宋体" w:cs="宋体"/>
                <w:b/>
                <w:bCs/>
                <w:color w:val="auto"/>
                <w:sz w:val="24"/>
                <w:szCs w:val="24"/>
                <w:vertAlign w:val="baseline"/>
                <w:lang w:val="en-US" w:eastAsia="zh-CN"/>
              </w:rPr>
            </w:pPr>
            <w:r>
              <w:rPr>
                <w:rFonts w:hint="eastAsia" w:ascii="宋体" w:hAnsi="宋体" w:cs="宋体"/>
                <w:b/>
                <w:bCs/>
                <w:color w:val="auto"/>
                <w:sz w:val="24"/>
                <w:szCs w:val="24"/>
                <w:vertAlign w:val="baseline"/>
                <w:lang w:val="en-US" w:eastAsia="zh-CN"/>
              </w:rPr>
              <w:t>职务或职称（或外聘）</w:t>
            </w:r>
          </w:p>
        </w:tc>
        <w:tc>
          <w:tcPr>
            <w:tcW w:w="1426" w:type="dxa"/>
          </w:tcPr>
          <w:p>
            <w:pPr>
              <w:spacing w:line="360" w:lineRule="auto"/>
              <w:jc w:val="left"/>
              <w:rPr>
                <w:rFonts w:hint="default" w:ascii="宋体" w:hAnsi="宋体" w:cs="宋体"/>
                <w:b/>
                <w:bCs/>
                <w:color w:val="auto"/>
                <w:sz w:val="24"/>
                <w:szCs w:val="24"/>
                <w:vertAlign w:val="baseline"/>
                <w:lang w:val="en-US" w:eastAsia="zh-CN"/>
              </w:rPr>
            </w:pPr>
            <w:r>
              <w:rPr>
                <w:rFonts w:hint="eastAsia" w:ascii="宋体" w:hAnsi="宋体" w:cs="宋体"/>
                <w:b/>
                <w:bCs/>
                <w:color w:val="auto"/>
                <w:sz w:val="24"/>
                <w:szCs w:val="24"/>
                <w:vertAlign w:val="baseline"/>
                <w:lang w:val="en-US" w:eastAsia="zh-CN"/>
              </w:rPr>
              <w:t>工作年限</w:t>
            </w:r>
          </w:p>
        </w:tc>
        <w:tc>
          <w:tcPr>
            <w:tcW w:w="1790" w:type="dxa"/>
          </w:tcPr>
          <w:p>
            <w:pPr>
              <w:spacing w:line="360" w:lineRule="auto"/>
              <w:jc w:val="left"/>
              <w:rPr>
                <w:rFonts w:hint="default" w:ascii="宋体" w:hAnsi="宋体" w:cs="宋体"/>
                <w:b/>
                <w:bCs/>
                <w:color w:val="auto"/>
                <w:sz w:val="24"/>
                <w:szCs w:val="24"/>
                <w:vertAlign w:val="baseline"/>
                <w:lang w:val="en-US" w:eastAsia="zh-CN"/>
              </w:rPr>
            </w:pPr>
            <w:r>
              <w:rPr>
                <w:rFonts w:hint="eastAsia" w:ascii="宋体" w:hAnsi="宋体" w:cs="宋体"/>
                <w:b/>
                <w:bCs/>
                <w:color w:val="auto"/>
                <w:sz w:val="24"/>
                <w:szCs w:val="24"/>
                <w:vertAlign w:val="baseline"/>
                <w:lang w:val="en-US" w:eastAsia="zh-CN"/>
              </w:rPr>
              <w:t>具体责任分工</w:t>
            </w:r>
          </w:p>
        </w:tc>
        <w:tc>
          <w:tcPr>
            <w:tcW w:w="1790" w:type="dxa"/>
          </w:tcPr>
          <w:p>
            <w:pPr>
              <w:spacing w:line="360" w:lineRule="auto"/>
              <w:jc w:val="left"/>
              <w:rPr>
                <w:rFonts w:hint="default" w:ascii="宋体" w:hAnsi="宋体" w:cs="宋体"/>
                <w:b/>
                <w:bCs/>
                <w:color w:val="auto"/>
                <w:sz w:val="24"/>
                <w:szCs w:val="24"/>
                <w:vertAlign w:val="baseline"/>
                <w:lang w:val="en-US" w:eastAsia="zh-CN"/>
              </w:rPr>
            </w:pPr>
            <w:r>
              <w:rPr>
                <w:rFonts w:hint="eastAsia" w:ascii="宋体" w:hAnsi="宋体" w:cs="宋体"/>
                <w:b/>
                <w:bCs/>
                <w:color w:val="auto"/>
                <w:sz w:val="24"/>
                <w:szCs w:val="24"/>
                <w:vertAlign w:val="baseline"/>
                <w:lang w:val="en-US" w:eastAsia="zh-CN"/>
              </w:rPr>
              <w:t>类似项目业绩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pPr>
              <w:spacing w:line="360" w:lineRule="auto"/>
              <w:jc w:val="left"/>
              <w:rPr>
                <w:rFonts w:hint="default" w:ascii="宋体" w:hAnsi="宋体" w:cs="宋体"/>
                <w:b/>
                <w:bCs/>
                <w:color w:val="auto"/>
                <w:sz w:val="24"/>
                <w:szCs w:val="24"/>
                <w:vertAlign w:val="baseline"/>
                <w:lang w:val="en-US" w:eastAsia="zh-CN"/>
              </w:rPr>
            </w:pPr>
          </w:p>
        </w:tc>
        <w:tc>
          <w:tcPr>
            <w:tcW w:w="2625" w:type="dxa"/>
          </w:tcPr>
          <w:p>
            <w:pPr>
              <w:spacing w:line="360" w:lineRule="auto"/>
              <w:jc w:val="left"/>
              <w:rPr>
                <w:rFonts w:hint="default" w:ascii="宋体" w:hAnsi="宋体" w:cs="宋体"/>
                <w:b/>
                <w:bCs/>
                <w:color w:val="auto"/>
                <w:sz w:val="24"/>
                <w:szCs w:val="24"/>
                <w:vertAlign w:val="baseline"/>
                <w:lang w:val="en-US" w:eastAsia="zh-CN"/>
              </w:rPr>
            </w:pPr>
          </w:p>
        </w:tc>
        <w:tc>
          <w:tcPr>
            <w:tcW w:w="1426" w:type="dxa"/>
          </w:tcPr>
          <w:p>
            <w:pPr>
              <w:spacing w:line="360" w:lineRule="auto"/>
              <w:jc w:val="left"/>
              <w:rPr>
                <w:rFonts w:hint="default" w:ascii="宋体" w:hAnsi="宋体" w:cs="宋体"/>
                <w:b/>
                <w:bCs/>
                <w:color w:val="auto"/>
                <w:sz w:val="24"/>
                <w:szCs w:val="24"/>
                <w:vertAlign w:val="baseline"/>
                <w:lang w:val="en-US" w:eastAsia="zh-CN"/>
              </w:rPr>
            </w:pPr>
          </w:p>
        </w:tc>
        <w:tc>
          <w:tcPr>
            <w:tcW w:w="1790" w:type="dxa"/>
          </w:tcPr>
          <w:p>
            <w:pPr>
              <w:spacing w:line="360" w:lineRule="auto"/>
              <w:jc w:val="left"/>
              <w:rPr>
                <w:rFonts w:hint="default" w:ascii="宋体" w:hAnsi="宋体" w:cs="宋体"/>
                <w:b/>
                <w:bCs/>
                <w:color w:val="auto"/>
                <w:sz w:val="24"/>
                <w:szCs w:val="24"/>
                <w:vertAlign w:val="baseline"/>
                <w:lang w:val="en-US" w:eastAsia="zh-CN"/>
              </w:rPr>
            </w:pPr>
          </w:p>
        </w:tc>
        <w:tc>
          <w:tcPr>
            <w:tcW w:w="1790" w:type="dxa"/>
          </w:tcPr>
          <w:p>
            <w:pPr>
              <w:spacing w:line="360" w:lineRule="auto"/>
              <w:jc w:val="left"/>
              <w:rPr>
                <w:rFonts w:hint="default" w:ascii="宋体" w:hAnsi="宋体" w:cs="宋体"/>
                <w:b/>
                <w:bCs/>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16" w:type="dxa"/>
          </w:tcPr>
          <w:p>
            <w:pPr>
              <w:spacing w:line="360" w:lineRule="auto"/>
              <w:jc w:val="left"/>
              <w:rPr>
                <w:rFonts w:hint="default" w:ascii="宋体" w:hAnsi="宋体" w:cs="宋体"/>
                <w:b/>
                <w:bCs/>
                <w:color w:val="auto"/>
                <w:sz w:val="24"/>
                <w:szCs w:val="24"/>
                <w:vertAlign w:val="baseline"/>
                <w:lang w:val="en-US" w:eastAsia="zh-CN"/>
              </w:rPr>
            </w:pPr>
          </w:p>
        </w:tc>
        <w:tc>
          <w:tcPr>
            <w:tcW w:w="2625" w:type="dxa"/>
          </w:tcPr>
          <w:p>
            <w:pPr>
              <w:spacing w:line="360" w:lineRule="auto"/>
              <w:jc w:val="left"/>
              <w:rPr>
                <w:rFonts w:hint="default" w:ascii="宋体" w:hAnsi="宋体" w:cs="宋体"/>
                <w:b/>
                <w:bCs/>
                <w:color w:val="auto"/>
                <w:sz w:val="24"/>
                <w:szCs w:val="24"/>
                <w:vertAlign w:val="baseline"/>
                <w:lang w:val="en-US" w:eastAsia="zh-CN"/>
              </w:rPr>
            </w:pPr>
          </w:p>
        </w:tc>
        <w:tc>
          <w:tcPr>
            <w:tcW w:w="1426" w:type="dxa"/>
          </w:tcPr>
          <w:p>
            <w:pPr>
              <w:spacing w:line="360" w:lineRule="auto"/>
              <w:jc w:val="left"/>
              <w:rPr>
                <w:rFonts w:hint="default" w:ascii="宋体" w:hAnsi="宋体" w:cs="宋体"/>
                <w:b/>
                <w:bCs/>
                <w:color w:val="auto"/>
                <w:sz w:val="24"/>
                <w:szCs w:val="24"/>
                <w:vertAlign w:val="baseline"/>
                <w:lang w:val="en-US" w:eastAsia="zh-CN"/>
              </w:rPr>
            </w:pPr>
          </w:p>
        </w:tc>
        <w:tc>
          <w:tcPr>
            <w:tcW w:w="1790" w:type="dxa"/>
          </w:tcPr>
          <w:p>
            <w:pPr>
              <w:spacing w:line="360" w:lineRule="auto"/>
              <w:jc w:val="left"/>
              <w:rPr>
                <w:rFonts w:hint="default" w:ascii="宋体" w:hAnsi="宋体" w:cs="宋体"/>
                <w:b/>
                <w:bCs/>
                <w:color w:val="auto"/>
                <w:sz w:val="24"/>
                <w:szCs w:val="24"/>
                <w:vertAlign w:val="baseline"/>
                <w:lang w:val="en-US" w:eastAsia="zh-CN"/>
              </w:rPr>
            </w:pPr>
          </w:p>
        </w:tc>
        <w:tc>
          <w:tcPr>
            <w:tcW w:w="1790" w:type="dxa"/>
          </w:tcPr>
          <w:p>
            <w:pPr>
              <w:spacing w:line="360" w:lineRule="auto"/>
              <w:jc w:val="left"/>
              <w:rPr>
                <w:rFonts w:hint="default" w:ascii="宋体" w:hAnsi="宋体" w:cs="宋体"/>
                <w:b/>
                <w:bCs/>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pPr>
              <w:spacing w:line="360" w:lineRule="auto"/>
              <w:jc w:val="left"/>
              <w:rPr>
                <w:rFonts w:hint="default" w:ascii="宋体" w:hAnsi="宋体" w:cs="宋体"/>
                <w:b/>
                <w:bCs/>
                <w:color w:val="auto"/>
                <w:sz w:val="24"/>
                <w:szCs w:val="24"/>
                <w:vertAlign w:val="baseline"/>
                <w:lang w:val="en-US" w:eastAsia="zh-CN"/>
              </w:rPr>
            </w:pPr>
          </w:p>
        </w:tc>
        <w:tc>
          <w:tcPr>
            <w:tcW w:w="2625" w:type="dxa"/>
          </w:tcPr>
          <w:p>
            <w:pPr>
              <w:spacing w:line="360" w:lineRule="auto"/>
              <w:jc w:val="left"/>
              <w:rPr>
                <w:rFonts w:hint="default" w:ascii="宋体" w:hAnsi="宋体" w:cs="宋体"/>
                <w:b/>
                <w:bCs/>
                <w:color w:val="auto"/>
                <w:sz w:val="24"/>
                <w:szCs w:val="24"/>
                <w:vertAlign w:val="baseline"/>
                <w:lang w:val="en-US" w:eastAsia="zh-CN"/>
              </w:rPr>
            </w:pPr>
          </w:p>
        </w:tc>
        <w:tc>
          <w:tcPr>
            <w:tcW w:w="1426" w:type="dxa"/>
          </w:tcPr>
          <w:p>
            <w:pPr>
              <w:spacing w:line="360" w:lineRule="auto"/>
              <w:jc w:val="left"/>
              <w:rPr>
                <w:rFonts w:hint="default" w:ascii="宋体" w:hAnsi="宋体" w:cs="宋体"/>
                <w:b/>
                <w:bCs/>
                <w:color w:val="auto"/>
                <w:sz w:val="24"/>
                <w:szCs w:val="24"/>
                <w:vertAlign w:val="baseline"/>
                <w:lang w:val="en-US" w:eastAsia="zh-CN"/>
              </w:rPr>
            </w:pPr>
          </w:p>
        </w:tc>
        <w:tc>
          <w:tcPr>
            <w:tcW w:w="1790" w:type="dxa"/>
          </w:tcPr>
          <w:p>
            <w:pPr>
              <w:spacing w:line="360" w:lineRule="auto"/>
              <w:jc w:val="left"/>
              <w:rPr>
                <w:rFonts w:hint="default" w:ascii="宋体" w:hAnsi="宋体" w:cs="宋体"/>
                <w:b/>
                <w:bCs/>
                <w:color w:val="auto"/>
                <w:sz w:val="24"/>
                <w:szCs w:val="24"/>
                <w:vertAlign w:val="baseline"/>
                <w:lang w:val="en-US" w:eastAsia="zh-CN"/>
              </w:rPr>
            </w:pPr>
          </w:p>
        </w:tc>
        <w:tc>
          <w:tcPr>
            <w:tcW w:w="1790" w:type="dxa"/>
          </w:tcPr>
          <w:p>
            <w:pPr>
              <w:spacing w:line="360" w:lineRule="auto"/>
              <w:jc w:val="left"/>
              <w:rPr>
                <w:rFonts w:hint="default" w:ascii="宋体" w:hAnsi="宋体" w:cs="宋体"/>
                <w:b/>
                <w:bCs/>
                <w:color w:val="auto"/>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6" w:type="dxa"/>
          </w:tcPr>
          <w:p>
            <w:pPr>
              <w:spacing w:line="360" w:lineRule="auto"/>
              <w:jc w:val="left"/>
              <w:rPr>
                <w:rFonts w:hint="default" w:ascii="宋体" w:hAnsi="宋体" w:cs="宋体"/>
                <w:b/>
                <w:bCs/>
                <w:color w:val="auto"/>
                <w:sz w:val="24"/>
                <w:szCs w:val="24"/>
                <w:vertAlign w:val="baseline"/>
                <w:lang w:val="en-US" w:eastAsia="zh-CN"/>
              </w:rPr>
            </w:pPr>
          </w:p>
        </w:tc>
        <w:tc>
          <w:tcPr>
            <w:tcW w:w="2625" w:type="dxa"/>
          </w:tcPr>
          <w:p>
            <w:pPr>
              <w:spacing w:line="360" w:lineRule="auto"/>
              <w:jc w:val="left"/>
              <w:rPr>
                <w:rFonts w:hint="default" w:ascii="宋体" w:hAnsi="宋体" w:cs="宋体"/>
                <w:b/>
                <w:bCs/>
                <w:color w:val="auto"/>
                <w:sz w:val="24"/>
                <w:szCs w:val="24"/>
                <w:vertAlign w:val="baseline"/>
                <w:lang w:val="en-US" w:eastAsia="zh-CN"/>
              </w:rPr>
            </w:pPr>
          </w:p>
        </w:tc>
        <w:tc>
          <w:tcPr>
            <w:tcW w:w="1426" w:type="dxa"/>
          </w:tcPr>
          <w:p>
            <w:pPr>
              <w:spacing w:line="360" w:lineRule="auto"/>
              <w:jc w:val="left"/>
              <w:rPr>
                <w:rFonts w:hint="default" w:ascii="宋体" w:hAnsi="宋体" w:cs="宋体"/>
                <w:b/>
                <w:bCs/>
                <w:color w:val="auto"/>
                <w:sz w:val="24"/>
                <w:szCs w:val="24"/>
                <w:vertAlign w:val="baseline"/>
                <w:lang w:val="en-US" w:eastAsia="zh-CN"/>
              </w:rPr>
            </w:pPr>
          </w:p>
        </w:tc>
        <w:tc>
          <w:tcPr>
            <w:tcW w:w="1790" w:type="dxa"/>
          </w:tcPr>
          <w:p>
            <w:pPr>
              <w:spacing w:line="360" w:lineRule="auto"/>
              <w:jc w:val="left"/>
              <w:rPr>
                <w:rFonts w:hint="default" w:ascii="宋体" w:hAnsi="宋体" w:cs="宋体"/>
                <w:b/>
                <w:bCs/>
                <w:color w:val="auto"/>
                <w:sz w:val="24"/>
                <w:szCs w:val="24"/>
                <w:vertAlign w:val="baseline"/>
                <w:lang w:val="en-US" w:eastAsia="zh-CN"/>
              </w:rPr>
            </w:pPr>
          </w:p>
        </w:tc>
        <w:tc>
          <w:tcPr>
            <w:tcW w:w="1790" w:type="dxa"/>
          </w:tcPr>
          <w:p>
            <w:pPr>
              <w:spacing w:line="360" w:lineRule="auto"/>
              <w:jc w:val="left"/>
              <w:rPr>
                <w:rFonts w:hint="default" w:ascii="宋体" w:hAnsi="宋体" w:cs="宋体"/>
                <w:b/>
                <w:bCs/>
                <w:color w:val="auto"/>
                <w:sz w:val="24"/>
                <w:szCs w:val="24"/>
                <w:vertAlign w:val="baseline"/>
                <w:lang w:val="en-US" w:eastAsia="zh-CN"/>
              </w:rPr>
            </w:pPr>
          </w:p>
        </w:tc>
      </w:tr>
    </w:tbl>
    <w:p>
      <w:pPr>
        <w:spacing w:line="360" w:lineRule="auto"/>
        <w:jc w:val="left"/>
        <w:rPr>
          <w:rFonts w:hint="default" w:ascii="宋体" w:hAnsi="宋体" w:cs="宋体"/>
          <w:b/>
          <w:bCs/>
          <w:color w:val="auto"/>
          <w:sz w:val="24"/>
          <w:szCs w:val="24"/>
          <w:lang w:val="en-US" w:eastAsia="zh-CN"/>
        </w:rPr>
      </w:pPr>
    </w:p>
    <w:p>
      <w:pPr>
        <w:pStyle w:val="25"/>
        <w:ind w:firstLine="480"/>
        <w:rPr>
          <w:rFonts w:ascii="宋体" w:hAnsi="宋体" w:eastAsia="宋体" w:cs="宋体"/>
          <w:b/>
          <w:bCs/>
          <w:color w:val="auto"/>
          <w:sz w:val="24"/>
          <w:szCs w:val="24"/>
        </w:rPr>
      </w:pPr>
    </w:p>
    <w:p>
      <w:pPr>
        <w:pStyle w:val="35"/>
        <w:ind w:firstLine="240"/>
        <w:rPr>
          <w:rFonts w:hint="default" w:ascii="宋体" w:hAnsi="宋体" w:eastAsia="宋体" w:cs="宋体"/>
          <w:color w:val="auto"/>
          <w:sz w:val="24"/>
          <w:lang w:val="en-US" w:eastAsia="zh-CN"/>
        </w:rPr>
      </w:pPr>
    </w:p>
    <w:p>
      <w:pPr>
        <w:pStyle w:val="35"/>
        <w:rPr>
          <w:rFonts w:hint="default" w:ascii="宋体" w:hAnsi="宋体" w:eastAsia="宋体" w:cs="宋体"/>
          <w:color w:val="auto"/>
          <w:sz w:val="24"/>
          <w:lang w:val="en-US" w:eastAsia="zh-CN"/>
        </w:rPr>
      </w:pPr>
      <w:r>
        <w:rPr>
          <w:rFonts w:hint="eastAsia" w:ascii="宋体" w:hAnsi="宋体" w:cs="宋体"/>
          <w:color w:val="auto"/>
          <w:sz w:val="24"/>
          <w:lang w:val="en-US" w:eastAsia="zh-CN"/>
        </w:rPr>
        <w:t>10.2......</w:t>
      </w:r>
    </w:p>
    <w:p>
      <w:pPr>
        <w:pStyle w:val="35"/>
        <w:rPr>
          <w:rFonts w:hint="default" w:ascii="宋体" w:hAnsi="宋体" w:eastAsia="宋体" w:cs="宋体"/>
          <w:color w:val="auto"/>
          <w:sz w:val="24"/>
          <w:lang w:val="en-US" w:eastAsia="zh-CN"/>
        </w:rPr>
      </w:pPr>
      <w:r>
        <w:rPr>
          <w:rFonts w:hint="eastAsia" w:ascii="宋体" w:hAnsi="宋体" w:cs="宋体"/>
          <w:color w:val="auto"/>
          <w:sz w:val="24"/>
          <w:lang w:val="en-US" w:eastAsia="zh-CN"/>
        </w:rPr>
        <w:t>10.3......</w:t>
      </w:r>
    </w:p>
    <w:p>
      <w:pPr>
        <w:pStyle w:val="35"/>
        <w:rPr>
          <w:rFonts w:hint="default" w:ascii="宋体" w:hAnsi="宋体" w:eastAsia="宋体" w:cs="宋体"/>
          <w:sz w:val="24"/>
          <w:lang w:val="en-US" w:eastAsia="zh-CN"/>
        </w:rPr>
      </w:pPr>
      <w:r>
        <w:rPr>
          <w:rFonts w:hint="eastAsia" w:ascii="宋体" w:hAnsi="宋体" w:cs="宋体"/>
          <w:sz w:val="24"/>
          <w:lang w:val="en-US" w:eastAsia="zh-CN"/>
        </w:rPr>
        <w:t>10.4......</w:t>
      </w: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pStyle w:val="35"/>
        <w:ind w:firstLine="240"/>
        <w:rPr>
          <w:rFonts w:ascii="宋体" w:hAnsi="宋体" w:cs="宋体"/>
          <w:sz w:val="24"/>
        </w:rPr>
      </w:pPr>
    </w:p>
    <w:p>
      <w:pPr>
        <w:rPr>
          <w:rFonts w:hint="eastAsia" w:ascii="宋体" w:hAnsi="宋体" w:cs="宋体"/>
          <w:sz w:val="24"/>
        </w:rPr>
      </w:pPr>
      <w:r>
        <w:rPr>
          <w:rFonts w:hint="eastAsia" w:ascii="宋体" w:hAnsi="宋体" w:cs="宋体"/>
          <w:sz w:val="24"/>
        </w:rPr>
        <w:br w:type="page"/>
      </w:r>
    </w:p>
    <w:p>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pPr>
        <w:spacing w:line="380" w:lineRule="exact"/>
        <w:jc w:val="center"/>
        <w:rPr>
          <w:rStyle w:val="66"/>
          <w:rFonts w:ascii="宋体"/>
          <w:b/>
          <w:bCs/>
          <w:sz w:val="24"/>
        </w:rPr>
      </w:pPr>
    </w:p>
    <w:p>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sz w:val="24"/>
        </w:rPr>
      </w:pPr>
      <w:r>
        <w:rPr>
          <w:rFonts w:hint="eastAsia" w:ascii="宋体" w:hAnsi="宋体" w:cs="宋体"/>
          <w:sz w:val="24"/>
        </w:rPr>
        <w:t>（一）提供虚假材料谋取中标;</w:t>
      </w:r>
    </w:p>
    <w:p>
      <w:pPr>
        <w:spacing w:line="380" w:lineRule="exact"/>
        <w:rPr>
          <w:rFonts w:ascii="宋体" w:hAnsi="宋体" w:cs="宋体"/>
          <w:sz w:val="24"/>
        </w:rPr>
      </w:pPr>
      <w:r>
        <w:rPr>
          <w:rFonts w:hint="eastAsia" w:ascii="宋体" w:hAnsi="宋体" w:cs="宋体"/>
          <w:sz w:val="24"/>
        </w:rPr>
        <w:t>（二）采取不正当手段诋毁、排挤其他供应商;</w:t>
      </w:r>
    </w:p>
    <w:p>
      <w:pPr>
        <w:spacing w:line="380" w:lineRule="exact"/>
        <w:rPr>
          <w:rFonts w:ascii="宋体" w:hAnsi="宋体" w:cs="宋体"/>
          <w:sz w:val="24"/>
        </w:rPr>
      </w:pPr>
      <w:r>
        <w:rPr>
          <w:rFonts w:hint="eastAsia" w:ascii="宋体" w:hAnsi="宋体" w:cs="宋体"/>
          <w:sz w:val="24"/>
        </w:rPr>
        <w:t>（三）与招标采购单位、其他投标人恶意串通;</w:t>
      </w:r>
    </w:p>
    <w:p>
      <w:pPr>
        <w:spacing w:line="380" w:lineRule="exact"/>
        <w:rPr>
          <w:rFonts w:ascii="宋体" w:hAnsi="宋体" w:cs="宋体"/>
          <w:sz w:val="24"/>
        </w:rPr>
      </w:pPr>
      <w:r>
        <w:rPr>
          <w:rFonts w:hint="eastAsia" w:ascii="宋体" w:hAnsi="宋体" w:cs="宋体"/>
          <w:sz w:val="24"/>
        </w:rPr>
        <w:t>（四）向招标采购单位或提供其他不正当利益;</w:t>
      </w:r>
    </w:p>
    <w:p>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pPr>
        <w:spacing w:line="380" w:lineRule="exact"/>
        <w:rPr>
          <w:rFonts w:ascii="宋体" w:hAnsi="宋体" w:cs="宋体"/>
          <w:sz w:val="24"/>
        </w:rPr>
      </w:pPr>
      <w:r>
        <w:rPr>
          <w:rFonts w:hint="eastAsia" w:ascii="宋体" w:hAnsi="宋体" w:cs="宋体"/>
          <w:sz w:val="24"/>
        </w:rPr>
        <w:t>（八）将中标项目转让给他人或非法分包他人;</w:t>
      </w:r>
    </w:p>
    <w:p>
      <w:pPr>
        <w:spacing w:line="380" w:lineRule="exact"/>
        <w:rPr>
          <w:rFonts w:ascii="宋体" w:hAnsi="宋体" w:cs="宋体"/>
          <w:sz w:val="24"/>
        </w:rPr>
      </w:pPr>
      <w:r>
        <w:rPr>
          <w:rFonts w:hint="eastAsia" w:ascii="宋体" w:hAnsi="宋体" w:cs="宋体"/>
          <w:sz w:val="24"/>
        </w:rPr>
        <w:t>（九）无正当理由，拒绝履行合同义务;</w:t>
      </w:r>
    </w:p>
    <w:p>
      <w:pPr>
        <w:spacing w:line="380" w:lineRule="exact"/>
        <w:rPr>
          <w:rFonts w:ascii="宋体" w:hAnsi="宋体" w:cs="宋体"/>
          <w:sz w:val="24"/>
        </w:rPr>
      </w:pPr>
      <w:r>
        <w:rPr>
          <w:rFonts w:hint="eastAsia" w:ascii="宋体" w:hAnsi="宋体" w:cs="宋体"/>
          <w:sz w:val="24"/>
        </w:rPr>
        <w:t>（十）无正当理由放弃中标（成交）项目;</w:t>
      </w:r>
    </w:p>
    <w:p>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pPr>
        <w:spacing w:line="380" w:lineRule="exact"/>
        <w:rPr>
          <w:rFonts w:ascii="宋体" w:hAnsi="宋体" w:cs="宋体"/>
          <w:sz w:val="24"/>
        </w:rPr>
      </w:pPr>
      <w:r>
        <w:rPr>
          <w:rFonts w:hint="eastAsia" w:ascii="宋体" w:hAnsi="宋体" w:cs="宋体"/>
          <w:sz w:val="24"/>
        </w:rPr>
        <w:t>（十四）开标后对招标文件的相关内容再进行质疑；</w:t>
      </w:r>
    </w:p>
    <w:p>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pPr>
        <w:spacing w:line="380" w:lineRule="exact"/>
        <w:rPr>
          <w:rFonts w:ascii="宋体" w:hAnsi="宋体" w:cs="宋体"/>
          <w:sz w:val="24"/>
        </w:rPr>
      </w:pPr>
      <w:r>
        <w:rPr>
          <w:rFonts w:hint="eastAsia" w:ascii="宋体" w:hAnsi="宋体" w:cs="宋体"/>
          <w:sz w:val="24"/>
        </w:rPr>
        <w:t>（十六）拒绝有关部门监督检查或者提供虚假情况；</w:t>
      </w:r>
    </w:p>
    <w:p>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sz w:val="24"/>
        </w:rPr>
      </w:pPr>
      <w:r>
        <w:rPr>
          <w:rFonts w:hint="eastAsia" w:ascii="宋体" w:hAnsi="宋体" w:cs="宋体"/>
          <w:sz w:val="24"/>
        </w:rPr>
        <w:t>供应商名称：（盖章）</w:t>
      </w:r>
    </w:p>
    <w:p>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b/>
          <w:sz w:val="24"/>
        </w:rPr>
      </w:pPr>
      <w:r>
        <w:rPr>
          <w:rFonts w:hint="eastAsia" w:ascii="宋体" w:hAnsi="宋体" w:cs="宋体"/>
          <w:sz w:val="24"/>
        </w:rPr>
        <w:t>日期：年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p>
    <w:p>
      <w:pPr>
        <w:pStyle w:val="35"/>
        <w:ind w:firstLine="0" w:firstLineChars="0"/>
        <w:rPr>
          <w:rFonts w:ascii="宋体" w:hAnsi="宋体" w:cs="宋体"/>
          <w:b/>
          <w:sz w:val="24"/>
        </w:rPr>
      </w:pPr>
    </w:p>
    <w:p>
      <w:pPr>
        <w:pStyle w:val="3"/>
        <w:spacing w:before="0" w:after="0" w:line="500" w:lineRule="exact"/>
        <w:ind w:firstLine="0"/>
        <w:jc w:val="center"/>
        <w:outlineLvl w:val="0"/>
        <w:rPr>
          <w:rFonts w:hint="eastAsia" w:ascii="宋体" w:hAnsi="宋体" w:eastAsia="宋体" w:cs="宋体"/>
          <w:b/>
          <w:bCs w:val="0"/>
          <w:sz w:val="32"/>
          <w:szCs w:val="32"/>
          <w:lang w:val="en-US"/>
        </w:rPr>
      </w:pPr>
      <w:bookmarkStart w:id="65" w:name="_Toc16825"/>
      <w:r>
        <w:rPr>
          <w:rFonts w:hint="eastAsia" w:ascii="宋体" w:hAnsi="宋体" w:cs="宋体"/>
          <w:b/>
          <w:bCs w:val="0"/>
          <w:sz w:val="32"/>
          <w:szCs w:val="32"/>
        </w:rPr>
        <w:t>第五章</w:t>
      </w:r>
      <w:r>
        <w:rPr>
          <w:rFonts w:hint="eastAsia" w:ascii="宋体" w:hAnsi="宋体" w:cs="宋体"/>
          <w:b/>
          <w:sz w:val="32"/>
          <w:szCs w:val="32"/>
        </w:rPr>
        <w:t xml:space="preserve">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bookmarkEnd w:id="65"/>
    </w:p>
    <w:p>
      <w:pPr>
        <w:ind w:firstLine="640" w:firstLineChars="200"/>
        <w:jc w:val="both"/>
        <w:rPr>
          <w:rFonts w:hint="eastAsia" w:ascii="宋体" w:hAnsi="宋体" w:eastAsia="宋体" w:cs="宋体"/>
          <w:sz w:val="32"/>
          <w:szCs w:val="32"/>
          <w:lang w:val="en-US"/>
        </w:rPr>
      </w:pPr>
    </w:p>
    <w:p>
      <w:pPr>
        <w:pStyle w:val="79"/>
        <w:spacing w:beforeLines="0" w:afterLines="0"/>
        <w:ind w:left="0" w:firstLine="640" w:firstLineChars="200"/>
        <w:jc w:val="both"/>
        <w:rPr>
          <w:rFonts w:hint="eastAsia" w:ascii="宋体" w:hAnsi="宋体" w:eastAsia="宋体" w:cs="宋体"/>
          <w:sz w:val="32"/>
          <w:szCs w:val="32"/>
          <w:lang w:val="en-US"/>
        </w:rPr>
      </w:pPr>
    </w:p>
    <w:p>
      <w:pPr>
        <w:pStyle w:val="79"/>
        <w:spacing w:beforeLines="0" w:afterLines="0"/>
        <w:ind w:left="0" w:firstLine="640" w:firstLineChars="200"/>
        <w:jc w:val="both"/>
        <w:rPr>
          <w:rFonts w:hint="eastAsia" w:ascii="宋体" w:hAnsi="宋体" w:eastAsia="宋体" w:cs="宋体"/>
          <w:sz w:val="32"/>
          <w:szCs w:val="32"/>
          <w:lang w:val="en-US"/>
        </w:rPr>
      </w:pP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ind w:left="0" w:firstLine="600" w:firstLineChars="200"/>
        <w:jc w:val="both"/>
        <w:rPr>
          <w:rFonts w:hint="eastAsia" w:ascii="宋体" w:hAnsi="宋体" w:eastAsia="宋体" w:cs="宋体"/>
          <w:sz w:val="30"/>
          <w:szCs w:val="30"/>
          <w:lang w:val="en-US"/>
        </w:rPr>
      </w:pPr>
    </w:p>
    <w:p>
      <w:pPr>
        <w:pStyle w:val="79"/>
        <w:spacing w:beforeLines="0" w:afterLines="0"/>
        <w:ind w:left="0" w:firstLine="600" w:firstLineChars="200"/>
        <w:jc w:val="both"/>
        <w:outlineLvl w:val="9"/>
        <w:rPr>
          <w:rFonts w:hint="eastAsia" w:ascii="宋体" w:hAnsi="宋体" w:eastAsia="宋体" w:cs="宋体"/>
          <w:sz w:val="30"/>
          <w:szCs w:val="30"/>
          <w:lang w:val="en-US"/>
        </w:rPr>
      </w:pPr>
    </w:p>
    <w:p>
      <w:pPr>
        <w:pStyle w:val="79"/>
        <w:spacing w:beforeLines="0" w:afterLines="0"/>
        <w:ind w:left="0" w:firstLine="600" w:firstLineChars="200"/>
        <w:jc w:val="both"/>
        <w:outlineLvl w:val="9"/>
        <w:rPr>
          <w:rFonts w:hint="eastAsia" w:ascii="宋体" w:hAnsi="宋体" w:eastAsia="宋体" w:cs="宋体"/>
          <w:sz w:val="30"/>
          <w:szCs w:val="30"/>
          <w:lang w:val="en-US"/>
        </w:rPr>
      </w:pPr>
    </w:p>
    <w:p>
      <w:pPr>
        <w:pStyle w:val="79"/>
        <w:spacing w:beforeLines="0" w:afterLines="0"/>
        <w:ind w:left="0" w:firstLine="600" w:firstLineChars="200"/>
        <w:jc w:val="both"/>
        <w:outlineLvl w:val="9"/>
        <w:rPr>
          <w:rFonts w:hint="eastAsia" w:ascii="宋体" w:hAnsi="宋体" w:eastAsia="宋体" w:cs="宋体"/>
          <w:sz w:val="30"/>
          <w:szCs w:val="30"/>
          <w:lang w:val="en-US"/>
        </w:rPr>
      </w:pPr>
    </w:p>
    <w:p>
      <w:pPr>
        <w:pStyle w:val="79"/>
        <w:spacing w:beforeLines="0" w:afterLines="0"/>
        <w:ind w:left="0" w:firstLine="600" w:firstLineChars="200"/>
        <w:jc w:val="both"/>
        <w:outlineLvl w:val="9"/>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pPr>
        <w:pStyle w:val="79"/>
        <w:spacing w:beforeLines="0" w:afterLines="0"/>
        <w:ind w:left="0" w:firstLine="600" w:firstLineChars="200"/>
        <w:jc w:val="both"/>
        <w:outlineLvl w:val="9"/>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pPr>
        <w:pStyle w:val="79"/>
        <w:spacing w:beforeLines="0" w:afterLines="0"/>
        <w:ind w:left="0" w:firstLine="600" w:firstLineChars="200"/>
        <w:jc w:val="both"/>
        <w:outlineLvl w:val="9"/>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pPr>
        <w:pStyle w:val="79"/>
        <w:spacing w:beforeLines="0" w:afterLines="0"/>
        <w:ind w:left="0" w:firstLine="600" w:firstLineChars="200"/>
        <w:jc w:val="both"/>
        <w:outlineLvl w:val="9"/>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pPr>
        <w:pStyle w:val="79"/>
        <w:spacing w:beforeLines="0" w:afterLines="0"/>
        <w:ind w:left="0" w:firstLine="600" w:firstLineChars="200"/>
        <w:jc w:val="both"/>
        <w:outlineLvl w:val="9"/>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pPr>
        <w:pStyle w:val="79"/>
        <w:spacing w:beforeLines="0" w:afterLines="0"/>
        <w:ind w:left="0" w:firstLine="600" w:firstLineChars="200"/>
        <w:jc w:val="both"/>
        <w:outlineLvl w:val="9"/>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pPr>
        <w:pStyle w:val="79"/>
        <w:spacing w:beforeLines="0" w:afterLines="0"/>
        <w:ind w:left="0" w:firstLine="600" w:firstLineChars="200"/>
        <w:jc w:val="both"/>
        <w:outlineLvl w:val="9"/>
        <w:rPr>
          <w:rFonts w:hint="eastAsia" w:ascii="宋体" w:hAnsi="宋体" w:eastAsia="宋体" w:cs="宋体"/>
          <w:sz w:val="30"/>
          <w:szCs w:val="30"/>
          <w:lang w:val="en-US"/>
        </w:rPr>
      </w:pPr>
    </w:p>
    <w:p>
      <w:pPr>
        <w:pStyle w:val="79"/>
        <w:spacing w:beforeLines="0" w:afterLines="0"/>
        <w:ind w:left="0" w:firstLine="600" w:firstLineChars="200"/>
        <w:jc w:val="both"/>
        <w:outlineLvl w:val="9"/>
        <w:rPr>
          <w:rFonts w:hint="eastAsia" w:ascii="宋体" w:hAnsi="宋体" w:eastAsia="宋体" w:cs="宋体"/>
          <w:sz w:val="30"/>
          <w:szCs w:val="30"/>
          <w:lang w:val="en-US"/>
        </w:rPr>
      </w:pPr>
    </w:p>
    <w:p>
      <w:pPr>
        <w:pStyle w:val="79"/>
        <w:spacing w:beforeLines="0" w:afterLines="0"/>
        <w:ind w:left="0" w:firstLine="600" w:firstLineChars="200"/>
        <w:jc w:val="both"/>
        <w:outlineLvl w:val="9"/>
        <w:rPr>
          <w:rFonts w:hint="eastAsia" w:ascii="宋体" w:hAnsi="宋体" w:eastAsia="宋体" w:cs="宋体"/>
          <w:sz w:val="30"/>
          <w:szCs w:val="30"/>
          <w:lang w:val="en-US"/>
        </w:rPr>
      </w:pPr>
    </w:p>
    <w:p>
      <w:pPr>
        <w:outlineLvl w:val="9"/>
        <w:rPr>
          <w:rFonts w:hint="eastAsia" w:ascii="宋体" w:hAnsi="宋体" w:eastAsia="宋体" w:cs="宋体"/>
          <w:sz w:val="32"/>
          <w:szCs w:val="32"/>
        </w:rPr>
      </w:pPr>
      <w:r>
        <w:rPr>
          <w:rFonts w:hint="eastAsia" w:ascii="宋体" w:hAnsi="宋体" w:eastAsia="宋体" w:cs="宋体"/>
          <w:sz w:val="32"/>
          <w:szCs w:val="32"/>
        </w:rPr>
        <w:br w:type="page"/>
      </w:r>
    </w:p>
    <w:p>
      <w:pPr>
        <w:pStyle w:val="79"/>
        <w:spacing w:beforeLines="0" w:afterLines="0" w:line="440" w:lineRule="exact"/>
        <w:ind w:left="0"/>
        <w:jc w:val="center"/>
        <w:outlineLvl w:val="9"/>
        <w:rPr>
          <w:rFonts w:hint="eastAsia" w:ascii="宋体" w:hAnsi="宋体" w:eastAsia="宋体" w:cs="宋体"/>
          <w:sz w:val="32"/>
          <w:szCs w:val="32"/>
        </w:rPr>
      </w:pPr>
      <w:r>
        <w:rPr>
          <w:rFonts w:hint="eastAsia" w:ascii="宋体" w:hAnsi="宋体" w:eastAsia="宋体" w:cs="宋体"/>
          <w:sz w:val="32"/>
          <w:szCs w:val="32"/>
        </w:rPr>
        <w:t>合同签订指引</w:t>
      </w:r>
    </w:p>
    <w:p>
      <w:pPr>
        <w:pStyle w:val="79"/>
        <w:spacing w:beforeLines="0" w:afterLines="0" w:line="440" w:lineRule="exact"/>
        <w:ind w:left="0"/>
        <w:jc w:val="both"/>
        <w:outlineLvl w:val="9"/>
        <w:rPr>
          <w:rFonts w:hint="eastAsia" w:ascii="宋体" w:hAnsi="宋体" w:eastAsia="宋体" w:cs="宋体"/>
          <w:sz w:val="30"/>
          <w:szCs w:val="30"/>
        </w:rPr>
      </w:pPr>
    </w:p>
    <w:p>
      <w:pPr>
        <w:pStyle w:val="79"/>
        <w:spacing w:beforeLines="0" w:afterLines="0" w:line="440" w:lineRule="exact"/>
        <w:ind w:left="0" w:firstLine="420" w:firstLineChars="200"/>
        <w:jc w:val="both"/>
        <w:outlineLvl w:val="1"/>
        <w:rPr>
          <w:rFonts w:hint="eastAsia" w:ascii="宋体" w:hAnsi="宋体" w:eastAsia="宋体" w:cs="宋体"/>
          <w:sz w:val="21"/>
          <w:szCs w:val="21"/>
        </w:rPr>
      </w:pPr>
      <w:bookmarkStart w:id="66" w:name="_Toc13701"/>
      <w:r>
        <w:rPr>
          <w:rFonts w:hint="eastAsia" w:ascii="宋体" w:hAnsi="宋体" w:eastAsia="宋体" w:cs="宋体"/>
          <w:sz w:val="21"/>
          <w:szCs w:val="21"/>
        </w:rPr>
        <w:t>一、采购人在签订合同时应提供的资料：</w:t>
      </w:r>
      <w:bookmarkEnd w:id="66"/>
    </w:p>
    <w:p>
      <w:pPr>
        <w:pStyle w:val="79"/>
        <w:spacing w:beforeLines="0" w:afterLines="0" w:line="440" w:lineRule="exact"/>
        <w:ind w:left="0" w:firstLine="420" w:firstLineChars="200"/>
        <w:jc w:val="both"/>
        <w:outlineLvl w:val="9"/>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pPr>
        <w:pStyle w:val="79"/>
        <w:spacing w:beforeLines="0" w:afterLines="0" w:line="440" w:lineRule="exact"/>
        <w:ind w:left="0" w:firstLine="420" w:firstLineChars="200"/>
        <w:jc w:val="both"/>
        <w:outlineLvl w:val="9"/>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pPr>
        <w:pStyle w:val="79"/>
        <w:spacing w:beforeLines="0" w:afterLines="0" w:line="440" w:lineRule="exact"/>
        <w:ind w:left="0" w:firstLine="420" w:firstLineChars="200"/>
        <w:jc w:val="both"/>
        <w:outlineLvl w:val="9"/>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pPr>
        <w:pStyle w:val="79"/>
        <w:spacing w:beforeLines="0" w:afterLines="0" w:line="440" w:lineRule="exact"/>
        <w:ind w:left="0" w:firstLine="420" w:firstLineChars="200"/>
        <w:jc w:val="both"/>
        <w:outlineLvl w:val="9"/>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pPr>
        <w:pStyle w:val="79"/>
        <w:spacing w:beforeLines="0" w:afterLines="0" w:line="440" w:lineRule="exact"/>
        <w:ind w:left="0" w:firstLine="420" w:firstLineChars="200"/>
        <w:jc w:val="both"/>
        <w:outlineLvl w:val="9"/>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pPr>
        <w:pStyle w:val="79"/>
        <w:spacing w:beforeLines="0" w:afterLines="0" w:line="440" w:lineRule="exact"/>
        <w:ind w:left="0" w:firstLine="420" w:firstLineChars="200"/>
        <w:jc w:val="both"/>
        <w:outlineLvl w:val="9"/>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pPr>
        <w:pStyle w:val="79"/>
        <w:spacing w:beforeLines="0" w:afterLines="0" w:line="440" w:lineRule="exact"/>
        <w:ind w:left="0" w:firstLine="420" w:firstLineChars="200"/>
        <w:jc w:val="both"/>
        <w:outlineLvl w:val="1"/>
        <w:rPr>
          <w:rFonts w:hint="eastAsia" w:ascii="宋体" w:hAnsi="宋体" w:eastAsia="宋体" w:cs="宋体"/>
          <w:sz w:val="21"/>
          <w:szCs w:val="21"/>
        </w:rPr>
      </w:pPr>
      <w:bookmarkStart w:id="67" w:name="_Toc21978"/>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bookmarkEnd w:id="67"/>
    </w:p>
    <w:p>
      <w:pPr>
        <w:pStyle w:val="79"/>
        <w:spacing w:beforeLines="0" w:afterLines="0" w:line="440" w:lineRule="exact"/>
        <w:ind w:left="0" w:firstLine="420" w:firstLineChars="200"/>
        <w:jc w:val="both"/>
        <w:outlineLvl w:val="9"/>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pPr>
        <w:pStyle w:val="79"/>
        <w:spacing w:beforeLines="0" w:afterLines="0" w:line="440" w:lineRule="exact"/>
        <w:ind w:left="0" w:firstLine="420" w:firstLineChars="200"/>
        <w:jc w:val="both"/>
        <w:outlineLvl w:val="9"/>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pPr>
        <w:pStyle w:val="79"/>
        <w:spacing w:beforeLines="0" w:afterLines="0" w:line="440" w:lineRule="exact"/>
        <w:ind w:left="0" w:firstLine="420" w:firstLineChars="200"/>
        <w:jc w:val="both"/>
        <w:outlineLvl w:val="9"/>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pPr>
        <w:pStyle w:val="79"/>
        <w:spacing w:beforeLines="0" w:afterLines="0" w:line="440" w:lineRule="exact"/>
        <w:ind w:left="0" w:firstLine="420" w:firstLineChars="200"/>
        <w:jc w:val="both"/>
        <w:outlineLvl w:val="9"/>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pPr>
        <w:pStyle w:val="79"/>
        <w:spacing w:beforeLines="0" w:afterLines="0" w:line="440" w:lineRule="exact"/>
        <w:ind w:left="0" w:firstLine="420" w:firstLineChars="200"/>
        <w:jc w:val="both"/>
        <w:outlineLvl w:val="9"/>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pPr>
        <w:pStyle w:val="79"/>
        <w:spacing w:beforeLines="0" w:afterLines="0" w:line="440" w:lineRule="exact"/>
        <w:ind w:left="0" w:firstLine="420" w:firstLineChars="200"/>
        <w:jc w:val="both"/>
        <w:outlineLvl w:val="9"/>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pPr>
        <w:pStyle w:val="79"/>
        <w:spacing w:beforeLines="0" w:afterLines="0" w:line="440" w:lineRule="exact"/>
        <w:ind w:left="0" w:firstLine="420" w:firstLineChars="200"/>
        <w:jc w:val="both"/>
        <w:outlineLvl w:val="9"/>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pPr>
        <w:pStyle w:val="79"/>
        <w:spacing w:beforeLines="0" w:afterLines="0" w:line="440" w:lineRule="exact"/>
        <w:ind w:left="0"/>
        <w:jc w:val="center"/>
        <w:outlineLvl w:val="9"/>
        <w:rPr>
          <w:rFonts w:hint="eastAsia" w:ascii="宋体" w:hAnsi="宋体" w:eastAsia="宋体" w:cs="宋体"/>
          <w:bCs/>
          <w:sz w:val="32"/>
          <w:szCs w:val="32"/>
        </w:rPr>
      </w:pPr>
    </w:p>
    <w:p>
      <w:pPr>
        <w:pStyle w:val="79"/>
        <w:spacing w:beforeLines="0" w:afterLines="0" w:line="440" w:lineRule="exact"/>
        <w:ind w:left="0"/>
        <w:jc w:val="center"/>
        <w:outlineLvl w:val="9"/>
        <w:rPr>
          <w:rFonts w:hint="eastAsia" w:ascii="宋体" w:hAnsi="宋体" w:eastAsia="宋体" w:cs="宋体"/>
          <w:sz w:val="32"/>
          <w:szCs w:val="32"/>
        </w:rPr>
      </w:pPr>
      <w:r>
        <w:rPr>
          <w:rFonts w:hint="eastAsia" w:ascii="宋体" w:hAnsi="宋体" w:eastAsia="宋体" w:cs="宋体"/>
          <w:bCs/>
          <w:sz w:val="32"/>
          <w:szCs w:val="32"/>
        </w:rPr>
        <w:t>供应商履约验收指引</w:t>
      </w:r>
    </w:p>
    <w:p>
      <w:pPr>
        <w:pStyle w:val="79"/>
        <w:spacing w:beforeLines="0" w:afterLines="0" w:line="440" w:lineRule="exact"/>
        <w:ind w:left="0" w:firstLine="420" w:firstLineChars="200"/>
        <w:jc w:val="both"/>
        <w:outlineLvl w:val="9"/>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pPr>
        <w:pStyle w:val="79"/>
        <w:spacing w:beforeLines="0" w:afterLines="0" w:line="440" w:lineRule="exact"/>
        <w:ind w:left="0" w:firstLine="420" w:firstLineChars="200"/>
        <w:jc w:val="both"/>
        <w:outlineLvl w:val="9"/>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pPr>
        <w:pStyle w:val="79"/>
        <w:spacing w:beforeLines="0" w:afterLines="0" w:line="440" w:lineRule="exact"/>
        <w:ind w:left="0" w:firstLine="420" w:firstLineChars="200"/>
        <w:jc w:val="both"/>
        <w:outlineLvl w:val="9"/>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pPr>
        <w:pStyle w:val="79"/>
        <w:spacing w:beforeLines="0" w:afterLines="0" w:line="440" w:lineRule="exact"/>
        <w:ind w:left="0" w:firstLine="420" w:firstLineChars="200"/>
        <w:jc w:val="both"/>
        <w:outlineLvl w:val="9"/>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pPr>
        <w:pStyle w:val="79"/>
        <w:spacing w:beforeLines="0" w:afterLines="0" w:line="440" w:lineRule="exact"/>
        <w:ind w:left="0" w:firstLine="420" w:firstLineChars="200"/>
        <w:jc w:val="both"/>
        <w:outlineLvl w:val="9"/>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pPr>
        <w:pStyle w:val="79"/>
        <w:spacing w:beforeLines="0" w:afterLines="0" w:line="440" w:lineRule="exact"/>
        <w:ind w:left="0" w:firstLine="420" w:firstLineChars="200"/>
        <w:jc w:val="both"/>
        <w:outlineLvl w:val="9"/>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pPr>
        <w:pStyle w:val="79"/>
        <w:spacing w:beforeLines="0" w:afterLines="0" w:line="440" w:lineRule="exact"/>
        <w:ind w:left="0" w:firstLine="420" w:firstLineChars="200"/>
        <w:jc w:val="both"/>
        <w:outlineLvl w:val="9"/>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pPr>
        <w:spacing w:before="0" w:after="0" w:line="500" w:lineRule="exact"/>
        <w:ind w:firstLine="0"/>
        <w:jc w:val="both"/>
        <w:outlineLvl w:val="9"/>
        <w:rPr>
          <w:rFonts w:hint="eastAsia" w:ascii="宋体" w:hAnsi="宋体" w:eastAsia="宋体" w:cs="宋体"/>
          <w:b w:val="0"/>
          <w:bCs w:val="0"/>
          <w:sz w:val="21"/>
          <w:szCs w:val="21"/>
        </w:rPr>
      </w:pPr>
    </w:p>
    <w:p>
      <w:pPr>
        <w:rPr>
          <w:rFonts w:hint="eastAsia" w:ascii="宋体" w:hAnsi="宋体" w:eastAsia="宋体" w:cs="宋体"/>
          <w:b w:val="0"/>
          <w:sz w:val="44"/>
          <w:szCs w:val="44"/>
        </w:rPr>
      </w:pPr>
      <w:r>
        <w:rPr>
          <w:rFonts w:hint="eastAsia" w:ascii="宋体" w:hAnsi="宋体" w:eastAsia="宋体" w:cs="宋体"/>
          <w:b w:val="0"/>
          <w:sz w:val="44"/>
          <w:szCs w:val="44"/>
        </w:rPr>
        <w:br w:type="page"/>
      </w:r>
    </w:p>
    <w:p>
      <w:pPr>
        <w:spacing w:before="0" w:after="0" w:line="500" w:lineRule="exact"/>
        <w:ind w:firstLine="0"/>
        <w:jc w:val="center"/>
        <w:outlineLvl w:val="9"/>
        <w:rPr>
          <w:rFonts w:hint="eastAsia" w:ascii="宋体" w:hAnsi="宋体" w:eastAsia="宋体" w:cs="宋体"/>
          <w:b w:val="0"/>
          <w:sz w:val="36"/>
          <w:szCs w:val="36"/>
        </w:rPr>
      </w:pPr>
      <w:r>
        <w:rPr>
          <w:rFonts w:hint="eastAsia" w:ascii="宋体" w:hAnsi="宋体" w:eastAsia="宋体" w:cs="宋体"/>
          <w:b w:val="0"/>
          <w:sz w:val="36"/>
          <w:szCs w:val="36"/>
        </w:rPr>
        <w:t>服务合同内容</w:t>
      </w:r>
    </w:p>
    <w:p>
      <w:pPr>
        <w:spacing w:line="360" w:lineRule="auto"/>
        <w:ind w:firstLine="420" w:firstLineChars="200"/>
        <w:jc w:val="both"/>
        <w:outlineLvl w:val="9"/>
        <w:rPr>
          <w:rFonts w:hint="eastAsia" w:ascii="宋体" w:hAnsi="宋体" w:eastAsia="宋体" w:cs="宋体"/>
          <w:szCs w:val="27"/>
        </w:rPr>
      </w:pPr>
    </w:p>
    <w:p>
      <w:pPr>
        <w:spacing w:line="360" w:lineRule="auto"/>
        <w:ind w:firstLine="420" w:firstLineChars="200"/>
        <w:jc w:val="both"/>
        <w:outlineLvl w:val="9"/>
        <w:rPr>
          <w:rFonts w:hint="eastAsia" w:ascii="宋体" w:hAnsi="宋体" w:eastAsia="宋体" w:cs="宋体"/>
          <w:szCs w:val="27"/>
          <w:u w:val="single"/>
        </w:rPr>
      </w:pPr>
      <w:r>
        <w:rPr>
          <w:rFonts w:hint="eastAsia" w:ascii="宋体" w:hAnsi="宋体" w:eastAsia="宋体" w:cs="宋体"/>
          <w:szCs w:val="27"/>
        </w:rPr>
        <w:t xml:space="preserve">采购人（甲方）： </w:t>
      </w:r>
    </w:p>
    <w:p>
      <w:pPr>
        <w:spacing w:line="360" w:lineRule="auto"/>
        <w:ind w:firstLine="420" w:firstLineChars="200"/>
        <w:jc w:val="both"/>
        <w:outlineLvl w:val="9"/>
        <w:rPr>
          <w:rFonts w:hint="eastAsia" w:ascii="宋体" w:hAnsi="宋体" w:eastAsia="宋体" w:cs="宋体"/>
          <w:szCs w:val="27"/>
        </w:rPr>
      </w:pPr>
      <w:r>
        <w:rPr>
          <w:rFonts w:hint="eastAsia" w:ascii="宋体" w:hAnsi="宋体" w:eastAsia="宋体" w:cs="宋体"/>
          <w:szCs w:val="27"/>
        </w:rPr>
        <w:t>供应商（乙方）：</w:t>
      </w:r>
    </w:p>
    <w:p>
      <w:pPr>
        <w:spacing w:line="360" w:lineRule="auto"/>
        <w:ind w:firstLine="420" w:firstLineChars="200"/>
        <w:jc w:val="both"/>
        <w:outlineLvl w:val="9"/>
        <w:rPr>
          <w:rFonts w:hint="eastAsia" w:ascii="宋体" w:hAnsi="宋体" w:eastAsia="宋体" w:cs="宋体"/>
          <w:szCs w:val="27"/>
          <w:u w:val="single"/>
        </w:rPr>
      </w:pPr>
      <w:r>
        <w:rPr>
          <w:rFonts w:hint="eastAsia" w:ascii="宋体" w:hAnsi="宋体" w:eastAsia="宋体" w:cs="宋体"/>
          <w:szCs w:val="27"/>
        </w:rPr>
        <w:t>签订地点：</w:t>
      </w:r>
    </w:p>
    <w:p>
      <w:pPr>
        <w:spacing w:line="360" w:lineRule="auto"/>
        <w:ind w:firstLine="420" w:firstLineChars="200"/>
        <w:jc w:val="both"/>
        <w:outlineLvl w:val="9"/>
        <w:rPr>
          <w:rFonts w:hint="eastAsia" w:ascii="宋体" w:hAnsi="宋体" w:eastAsia="宋体" w:cs="宋体"/>
          <w:szCs w:val="27"/>
          <w:u w:val="single"/>
        </w:rPr>
      </w:pPr>
      <w:r>
        <w:rPr>
          <w:rFonts w:hint="eastAsia" w:ascii="宋体" w:hAnsi="宋体" w:eastAsia="宋体" w:cs="宋体"/>
          <w:szCs w:val="27"/>
        </w:rPr>
        <w:t>项目名称：</w:t>
      </w:r>
    </w:p>
    <w:p>
      <w:pPr>
        <w:spacing w:line="360" w:lineRule="auto"/>
        <w:ind w:firstLine="420" w:firstLineChars="200"/>
        <w:jc w:val="both"/>
        <w:outlineLvl w:val="9"/>
        <w:rPr>
          <w:rFonts w:hint="eastAsia" w:ascii="宋体" w:hAnsi="宋体" w:eastAsia="宋体" w:cs="宋体"/>
          <w:szCs w:val="27"/>
          <w:u w:val="single"/>
        </w:rPr>
      </w:pPr>
      <w:r>
        <w:rPr>
          <w:rFonts w:hint="eastAsia" w:ascii="宋体" w:hAnsi="宋体" w:eastAsia="宋体" w:cs="宋体"/>
          <w:szCs w:val="27"/>
        </w:rPr>
        <w:t>项目编号：</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22" w:firstLineChars="200"/>
        <w:jc w:val="both"/>
        <w:outlineLvl w:val="9"/>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服务内容</w:t>
            </w:r>
          </w:p>
        </w:tc>
        <w:tc>
          <w:tcPr>
            <w:tcW w:w="1623" w:type="dxa"/>
            <w:noWrap w:val="0"/>
            <w:vAlign w:val="top"/>
          </w:tcPr>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标准水平</w:t>
            </w:r>
          </w:p>
        </w:tc>
        <w:tc>
          <w:tcPr>
            <w:tcW w:w="902" w:type="dxa"/>
            <w:noWrap w:val="0"/>
            <w:vAlign w:val="top"/>
          </w:tcPr>
          <w:p>
            <w:pPr>
              <w:spacing w:line="360" w:lineRule="auto"/>
              <w:jc w:val="both"/>
              <w:outlineLvl w:val="9"/>
              <w:rPr>
                <w:rFonts w:hint="eastAsia" w:ascii="宋体" w:hAnsi="宋体" w:eastAsia="宋体" w:cs="宋体"/>
              </w:rPr>
            </w:pPr>
            <w:r>
              <w:rPr>
                <w:rFonts w:hint="eastAsia" w:ascii="宋体" w:hAnsi="宋体" w:eastAsia="宋体" w:cs="宋体"/>
              </w:rPr>
              <w:t>单位</w:t>
            </w:r>
          </w:p>
        </w:tc>
        <w:tc>
          <w:tcPr>
            <w:tcW w:w="902" w:type="dxa"/>
            <w:noWrap w:val="0"/>
            <w:vAlign w:val="top"/>
          </w:tcPr>
          <w:p>
            <w:pPr>
              <w:spacing w:line="360" w:lineRule="auto"/>
              <w:jc w:val="both"/>
              <w:outlineLvl w:val="9"/>
              <w:rPr>
                <w:rFonts w:hint="eastAsia" w:ascii="宋体" w:hAnsi="宋体" w:eastAsia="宋体" w:cs="宋体"/>
              </w:rPr>
            </w:pPr>
            <w:r>
              <w:rPr>
                <w:rFonts w:hint="eastAsia" w:ascii="宋体" w:hAnsi="宋体" w:eastAsia="宋体" w:cs="宋体"/>
              </w:rPr>
              <w:t>数量</w:t>
            </w:r>
          </w:p>
        </w:tc>
        <w:tc>
          <w:tcPr>
            <w:tcW w:w="1071" w:type="dxa"/>
            <w:noWrap w:val="0"/>
            <w:vAlign w:val="top"/>
          </w:tcPr>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单价</w:t>
            </w:r>
          </w:p>
        </w:tc>
        <w:tc>
          <w:tcPr>
            <w:tcW w:w="1250" w:type="dxa"/>
            <w:noWrap w:val="0"/>
            <w:vAlign w:val="top"/>
          </w:tcPr>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小计</w:t>
            </w:r>
          </w:p>
        </w:tc>
        <w:tc>
          <w:tcPr>
            <w:tcW w:w="1106" w:type="dxa"/>
            <w:noWrap w:val="0"/>
            <w:vAlign w:val="top"/>
          </w:tcPr>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pPr>
              <w:spacing w:line="360" w:lineRule="auto"/>
              <w:ind w:firstLine="420" w:firstLineChars="200"/>
              <w:jc w:val="both"/>
              <w:outlineLvl w:val="9"/>
              <w:rPr>
                <w:rFonts w:hint="eastAsia" w:ascii="宋体" w:hAnsi="宋体" w:eastAsia="宋体" w:cs="宋体"/>
              </w:rPr>
            </w:pPr>
          </w:p>
        </w:tc>
        <w:tc>
          <w:tcPr>
            <w:tcW w:w="1623" w:type="dxa"/>
            <w:noWrap w:val="0"/>
            <w:vAlign w:val="top"/>
          </w:tcPr>
          <w:p>
            <w:pPr>
              <w:spacing w:line="360" w:lineRule="auto"/>
              <w:ind w:firstLine="420" w:firstLineChars="200"/>
              <w:jc w:val="both"/>
              <w:outlineLvl w:val="9"/>
              <w:rPr>
                <w:rFonts w:hint="eastAsia" w:ascii="宋体" w:hAnsi="宋体" w:eastAsia="宋体" w:cs="宋体"/>
              </w:rPr>
            </w:pPr>
          </w:p>
        </w:tc>
        <w:tc>
          <w:tcPr>
            <w:tcW w:w="902" w:type="dxa"/>
            <w:noWrap w:val="0"/>
            <w:vAlign w:val="top"/>
          </w:tcPr>
          <w:p>
            <w:pPr>
              <w:spacing w:line="360" w:lineRule="auto"/>
              <w:ind w:firstLine="420" w:firstLineChars="200"/>
              <w:jc w:val="both"/>
              <w:outlineLvl w:val="9"/>
              <w:rPr>
                <w:rFonts w:hint="eastAsia" w:ascii="宋体" w:hAnsi="宋体" w:eastAsia="宋体" w:cs="宋体"/>
              </w:rPr>
            </w:pPr>
          </w:p>
        </w:tc>
        <w:tc>
          <w:tcPr>
            <w:tcW w:w="902" w:type="dxa"/>
            <w:noWrap w:val="0"/>
            <w:vAlign w:val="top"/>
          </w:tcPr>
          <w:p>
            <w:pPr>
              <w:spacing w:line="360" w:lineRule="auto"/>
              <w:ind w:firstLine="420" w:firstLineChars="200"/>
              <w:jc w:val="both"/>
              <w:outlineLvl w:val="9"/>
              <w:rPr>
                <w:rFonts w:hint="eastAsia" w:ascii="宋体" w:hAnsi="宋体" w:eastAsia="宋体" w:cs="宋体"/>
              </w:rPr>
            </w:pPr>
          </w:p>
        </w:tc>
        <w:tc>
          <w:tcPr>
            <w:tcW w:w="1071" w:type="dxa"/>
            <w:noWrap w:val="0"/>
            <w:vAlign w:val="top"/>
          </w:tcPr>
          <w:p>
            <w:pPr>
              <w:spacing w:line="360" w:lineRule="auto"/>
              <w:ind w:firstLine="420" w:firstLineChars="200"/>
              <w:jc w:val="both"/>
              <w:outlineLvl w:val="9"/>
              <w:rPr>
                <w:rFonts w:hint="eastAsia" w:ascii="宋体" w:hAnsi="宋体" w:eastAsia="宋体" w:cs="宋体"/>
              </w:rPr>
            </w:pPr>
          </w:p>
        </w:tc>
        <w:tc>
          <w:tcPr>
            <w:tcW w:w="1250" w:type="dxa"/>
            <w:noWrap w:val="0"/>
            <w:vAlign w:val="top"/>
          </w:tcPr>
          <w:p>
            <w:pPr>
              <w:spacing w:line="360" w:lineRule="auto"/>
              <w:ind w:firstLine="420" w:firstLineChars="200"/>
              <w:jc w:val="both"/>
              <w:outlineLvl w:val="9"/>
              <w:rPr>
                <w:rFonts w:hint="eastAsia" w:ascii="宋体" w:hAnsi="宋体" w:eastAsia="宋体" w:cs="宋体"/>
              </w:rPr>
            </w:pPr>
          </w:p>
        </w:tc>
        <w:tc>
          <w:tcPr>
            <w:tcW w:w="1106" w:type="dxa"/>
            <w:noWrap w:val="0"/>
            <w:vAlign w:val="top"/>
          </w:tcPr>
          <w:p>
            <w:pPr>
              <w:spacing w:line="360" w:lineRule="auto"/>
              <w:ind w:firstLine="420" w:firstLineChars="200"/>
              <w:jc w:val="both"/>
              <w:outlineLvl w:val="9"/>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pPr>
              <w:spacing w:line="360" w:lineRule="auto"/>
              <w:ind w:firstLine="420" w:firstLineChars="200"/>
              <w:jc w:val="both"/>
              <w:outlineLvl w:val="9"/>
              <w:rPr>
                <w:rFonts w:hint="eastAsia" w:ascii="宋体" w:hAnsi="宋体" w:eastAsia="宋体" w:cs="宋体"/>
              </w:rPr>
            </w:pPr>
          </w:p>
        </w:tc>
        <w:tc>
          <w:tcPr>
            <w:tcW w:w="1623" w:type="dxa"/>
            <w:noWrap w:val="0"/>
            <w:vAlign w:val="top"/>
          </w:tcPr>
          <w:p>
            <w:pPr>
              <w:spacing w:line="360" w:lineRule="auto"/>
              <w:ind w:firstLine="420" w:firstLineChars="200"/>
              <w:jc w:val="both"/>
              <w:outlineLvl w:val="9"/>
              <w:rPr>
                <w:rFonts w:hint="eastAsia" w:ascii="宋体" w:hAnsi="宋体" w:eastAsia="宋体" w:cs="宋体"/>
              </w:rPr>
            </w:pPr>
          </w:p>
        </w:tc>
        <w:tc>
          <w:tcPr>
            <w:tcW w:w="902" w:type="dxa"/>
            <w:noWrap w:val="0"/>
            <w:vAlign w:val="top"/>
          </w:tcPr>
          <w:p>
            <w:pPr>
              <w:spacing w:line="360" w:lineRule="auto"/>
              <w:ind w:firstLine="420" w:firstLineChars="200"/>
              <w:jc w:val="both"/>
              <w:outlineLvl w:val="9"/>
              <w:rPr>
                <w:rFonts w:hint="eastAsia" w:ascii="宋体" w:hAnsi="宋体" w:eastAsia="宋体" w:cs="宋体"/>
              </w:rPr>
            </w:pPr>
          </w:p>
        </w:tc>
        <w:tc>
          <w:tcPr>
            <w:tcW w:w="902" w:type="dxa"/>
            <w:noWrap w:val="0"/>
            <w:vAlign w:val="top"/>
          </w:tcPr>
          <w:p>
            <w:pPr>
              <w:spacing w:line="360" w:lineRule="auto"/>
              <w:ind w:firstLine="420" w:firstLineChars="200"/>
              <w:jc w:val="both"/>
              <w:outlineLvl w:val="9"/>
              <w:rPr>
                <w:rFonts w:hint="eastAsia" w:ascii="宋体" w:hAnsi="宋体" w:eastAsia="宋体" w:cs="宋体"/>
              </w:rPr>
            </w:pPr>
          </w:p>
        </w:tc>
        <w:tc>
          <w:tcPr>
            <w:tcW w:w="1071" w:type="dxa"/>
            <w:noWrap w:val="0"/>
            <w:vAlign w:val="top"/>
          </w:tcPr>
          <w:p>
            <w:pPr>
              <w:spacing w:line="360" w:lineRule="auto"/>
              <w:ind w:firstLine="420" w:firstLineChars="200"/>
              <w:jc w:val="both"/>
              <w:outlineLvl w:val="9"/>
              <w:rPr>
                <w:rFonts w:hint="eastAsia" w:ascii="宋体" w:hAnsi="宋体" w:eastAsia="宋体" w:cs="宋体"/>
              </w:rPr>
            </w:pPr>
          </w:p>
        </w:tc>
        <w:tc>
          <w:tcPr>
            <w:tcW w:w="1250" w:type="dxa"/>
            <w:noWrap w:val="0"/>
            <w:vAlign w:val="top"/>
          </w:tcPr>
          <w:p>
            <w:pPr>
              <w:spacing w:line="360" w:lineRule="auto"/>
              <w:ind w:firstLine="420" w:firstLineChars="200"/>
              <w:jc w:val="both"/>
              <w:outlineLvl w:val="9"/>
              <w:rPr>
                <w:rFonts w:hint="eastAsia" w:ascii="宋体" w:hAnsi="宋体" w:eastAsia="宋体" w:cs="宋体"/>
              </w:rPr>
            </w:pPr>
          </w:p>
        </w:tc>
        <w:tc>
          <w:tcPr>
            <w:tcW w:w="1106" w:type="dxa"/>
            <w:noWrap w:val="0"/>
            <w:vAlign w:val="top"/>
          </w:tcPr>
          <w:p>
            <w:pPr>
              <w:spacing w:line="360" w:lineRule="auto"/>
              <w:ind w:firstLine="420" w:firstLineChars="200"/>
              <w:jc w:val="both"/>
              <w:outlineLvl w:val="9"/>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pPr>
              <w:spacing w:line="360" w:lineRule="auto"/>
              <w:ind w:firstLine="420" w:firstLineChars="200"/>
              <w:jc w:val="both"/>
              <w:outlineLvl w:val="9"/>
              <w:rPr>
                <w:rFonts w:hint="eastAsia" w:ascii="宋体" w:hAnsi="宋体" w:eastAsia="宋体" w:cs="宋体"/>
              </w:rPr>
            </w:pPr>
          </w:p>
        </w:tc>
        <w:tc>
          <w:tcPr>
            <w:tcW w:w="1623" w:type="dxa"/>
            <w:noWrap w:val="0"/>
            <w:vAlign w:val="top"/>
          </w:tcPr>
          <w:p>
            <w:pPr>
              <w:spacing w:line="360" w:lineRule="auto"/>
              <w:ind w:firstLine="420" w:firstLineChars="200"/>
              <w:jc w:val="both"/>
              <w:outlineLvl w:val="9"/>
              <w:rPr>
                <w:rFonts w:hint="eastAsia" w:ascii="宋体" w:hAnsi="宋体" w:eastAsia="宋体" w:cs="宋体"/>
              </w:rPr>
            </w:pPr>
          </w:p>
        </w:tc>
        <w:tc>
          <w:tcPr>
            <w:tcW w:w="902" w:type="dxa"/>
            <w:noWrap w:val="0"/>
            <w:vAlign w:val="top"/>
          </w:tcPr>
          <w:p>
            <w:pPr>
              <w:spacing w:line="360" w:lineRule="auto"/>
              <w:ind w:firstLine="420" w:firstLineChars="200"/>
              <w:jc w:val="both"/>
              <w:outlineLvl w:val="9"/>
              <w:rPr>
                <w:rFonts w:hint="eastAsia" w:ascii="宋体" w:hAnsi="宋体" w:eastAsia="宋体" w:cs="宋体"/>
              </w:rPr>
            </w:pPr>
          </w:p>
        </w:tc>
        <w:tc>
          <w:tcPr>
            <w:tcW w:w="902" w:type="dxa"/>
            <w:noWrap w:val="0"/>
            <w:vAlign w:val="top"/>
          </w:tcPr>
          <w:p>
            <w:pPr>
              <w:spacing w:line="360" w:lineRule="auto"/>
              <w:ind w:firstLine="420" w:firstLineChars="200"/>
              <w:jc w:val="both"/>
              <w:outlineLvl w:val="9"/>
              <w:rPr>
                <w:rFonts w:hint="eastAsia" w:ascii="宋体" w:hAnsi="宋体" w:eastAsia="宋体" w:cs="宋体"/>
              </w:rPr>
            </w:pPr>
          </w:p>
        </w:tc>
        <w:tc>
          <w:tcPr>
            <w:tcW w:w="1071" w:type="dxa"/>
            <w:noWrap w:val="0"/>
            <w:vAlign w:val="top"/>
          </w:tcPr>
          <w:p>
            <w:pPr>
              <w:spacing w:line="360" w:lineRule="auto"/>
              <w:ind w:firstLine="420" w:firstLineChars="200"/>
              <w:jc w:val="both"/>
              <w:outlineLvl w:val="9"/>
              <w:rPr>
                <w:rFonts w:hint="eastAsia" w:ascii="宋体" w:hAnsi="宋体" w:eastAsia="宋体" w:cs="宋体"/>
              </w:rPr>
            </w:pPr>
          </w:p>
        </w:tc>
        <w:tc>
          <w:tcPr>
            <w:tcW w:w="1250" w:type="dxa"/>
            <w:noWrap w:val="0"/>
            <w:vAlign w:val="top"/>
          </w:tcPr>
          <w:p>
            <w:pPr>
              <w:spacing w:line="360" w:lineRule="auto"/>
              <w:ind w:firstLine="420" w:firstLineChars="200"/>
              <w:jc w:val="both"/>
              <w:outlineLvl w:val="9"/>
              <w:rPr>
                <w:rFonts w:hint="eastAsia" w:ascii="宋体" w:hAnsi="宋体" w:eastAsia="宋体" w:cs="宋体"/>
              </w:rPr>
            </w:pPr>
          </w:p>
        </w:tc>
        <w:tc>
          <w:tcPr>
            <w:tcW w:w="1106" w:type="dxa"/>
            <w:noWrap w:val="0"/>
            <w:vAlign w:val="top"/>
          </w:tcPr>
          <w:p>
            <w:pPr>
              <w:spacing w:line="360" w:lineRule="auto"/>
              <w:ind w:firstLine="420" w:firstLineChars="200"/>
              <w:jc w:val="both"/>
              <w:outlineLvl w:val="9"/>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合同总价款（大小写）：</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pPr>
        <w:spacing w:line="360" w:lineRule="auto"/>
        <w:ind w:firstLine="422" w:firstLineChars="200"/>
        <w:jc w:val="both"/>
        <w:outlineLvl w:val="9"/>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pPr>
        <w:spacing w:line="360" w:lineRule="auto"/>
        <w:ind w:firstLine="420" w:firstLineChars="200"/>
        <w:jc w:val="both"/>
        <w:outlineLvl w:val="9"/>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pPr>
        <w:spacing w:line="360" w:lineRule="auto"/>
        <w:ind w:firstLine="420" w:firstLineChars="200"/>
        <w:jc w:val="both"/>
        <w:outlineLvl w:val="9"/>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pPr>
        <w:spacing w:line="360" w:lineRule="auto"/>
        <w:ind w:firstLine="422" w:firstLineChars="200"/>
        <w:jc w:val="both"/>
        <w:outlineLvl w:val="9"/>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szCs w:val="27"/>
        </w:rPr>
        <w:t>1、服务方式：</w:t>
      </w:r>
    </w:p>
    <w:p>
      <w:pPr>
        <w:spacing w:line="360" w:lineRule="auto"/>
        <w:ind w:firstLine="420" w:firstLineChars="200"/>
        <w:jc w:val="both"/>
        <w:outlineLvl w:val="9"/>
        <w:rPr>
          <w:rFonts w:hint="eastAsia" w:ascii="宋体" w:hAnsi="宋体" w:eastAsia="宋体" w:cs="宋体"/>
          <w:lang w:val="en-US"/>
        </w:rPr>
      </w:pPr>
      <w:r>
        <w:rPr>
          <w:rFonts w:hint="eastAsia" w:ascii="宋体" w:hAnsi="宋体" w:eastAsia="宋体" w:cs="宋体"/>
          <w:lang w:val="en-US"/>
        </w:rPr>
        <w:t>2、服务方法：</w:t>
      </w:r>
    </w:p>
    <w:p>
      <w:pPr>
        <w:spacing w:line="360" w:lineRule="auto"/>
        <w:ind w:firstLine="420" w:firstLineChars="200"/>
        <w:jc w:val="both"/>
        <w:outlineLvl w:val="9"/>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pPr>
        <w:spacing w:line="360" w:lineRule="auto"/>
        <w:ind w:firstLine="420" w:firstLineChars="200"/>
        <w:jc w:val="both"/>
        <w:outlineLvl w:val="9"/>
        <w:rPr>
          <w:rFonts w:hint="eastAsia" w:ascii="宋体" w:hAnsi="宋体" w:eastAsia="宋体" w:cs="宋体"/>
          <w:szCs w:val="27"/>
        </w:rPr>
      </w:pPr>
      <w:r>
        <w:rPr>
          <w:rFonts w:hint="eastAsia" w:ascii="宋体" w:hAnsi="宋体" w:eastAsia="宋体" w:cs="宋体"/>
          <w:szCs w:val="27"/>
        </w:rPr>
        <w:t>3、服务期限：</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pPr>
        <w:pStyle w:val="2"/>
        <w:kinsoku w:val="0"/>
        <w:overflowPunct w:val="0"/>
        <w:spacing w:line="364" w:lineRule="auto"/>
        <w:ind w:left="0" w:firstLine="422" w:firstLineChars="200"/>
        <w:jc w:val="both"/>
        <w:outlineLvl w:val="9"/>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pPr>
        <w:pStyle w:val="2"/>
        <w:kinsoku w:val="0"/>
        <w:overflowPunct w:val="0"/>
        <w:spacing w:line="364" w:lineRule="auto"/>
        <w:ind w:left="0" w:firstLine="420" w:firstLineChars="200"/>
        <w:jc w:val="both"/>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pPr>
        <w:pStyle w:val="2"/>
        <w:kinsoku w:val="0"/>
        <w:overflowPunct w:val="0"/>
        <w:spacing w:line="364" w:lineRule="auto"/>
        <w:ind w:left="0" w:firstLine="420" w:firstLineChars="200"/>
        <w:jc w:val="both"/>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pPr>
        <w:pStyle w:val="2"/>
        <w:kinsoku w:val="0"/>
        <w:overflowPunct w:val="0"/>
        <w:spacing w:line="364" w:lineRule="auto"/>
        <w:ind w:left="0" w:firstLine="420" w:firstLineChars="200"/>
        <w:jc w:val="both"/>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pPr>
        <w:pStyle w:val="2"/>
        <w:kinsoku w:val="0"/>
        <w:overflowPunct w:val="0"/>
        <w:ind w:left="0" w:firstLine="422" w:firstLineChars="200"/>
        <w:jc w:val="both"/>
        <w:outlineLvl w:val="9"/>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pPr>
        <w:pStyle w:val="2"/>
        <w:kinsoku w:val="0"/>
        <w:overflowPunct w:val="0"/>
        <w:spacing w:line="364" w:lineRule="auto"/>
        <w:ind w:left="0" w:firstLine="420" w:firstLineChars="200"/>
        <w:jc w:val="both"/>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pPr>
        <w:pStyle w:val="2"/>
        <w:kinsoku w:val="0"/>
        <w:overflowPunct w:val="0"/>
        <w:spacing w:line="364" w:lineRule="auto"/>
        <w:ind w:left="0" w:firstLine="420" w:firstLineChars="200"/>
        <w:jc w:val="both"/>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pPr>
        <w:pStyle w:val="2"/>
        <w:kinsoku w:val="0"/>
        <w:overflowPunct w:val="0"/>
        <w:spacing w:line="364" w:lineRule="auto"/>
        <w:ind w:left="0" w:firstLine="420" w:firstLineChars="200"/>
        <w:jc w:val="both"/>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pPr>
        <w:pStyle w:val="2"/>
        <w:kinsoku w:val="0"/>
        <w:overflowPunct w:val="0"/>
        <w:ind w:left="0" w:firstLine="422" w:firstLineChars="200"/>
        <w:jc w:val="both"/>
        <w:outlineLvl w:val="9"/>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本合同以人民币付款。</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该项目是否实行预付款：</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实行预付款的条件和比例：</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pPr>
        <w:spacing w:line="360" w:lineRule="auto"/>
        <w:ind w:firstLine="420" w:firstLineChars="200"/>
        <w:jc w:val="both"/>
        <w:outlineLvl w:val="9"/>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pPr>
        <w:kinsoku w:val="0"/>
        <w:overflowPunct w:val="0"/>
        <w:ind w:left="0" w:firstLine="422" w:firstLineChars="200"/>
        <w:jc w:val="both"/>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pPr>
        <w:pStyle w:val="2"/>
        <w:kinsoku w:val="0"/>
        <w:overflowPunct w:val="0"/>
        <w:spacing w:line="364" w:lineRule="auto"/>
        <w:ind w:left="0" w:firstLine="422" w:firstLineChars="200"/>
        <w:jc w:val="both"/>
        <w:outlineLvl w:val="9"/>
        <w:rPr>
          <w:rFonts w:hint="eastAsia" w:ascii="宋体" w:hAnsi="宋体" w:eastAsia="宋体" w:cs="宋体"/>
          <w:b/>
        </w:rPr>
      </w:pPr>
      <w:r>
        <w:rPr>
          <w:rFonts w:hint="eastAsia" w:ascii="宋体" w:hAnsi="宋体" w:eastAsia="宋体" w:cs="宋体"/>
          <w:b/>
        </w:rPr>
        <w:t>第七条 知识产权</w:t>
      </w:r>
    </w:p>
    <w:p>
      <w:pPr>
        <w:pStyle w:val="2"/>
        <w:kinsoku w:val="0"/>
        <w:overflowPunct w:val="0"/>
        <w:spacing w:line="364" w:lineRule="auto"/>
        <w:ind w:left="0" w:firstLine="420" w:firstLineChars="200"/>
        <w:jc w:val="both"/>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pPr>
        <w:kinsoku w:val="0"/>
        <w:overflowPunct w:val="0"/>
        <w:ind w:left="0" w:firstLine="422" w:firstLineChars="200"/>
        <w:jc w:val="both"/>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pPr>
        <w:pStyle w:val="2"/>
        <w:kinsoku w:val="0"/>
        <w:overflowPunct w:val="0"/>
        <w:spacing w:line="364" w:lineRule="auto"/>
        <w:ind w:left="0" w:firstLine="420" w:firstLineChars="200"/>
        <w:jc w:val="both"/>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jc w:val="both"/>
        <w:outlineLvl w:val="9"/>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pPr>
        <w:kinsoku w:val="0"/>
        <w:overflowPunct w:val="0"/>
        <w:ind w:left="0" w:firstLine="422" w:firstLineChars="200"/>
        <w:jc w:val="both"/>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pPr>
        <w:pStyle w:val="2"/>
        <w:kinsoku w:val="0"/>
        <w:overflowPunct w:val="0"/>
        <w:spacing w:line="364" w:lineRule="auto"/>
        <w:ind w:left="0" w:firstLine="422" w:firstLineChars="200"/>
        <w:jc w:val="both"/>
        <w:outlineLvl w:val="9"/>
        <w:rPr>
          <w:rFonts w:hint="eastAsia" w:ascii="宋体" w:hAnsi="宋体" w:eastAsia="宋体" w:cs="宋体"/>
          <w:b/>
        </w:rPr>
      </w:pPr>
      <w:r>
        <w:rPr>
          <w:rFonts w:hint="eastAsia" w:ascii="宋体" w:hAnsi="宋体" w:eastAsia="宋体" w:cs="宋体"/>
          <w:b/>
        </w:rPr>
        <w:t>第十一条 乙方的权利和义务</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pPr>
        <w:spacing w:line="360" w:lineRule="auto"/>
        <w:ind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pPr>
        <w:pStyle w:val="2"/>
        <w:kinsoku w:val="0"/>
        <w:overflowPunct w:val="0"/>
        <w:spacing w:line="364" w:lineRule="auto"/>
        <w:ind w:left="0" w:firstLine="422" w:firstLineChars="200"/>
        <w:jc w:val="both"/>
        <w:outlineLvl w:val="9"/>
        <w:rPr>
          <w:rFonts w:hint="eastAsia" w:ascii="宋体" w:hAnsi="宋体" w:eastAsia="宋体" w:cs="宋体"/>
          <w:b/>
        </w:rPr>
      </w:pPr>
      <w:r>
        <w:rPr>
          <w:rFonts w:hint="eastAsia" w:ascii="宋体" w:hAnsi="宋体" w:eastAsia="宋体" w:cs="宋体"/>
          <w:b/>
        </w:rPr>
        <w:t>第十二条 违约责任</w:t>
      </w:r>
    </w:p>
    <w:p>
      <w:pPr>
        <w:pStyle w:val="2"/>
        <w:kinsoku w:val="0"/>
        <w:overflowPunct w:val="0"/>
        <w:ind w:left="0" w:firstLine="420" w:firstLineChars="200"/>
        <w:jc w:val="both"/>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pPr>
        <w:pStyle w:val="2"/>
        <w:kinsoku w:val="0"/>
        <w:overflowPunct w:val="0"/>
        <w:spacing w:line="364" w:lineRule="auto"/>
        <w:ind w:left="0" w:firstLine="420" w:firstLineChars="200"/>
        <w:jc w:val="both"/>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pPr>
        <w:pStyle w:val="2"/>
        <w:kinsoku w:val="0"/>
        <w:overflowPunct w:val="0"/>
        <w:spacing w:line="364" w:lineRule="auto"/>
        <w:ind w:left="0" w:firstLine="420" w:firstLineChars="200"/>
        <w:jc w:val="both"/>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2"/>
        <w:kinsoku w:val="0"/>
        <w:overflowPunct w:val="0"/>
        <w:spacing w:line="364" w:lineRule="auto"/>
        <w:ind w:left="0" w:firstLine="420" w:firstLineChars="200"/>
        <w:jc w:val="both"/>
        <w:outlineLvl w:val="9"/>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pPr>
        <w:spacing w:line="360" w:lineRule="auto"/>
        <w:ind w:firstLine="422" w:firstLineChars="200"/>
        <w:jc w:val="both"/>
        <w:outlineLvl w:val="9"/>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jc w:val="both"/>
        <w:outlineLvl w:val="9"/>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pPr>
        <w:kinsoku w:val="0"/>
        <w:overflowPunct w:val="0"/>
        <w:ind w:left="0" w:firstLine="422" w:firstLineChars="200"/>
        <w:jc w:val="both"/>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jc w:val="both"/>
        <w:outlineLvl w:val="9"/>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kinsoku w:val="0"/>
        <w:overflowPunct w:val="0"/>
        <w:ind w:left="0" w:firstLine="422" w:firstLineChars="200"/>
        <w:jc w:val="both"/>
        <w:outlineLvl w:val="9"/>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pPr>
        <w:spacing w:line="360" w:lineRule="auto"/>
        <w:ind w:firstLine="420" w:firstLineChars="200"/>
        <w:jc w:val="both"/>
        <w:outlineLvl w:val="9"/>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pPr>
        <w:kinsoku w:val="0"/>
        <w:overflowPunct w:val="0"/>
        <w:ind w:left="0" w:firstLine="420" w:firstLineChars="200"/>
        <w:jc w:val="both"/>
        <w:outlineLvl w:val="9"/>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pPr>
        <w:spacing w:line="360" w:lineRule="auto"/>
        <w:ind w:firstLine="422" w:firstLineChars="200"/>
        <w:jc w:val="both"/>
        <w:outlineLvl w:val="9"/>
        <w:rPr>
          <w:rFonts w:hint="eastAsia" w:ascii="宋体" w:hAnsi="宋体" w:eastAsia="宋体" w:cs="宋体"/>
          <w:b/>
          <w:bCs/>
          <w:szCs w:val="27"/>
        </w:rPr>
      </w:pPr>
      <w:r>
        <w:rPr>
          <w:rFonts w:hint="eastAsia" w:ascii="宋体" w:hAnsi="宋体" w:eastAsia="宋体" w:cs="宋体"/>
          <w:b/>
          <w:bCs/>
          <w:szCs w:val="27"/>
        </w:rPr>
        <w:t>第十七条 其他</w:t>
      </w:r>
    </w:p>
    <w:p>
      <w:pPr>
        <w:spacing w:line="360" w:lineRule="auto"/>
        <w:ind w:firstLine="422" w:firstLineChars="200"/>
        <w:jc w:val="both"/>
        <w:outlineLvl w:val="9"/>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jc w:val="both"/>
        <w:outlineLvl w:val="9"/>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pPr>
        <w:spacing w:line="360" w:lineRule="auto"/>
        <w:ind w:firstLine="420" w:firstLineChars="200"/>
        <w:jc w:val="both"/>
        <w:outlineLvl w:val="9"/>
        <w:rPr>
          <w:rFonts w:hint="eastAsia" w:ascii="宋体" w:hAnsi="宋体" w:eastAsia="宋体" w:cs="宋体"/>
          <w:szCs w:val="27"/>
        </w:rPr>
      </w:pPr>
    </w:p>
    <w:p>
      <w:pPr>
        <w:pStyle w:val="35"/>
        <w:ind w:firstLine="240"/>
        <w:outlineLvl w:val="9"/>
        <w:rPr>
          <w:rFonts w:hint="eastAsia" w:ascii="宋体" w:hAnsi="宋体" w:eastAsia="宋体" w:cs="宋体"/>
        </w:rPr>
      </w:pPr>
    </w:p>
    <w:p>
      <w:pPr>
        <w:spacing w:line="360" w:lineRule="auto"/>
        <w:ind w:firstLine="420" w:firstLineChars="200"/>
        <w:jc w:val="both"/>
        <w:outlineLvl w:val="9"/>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szCs w:val="27"/>
        </w:rPr>
        <w:t>地址：                               地址：</w:t>
      </w:r>
    </w:p>
    <w:p>
      <w:pPr>
        <w:spacing w:line="360" w:lineRule="auto"/>
        <w:ind w:firstLine="420" w:firstLineChars="200"/>
        <w:jc w:val="both"/>
        <w:outlineLvl w:val="9"/>
        <w:rPr>
          <w:rFonts w:hint="eastAsia" w:ascii="宋体" w:hAnsi="宋体" w:eastAsia="宋体" w:cs="宋体"/>
          <w:szCs w:val="27"/>
        </w:rPr>
      </w:pPr>
      <w:r>
        <w:rPr>
          <w:rFonts w:hint="eastAsia" w:ascii="宋体" w:hAnsi="宋体" w:eastAsia="宋体" w:cs="宋体"/>
          <w:szCs w:val="27"/>
        </w:rPr>
        <w:t>法定代表人：                         法定代表人：</w:t>
      </w:r>
    </w:p>
    <w:p>
      <w:pPr>
        <w:spacing w:line="360" w:lineRule="auto"/>
        <w:ind w:firstLine="420" w:firstLineChars="200"/>
        <w:jc w:val="both"/>
        <w:outlineLvl w:val="9"/>
        <w:rPr>
          <w:rFonts w:hint="eastAsia" w:ascii="宋体" w:hAnsi="宋体" w:eastAsia="宋体" w:cs="宋体"/>
          <w:u w:val="single"/>
        </w:rPr>
      </w:pPr>
      <w:r>
        <w:rPr>
          <w:rFonts w:hint="eastAsia" w:ascii="宋体" w:hAnsi="宋体" w:eastAsia="宋体" w:cs="宋体"/>
          <w:szCs w:val="27"/>
        </w:rPr>
        <w:t>委托代理人：                         委托代理人：</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rPr>
        <w:t>电话：                               电话：</w:t>
      </w:r>
    </w:p>
    <w:p>
      <w:pPr>
        <w:spacing w:line="360" w:lineRule="auto"/>
        <w:ind w:firstLine="420" w:firstLineChars="200"/>
        <w:jc w:val="both"/>
        <w:outlineLvl w:val="9"/>
        <w:rPr>
          <w:rFonts w:hint="eastAsia" w:ascii="宋体" w:hAnsi="宋体" w:eastAsia="宋体" w:cs="宋体"/>
          <w:szCs w:val="27"/>
        </w:rPr>
      </w:pPr>
      <w:r>
        <w:rPr>
          <w:rFonts w:hint="eastAsia" w:ascii="宋体" w:hAnsi="宋体" w:eastAsia="宋体" w:cs="宋体"/>
          <w:szCs w:val="27"/>
        </w:rPr>
        <w:t>开户银行：                           开户银行：</w:t>
      </w:r>
    </w:p>
    <w:p>
      <w:pPr>
        <w:spacing w:line="360" w:lineRule="auto"/>
        <w:ind w:firstLine="420" w:firstLineChars="200"/>
        <w:jc w:val="both"/>
        <w:outlineLvl w:val="9"/>
        <w:rPr>
          <w:rFonts w:hint="eastAsia" w:ascii="宋体" w:hAnsi="宋体" w:eastAsia="宋体" w:cs="宋体"/>
        </w:rPr>
      </w:pPr>
      <w:r>
        <w:rPr>
          <w:rFonts w:hint="eastAsia" w:ascii="宋体" w:hAnsi="宋体" w:eastAsia="宋体" w:cs="宋体"/>
          <w:szCs w:val="27"/>
        </w:rPr>
        <w:t>账号：                               账号：</w:t>
      </w:r>
    </w:p>
    <w:p>
      <w:pPr>
        <w:spacing w:line="640" w:lineRule="exact"/>
        <w:ind w:firstLine="420" w:firstLineChars="200"/>
        <w:jc w:val="both"/>
        <w:outlineLvl w:val="9"/>
        <w:rPr>
          <w:rFonts w:hint="eastAsia" w:ascii="宋体" w:hAnsi="宋体" w:eastAsia="宋体" w:cs="宋体"/>
          <w:szCs w:val="27"/>
          <w:u w:val="single"/>
        </w:rPr>
      </w:pPr>
    </w:p>
    <w:p>
      <w:pPr>
        <w:pStyle w:val="35"/>
        <w:ind w:firstLine="321"/>
        <w:jc w:val="center"/>
        <w:outlineLvl w:val="9"/>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pPr>
        <w:pStyle w:val="35"/>
        <w:ind w:firstLine="321"/>
        <w:jc w:val="center"/>
        <w:outlineLvl w:val="9"/>
        <w:rPr>
          <w:rFonts w:hint="eastAsia"/>
          <w:b/>
          <w:sz w:val="32"/>
          <w:szCs w:val="32"/>
        </w:rPr>
      </w:pPr>
    </w:p>
    <w:p>
      <w:pPr>
        <w:pStyle w:val="35"/>
        <w:ind w:firstLine="321"/>
        <w:jc w:val="center"/>
        <w:rPr>
          <w:rFonts w:hint="eastAsia"/>
          <w:b/>
          <w:sz w:val="32"/>
          <w:szCs w:val="32"/>
        </w:rPr>
      </w:pPr>
    </w:p>
    <w:p>
      <w:pPr>
        <w:pStyle w:val="35"/>
        <w:ind w:firstLine="321"/>
        <w:jc w:val="center"/>
        <w:rPr>
          <w:rFonts w:hint="eastAsia"/>
          <w:b/>
          <w:sz w:val="32"/>
          <w:szCs w:val="32"/>
        </w:rPr>
      </w:pPr>
    </w:p>
    <w:p>
      <w:pPr>
        <w:pStyle w:val="35"/>
        <w:ind w:firstLine="321"/>
        <w:jc w:val="center"/>
        <w:rPr>
          <w:rFonts w:hint="eastAsia"/>
          <w:b/>
          <w:sz w:val="32"/>
          <w:szCs w:val="32"/>
        </w:rPr>
      </w:pPr>
    </w:p>
    <w:p>
      <w:pPr>
        <w:rPr>
          <w:rFonts w:hint="eastAsia"/>
          <w:b/>
          <w:sz w:val="32"/>
          <w:szCs w:val="32"/>
        </w:rPr>
      </w:pPr>
      <w:bookmarkStart w:id="68" w:name="_Toc3616"/>
      <w:r>
        <w:rPr>
          <w:rFonts w:hint="eastAsia"/>
          <w:b/>
          <w:sz w:val="32"/>
          <w:szCs w:val="32"/>
        </w:rPr>
        <w:br w:type="page"/>
      </w:r>
    </w:p>
    <w:p>
      <w:pPr>
        <w:pStyle w:val="35"/>
        <w:ind w:firstLine="321"/>
        <w:jc w:val="center"/>
        <w:outlineLvl w:val="0"/>
        <w:rPr>
          <w:b/>
          <w:sz w:val="32"/>
          <w:szCs w:val="32"/>
        </w:rPr>
      </w:pPr>
      <w:r>
        <w:rPr>
          <w:rFonts w:hint="eastAsia"/>
          <w:b/>
          <w:sz w:val="32"/>
          <w:szCs w:val="32"/>
        </w:rPr>
        <w:t>周口市政府采购合同融资政策告知函</w:t>
      </w:r>
      <w:bookmarkEnd w:id="68"/>
    </w:p>
    <w:p>
      <w:pPr>
        <w:pStyle w:val="35"/>
        <w:ind w:firstLine="240"/>
        <w:rPr>
          <w:rFonts w:asciiTheme="minorEastAsia" w:hAnsiTheme="minorEastAsia" w:eastAsiaTheme="minorEastAsia"/>
          <w:sz w:val="24"/>
        </w:rPr>
      </w:pPr>
    </w:p>
    <w:p>
      <w:pPr>
        <w:pStyle w:val="35"/>
        <w:ind w:firstLine="240"/>
        <w:rPr>
          <w:rFonts w:asciiTheme="minorEastAsia" w:hAnsiTheme="minorEastAsia" w:eastAsiaTheme="minorEastAsia"/>
          <w:sz w:val="24"/>
        </w:rPr>
      </w:pPr>
    </w:p>
    <w:p>
      <w:pPr>
        <w:pStyle w:val="35"/>
        <w:ind w:firstLine="240"/>
        <w:rPr>
          <w:rFonts w:asciiTheme="minorEastAsia" w:hAnsiTheme="minorEastAsia" w:eastAsiaTheme="minorEastAsia"/>
          <w:sz w:val="24"/>
        </w:rPr>
      </w:pPr>
    </w:p>
    <w:p>
      <w:pPr>
        <w:pStyle w:val="35"/>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35"/>
        <w:ind w:firstLine="240"/>
        <w:outlineLvl w:val="0"/>
        <w:rPr>
          <w:rFonts w:asciiTheme="minorEastAsia" w:hAnsiTheme="minorEastAsia" w:eastAsiaTheme="minorEastAsia"/>
          <w:sz w:val="24"/>
        </w:rPr>
      </w:pPr>
      <w:bookmarkStart w:id="69" w:name="_Toc13355"/>
      <w:r>
        <w:rPr>
          <w:rFonts w:hint="eastAsia" w:asciiTheme="minorEastAsia" w:hAnsiTheme="minorEastAsia" w:eastAsiaTheme="minorEastAsia"/>
          <w:sz w:val="24"/>
        </w:rPr>
        <w:t>欢迎贵公司参与周口市政府采购活动！</w:t>
      </w:r>
      <w:bookmarkEnd w:id="69"/>
    </w:p>
    <w:p>
      <w:pPr>
        <w:pStyle w:val="35"/>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35"/>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23"/>
        <w:shd w:val="clear" w:color="auto" w:fill="auto"/>
        <w:spacing w:before="0" w:beforeAutospacing="0" w:after="0" w:afterAutospacing="0" w:line="330" w:lineRule="atLeast"/>
        <w:rPr>
          <w:rFonts w:hint="eastAsia" w:cs="仿宋_GB2312"/>
          <w:b/>
          <w:bCs/>
          <w:color w:val="0000FF"/>
          <w:sz w:val="21"/>
          <w:szCs w:val="21"/>
          <w:highlight w:val="none"/>
        </w:rPr>
      </w:pPr>
    </w:p>
    <w:p>
      <w:pPr>
        <w:pStyle w:val="35"/>
        <w:rPr>
          <w:rFonts w:hint="eastAsia" w:eastAsia="宋体"/>
          <w:lang w:val="en-US" w:eastAsia="zh-CN"/>
        </w:rPr>
      </w:pPr>
    </w:p>
    <w:sectPr>
      <w:pgSz w:w="11907" w:h="16840"/>
      <w:pgMar w:top="1440" w:right="1588" w:bottom="1440"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spacing w:line="160" w:lineRule="atLeast"/>
      <w:jc w:val="both"/>
      <w:rPr>
        <w:rFonts w:ascii="楷体_GB2312" w:eastAsia="楷体_GB2312"/>
        <w:sz w:val="28"/>
        <w:u w:val="single"/>
      </w:rPr>
    </w:pPr>
  </w:p>
  <w:p>
    <w:pPr>
      <w:pStyle w:val="18"/>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AC0E3A"/>
    <w:multiLevelType w:val="singleLevel"/>
    <w:tmpl w:val="E9AC0E3A"/>
    <w:lvl w:ilvl="0" w:tentative="0">
      <w:start w:val="3"/>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5688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504A25"/>
    <w:rsid w:val="01574519"/>
    <w:rsid w:val="017C3055"/>
    <w:rsid w:val="02387D63"/>
    <w:rsid w:val="02B07FF7"/>
    <w:rsid w:val="02F20D19"/>
    <w:rsid w:val="03733BDF"/>
    <w:rsid w:val="038325D2"/>
    <w:rsid w:val="03A308DC"/>
    <w:rsid w:val="040532BA"/>
    <w:rsid w:val="04176582"/>
    <w:rsid w:val="045B1761"/>
    <w:rsid w:val="048C3708"/>
    <w:rsid w:val="051259ED"/>
    <w:rsid w:val="05F91E7B"/>
    <w:rsid w:val="062D7F7A"/>
    <w:rsid w:val="06D00F1F"/>
    <w:rsid w:val="07041580"/>
    <w:rsid w:val="07932A4C"/>
    <w:rsid w:val="07F40D07"/>
    <w:rsid w:val="08444A26"/>
    <w:rsid w:val="08BC0A60"/>
    <w:rsid w:val="08DB1CFF"/>
    <w:rsid w:val="09631F69"/>
    <w:rsid w:val="09CA2D09"/>
    <w:rsid w:val="0A1220F7"/>
    <w:rsid w:val="0A1C72DC"/>
    <w:rsid w:val="0A9E30AD"/>
    <w:rsid w:val="0AA957DD"/>
    <w:rsid w:val="0AC27E84"/>
    <w:rsid w:val="0BEB3B44"/>
    <w:rsid w:val="0C0644C0"/>
    <w:rsid w:val="0D70010A"/>
    <w:rsid w:val="0D8D0262"/>
    <w:rsid w:val="0D931E3E"/>
    <w:rsid w:val="0E1F1149"/>
    <w:rsid w:val="0E6A4ABA"/>
    <w:rsid w:val="0EA0228A"/>
    <w:rsid w:val="0EAF6971"/>
    <w:rsid w:val="0ED65CAC"/>
    <w:rsid w:val="0EEF3211"/>
    <w:rsid w:val="0EFC4299"/>
    <w:rsid w:val="0F0D5446"/>
    <w:rsid w:val="0F3F7CF5"/>
    <w:rsid w:val="0F5372FC"/>
    <w:rsid w:val="0F9D0EBF"/>
    <w:rsid w:val="0FDD2DE3"/>
    <w:rsid w:val="107C4E2A"/>
    <w:rsid w:val="10BB1A44"/>
    <w:rsid w:val="10D62AA4"/>
    <w:rsid w:val="11AE4CBE"/>
    <w:rsid w:val="12A82965"/>
    <w:rsid w:val="13431A4F"/>
    <w:rsid w:val="13552B79"/>
    <w:rsid w:val="13793DF7"/>
    <w:rsid w:val="141C4A83"/>
    <w:rsid w:val="142B6A9A"/>
    <w:rsid w:val="14354A58"/>
    <w:rsid w:val="14677422"/>
    <w:rsid w:val="152E6B10"/>
    <w:rsid w:val="156D4E90"/>
    <w:rsid w:val="15BF1042"/>
    <w:rsid w:val="15E47D74"/>
    <w:rsid w:val="1656732A"/>
    <w:rsid w:val="16AD3796"/>
    <w:rsid w:val="176C3651"/>
    <w:rsid w:val="17B34241"/>
    <w:rsid w:val="181939B9"/>
    <w:rsid w:val="18730A0F"/>
    <w:rsid w:val="1895095F"/>
    <w:rsid w:val="189B3AC2"/>
    <w:rsid w:val="18D74DC1"/>
    <w:rsid w:val="1A8E78C8"/>
    <w:rsid w:val="1A982AE1"/>
    <w:rsid w:val="1A992D59"/>
    <w:rsid w:val="1ADB7C95"/>
    <w:rsid w:val="1AED58EF"/>
    <w:rsid w:val="1B2B21A0"/>
    <w:rsid w:val="1C542906"/>
    <w:rsid w:val="1C67088B"/>
    <w:rsid w:val="1CF87735"/>
    <w:rsid w:val="1D8F5720"/>
    <w:rsid w:val="1D9B5B7E"/>
    <w:rsid w:val="1DD26069"/>
    <w:rsid w:val="1DDD7C09"/>
    <w:rsid w:val="1E2106D1"/>
    <w:rsid w:val="1E82634C"/>
    <w:rsid w:val="1F397F3B"/>
    <w:rsid w:val="1F3A0BB5"/>
    <w:rsid w:val="1F6914FA"/>
    <w:rsid w:val="1FA92FCB"/>
    <w:rsid w:val="20167E2E"/>
    <w:rsid w:val="20193BC8"/>
    <w:rsid w:val="217C0935"/>
    <w:rsid w:val="220D398C"/>
    <w:rsid w:val="2301566F"/>
    <w:rsid w:val="237B74B4"/>
    <w:rsid w:val="23F76998"/>
    <w:rsid w:val="24165293"/>
    <w:rsid w:val="24390D5F"/>
    <w:rsid w:val="2482721D"/>
    <w:rsid w:val="24973784"/>
    <w:rsid w:val="24A10BF5"/>
    <w:rsid w:val="24D70B68"/>
    <w:rsid w:val="25587DE6"/>
    <w:rsid w:val="25BF3725"/>
    <w:rsid w:val="25E62821"/>
    <w:rsid w:val="26AB07CC"/>
    <w:rsid w:val="27DC212D"/>
    <w:rsid w:val="287B63A6"/>
    <w:rsid w:val="29613C02"/>
    <w:rsid w:val="2A16744D"/>
    <w:rsid w:val="2A397C18"/>
    <w:rsid w:val="2A5015D5"/>
    <w:rsid w:val="2A8F792B"/>
    <w:rsid w:val="2ADB491E"/>
    <w:rsid w:val="2AF63392"/>
    <w:rsid w:val="2BA67492"/>
    <w:rsid w:val="2C66791C"/>
    <w:rsid w:val="2CA90A4C"/>
    <w:rsid w:val="2CA945A8"/>
    <w:rsid w:val="2CD8457F"/>
    <w:rsid w:val="2D221D01"/>
    <w:rsid w:val="2D3227EF"/>
    <w:rsid w:val="2D676A80"/>
    <w:rsid w:val="2D7A3266"/>
    <w:rsid w:val="2DD36092"/>
    <w:rsid w:val="2EB74A2E"/>
    <w:rsid w:val="2F5F2B72"/>
    <w:rsid w:val="2FCA4F61"/>
    <w:rsid w:val="3002294D"/>
    <w:rsid w:val="301E3C7A"/>
    <w:rsid w:val="31104BF6"/>
    <w:rsid w:val="312513B2"/>
    <w:rsid w:val="317E4255"/>
    <w:rsid w:val="31B042BF"/>
    <w:rsid w:val="31CD0D39"/>
    <w:rsid w:val="31F12401"/>
    <w:rsid w:val="31FF5F72"/>
    <w:rsid w:val="32035D60"/>
    <w:rsid w:val="326E6953"/>
    <w:rsid w:val="32C83D55"/>
    <w:rsid w:val="33523A32"/>
    <w:rsid w:val="33770F5C"/>
    <w:rsid w:val="34913D30"/>
    <w:rsid w:val="350F55E1"/>
    <w:rsid w:val="35466E38"/>
    <w:rsid w:val="35944047"/>
    <w:rsid w:val="359C114E"/>
    <w:rsid w:val="35A918AD"/>
    <w:rsid w:val="35C56367"/>
    <w:rsid w:val="35EB79DF"/>
    <w:rsid w:val="363A2B4F"/>
    <w:rsid w:val="363B44C3"/>
    <w:rsid w:val="364E41EE"/>
    <w:rsid w:val="36C4095C"/>
    <w:rsid w:val="36D23A94"/>
    <w:rsid w:val="37144D14"/>
    <w:rsid w:val="376940D0"/>
    <w:rsid w:val="37991DE9"/>
    <w:rsid w:val="38084878"/>
    <w:rsid w:val="38204506"/>
    <w:rsid w:val="38234165"/>
    <w:rsid w:val="389600D6"/>
    <w:rsid w:val="389A0BB8"/>
    <w:rsid w:val="39321D68"/>
    <w:rsid w:val="393800D1"/>
    <w:rsid w:val="3A0E0140"/>
    <w:rsid w:val="3A994B6E"/>
    <w:rsid w:val="3ACA050B"/>
    <w:rsid w:val="3AF61300"/>
    <w:rsid w:val="3BAE6CD9"/>
    <w:rsid w:val="3BB714E3"/>
    <w:rsid w:val="3C0E4D81"/>
    <w:rsid w:val="3C3000ED"/>
    <w:rsid w:val="3C926E07"/>
    <w:rsid w:val="3CBE7BFC"/>
    <w:rsid w:val="3D232399"/>
    <w:rsid w:val="3D2E2D19"/>
    <w:rsid w:val="3D31181A"/>
    <w:rsid w:val="3D31435C"/>
    <w:rsid w:val="3D393726"/>
    <w:rsid w:val="3DC87CB2"/>
    <w:rsid w:val="3E595E2E"/>
    <w:rsid w:val="3E9E1A93"/>
    <w:rsid w:val="3F1749BD"/>
    <w:rsid w:val="3F4F365B"/>
    <w:rsid w:val="3F9A5B70"/>
    <w:rsid w:val="3FA72BC9"/>
    <w:rsid w:val="3FC36380"/>
    <w:rsid w:val="40063D93"/>
    <w:rsid w:val="41093759"/>
    <w:rsid w:val="41380196"/>
    <w:rsid w:val="41415EFF"/>
    <w:rsid w:val="418807D8"/>
    <w:rsid w:val="418B1B16"/>
    <w:rsid w:val="41B05744"/>
    <w:rsid w:val="41D026B4"/>
    <w:rsid w:val="42A31D6D"/>
    <w:rsid w:val="438D1BEA"/>
    <w:rsid w:val="440A1978"/>
    <w:rsid w:val="452567EA"/>
    <w:rsid w:val="46252A99"/>
    <w:rsid w:val="462A6046"/>
    <w:rsid w:val="46607F75"/>
    <w:rsid w:val="466753B0"/>
    <w:rsid w:val="46886BA6"/>
    <w:rsid w:val="46BB3E4F"/>
    <w:rsid w:val="46EB7AE7"/>
    <w:rsid w:val="47AD0F98"/>
    <w:rsid w:val="47E66258"/>
    <w:rsid w:val="48524AAD"/>
    <w:rsid w:val="489B7043"/>
    <w:rsid w:val="48B87BF5"/>
    <w:rsid w:val="490552AA"/>
    <w:rsid w:val="49816239"/>
    <w:rsid w:val="4A1B043B"/>
    <w:rsid w:val="4A407EA2"/>
    <w:rsid w:val="4B7A4CDC"/>
    <w:rsid w:val="4B9E1324"/>
    <w:rsid w:val="4BA6467C"/>
    <w:rsid w:val="4BCB5E91"/>
    <w:rsid w:val="4BDD19BC"/>
    <w:rsid w:val="4D1950B4"/>
    <w:rsid w:val="4E5E57A8"/>
    <w:rsid w:val="4E8642F1"/>
    <w:rsid w:val="4EF94AC3"/>
    <w:rsid w:val="4F4B3C05"/>
    <w:rsid w:val="4F4B7508"/>
    <w:rsid w:val="4FFA680C"/>
    <w:rsid w:val="50354221"/>
    <w:rsid w:val="507E34D2"/>
    <w:rsid w:val="50981A4B"/>
    <w:rsid w:val="516A6E81"/>
    <w:rsid w:val="51FB0B52"/>
    <w:rsid w:val="52390069"/>
    <w:rsid w:val="526D1A50"/>
    <w:rsid w:val="528D1696"/>
    <w:rsid w:val="52CB2821"/>
    <w:rsid w:val="539354E6"/>
    <w:rsid w:val="53A632A2"/>
    <w:rsid w:val="542F765C"/>
    <w:rsid w:val="546D5D37"/>
    <w:rsid w:val="54914939"/>
    <w:rsid w:val="54DE6C35"/>
    <w:rsid w:val="54EB5EC1"/>
    <w:rsid w:val="552F5F37"/>
    <w:rsid w:val="554D13F6"/>
    <w:rsid w:val="556F788D"/>
    <w:rsid w:val="565B7EBC"/>
    <w:rsid w:val="57256D9D"/>
    <w:rsid w:val="57580486"/>
    <w:rsid w:val="59DA41E0"/>
    <w:rsid w:val="5A2424B3"/>
    <w:rsid w:val="5A3906A0"/>
    <w:rsid w:val="5A9919E3"/>
    <w:rsid w:val="5AE9584C"/>
    <w:rsid w:val="5AF50835"/>
    <w:rsid w:val="5AF820D3"/>
    <w:rsid w:val="5B2A7B0A"/>
    <w:rsid w:val="5B417B6B"/>
    <w:rsid w:val="5B490C9B"/>
    <w:rsid w:val="5B54373E"/>
    <w:rsid w:val="5BB26521"/>
    <w:rsid w:val="5BC745F2"/>
    <w:rsid w:val="5C225659"/>
    <w:rsid w:val="5CA161B2"/>
    <w:rsid w:val="5E9F5687"/>
    <w:rsid w:val="5EE21916"/>
    <w:rsid w:val="5F4417E0"/>
    <w:rsid w:val="5F7B1711"/>
    <w:rsid w:val="5F88669E"/>
    <w:rsid w:val="5FE93021"/>
    <w:rsid w:val="60C018E5"/>
    <w:rsid w:val="60F670B5"/>
    <w:rsid w:val="616D55C9"/>
    <w:rsid w:val="622F04A1"/>
    <w:rsid w:val="62707B3A"/>
    <w:rsid w:val="62FB30A8"/>
    <w:rsid w:val="63041F5D"/>
    <w:rsid w:val="631657EC"/>
    <w:rsid w:val="63FD075A"/>
    <w:rsid w:val="645C0879"/>
    <w:rsid w:val="64741C1C"/>
    <w:rsid w:val="648C064A"/>
    <w:rsid w:val="65071890"/>
    <w:rsid w:val="656B3097"/>
    <w:rsid w:val="65CC7A0B"/>
    <w:rsid w:val="65D33E68"/>
    <w:rsid w:val="65E24802"/>
    <w:rsid w:val="6603474E"/>
    <w:rsid w:val="66216982"/>
    <w:rsid w:val="666D1DB9"/>
    <w:rsid w:val="66AB4942"/>
    <w:rsid w:val="687951D6"/>
    <w:rsid w:val="68AB69AF"/>
    <w:rsid w:val="68D653C8"/>
    <w:rsid w:val="68D85250"/>
    <w:rsid w:val="69085BD7"/>
    <w:rsid w:val="696073DC"/>
    <w:rsid w:val="698D4180"/>
    <w:rsid w:val="699F7D3A"/>
    <w:rsid w:val="6A657521"/>
    <w:rsid w:val="6B511AB7"/>
    <w:rsid w:val="6B9B4B18"/>
    <w:rsid w:val="6C0011EE"/>
    <w:rsid w:val="6D1F0B58"/>
    <w:rsid w:val="6D3654A5"/>
    <w:rsid w:val="6DD135E5"/>
    <w:rsid w:val="6E414065"/>
    <w:rsid w:val="6EB24C26"/>
    <w:rsid w:val="6EB41E64"/>
    <w:rsid w:val="6EEC6702"/>
    <w:rsid w:val="6F325BF8"/>
    <w:rsid w:val="6F3A29F6"/>
    <w:rsid w:val="6F616E24"/>
    <w:rsid w:val="6F9155B8"/>
    <w:rsid w:val="7018777C"/>
    <w:rsid w:val="706C4580"/>
    <w:rsid w:val="70A15996"/>
    <w:rsid w:val="71646F90"/>
    <w:rsid w:val="71E01DE7"/>
    <w:rsid w:val="72B34E05"/>
    <w:rsid w:val="72E17BC5"/>
    <w:rsid w:val="734359DE"/>
    <w:rsid w:val="74170E85"/>
    <w:rsid w:val="743B3304"/>
    <w:rsid w:val="75DC35E9"/>
    <w:rsid w:val="75E44E88"/>
    <w:rsid w:val="76032986"/>
    <w:rsid w:val="76123E95"/>
    <w:rsid w:val="76B0271A"/>
    <w:rsid w:val="76DA1EB8"/>
    <w:rsid w:val="771D4F43"/>
    <w:rsid w:val="773F310C"/>
    <w:rsid w:val="77811976"/>
    <w:rsid w:val="77FA11D3"/>
    <w:rsid w:val="78012BEE"/>
    <w:rsid w:val="78614813"/>
    <w:rsid w:val="789E6834"/>
    <w:rsid w:val="79BC0A44"/>
    <w:rsid w:val="79DD67E6"/>
    <w:rsid w:val="79F25E0C"/>
    <w:rsid w:val="7AD95625"/>
    <w:rsid w:val="7BCF79D9"/>
    <w:rsid w:val="7C1A4C7A"/>
    <w:rsid w:val="7C444892"/>
    <w:rsid w:val="7CAE7448"/>
    <w:rsid w:val="7CB836FA"/>
    <w:rsid w:val="7DF36BF7"/>
    <w:rsid w:val="7E152E18"/>
    <w:rsid w:val="7E2C3CBE"/>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99"/>
    <w:pPr>
      <w:spacing w:after="120"/>
    </w:pPr>
  </w:style>
  <w:style w:type="paragraph" w:styleId="6">
    <w:name w:val="caption"/>
    <w:basedOn w:val="1"/>
    <w:next w:val="1"/>
    <w:qFormat/>
    <w:uiPriority w:val="0"/>
    <w:rPr>
      <w:rFonts w:ascii="Cambria" w:hAnsi="Cambria" w:eastAsia="黑体"/>
      <w:sz w:val="20"/>
    </w:rPr>
  </w:style>
  <w:style w:type="paragraph" w:styleId="7">
    <w:name w:val="Document Map"/>
    <w:basedOn w:val="1"/>
    <w:link w:val="46"/>
    <w:qFormat/>
    <w:uiPriority w:val="0"/>
    <w:rPr>
      <w:rFonts w:ascii="宋体"/>
      <w:sz w:val="18"/>
      <w:szCs w:val="18"/>
    </w:rPr>
  </w:style>
  <w:style w:type="paragraph" w:styleId="8">
    <w:name w:val="annotation text"/>
    <w:basedOn w:val="1"/>
    <w:link w:val="45"/>
    <w:qFormat/>
    <w:uiPriority w:val="0"/>
    <w:pPr>
      <w:jc w:val="left"/>
    </w:pPr>
  </w:style>
  <w:style w:type="paragraph" w:styleId="9">
    <w:name w:val="Body Text 3"/>
    <w:basedOn w:val="1"/>
    <w:qFormat/>
    <w:uiPriority w:val="0"/>
    <w:pPr>
      <w:spacing w:after="120"/>
    </w:pPr>
    <w:rPr>
      <w:sz w:val="16"/>
      <w:szCs w:val="16"/>
    </w:r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styleId="11">
    <w:name w:val="envelope return"/>
    <w:basedOn w:val="1"/>
    <w:qFormat/>
    <w:uiPriority w:val="99"/>
    <w:pPr>
      <w:snapToGrid w:val="0"/>
    </w:pPr>
    <w:rPr>
      <w:rFonts w:ascii="Arial" w:hAnsi="Arial"/>
    </w:rPr>
  </w:style>
  <w:style w:type="paragraph" w:styleId="12">
    <w:name w:val="List 2"/>
    <w:basedOn w:val="1"/>
    <w:qFormat/>
    <w:uiPriority w:val="0"/>
    <w:pPr>
      <w:ind w:left="400" w:leftChars="200" w:hanging="200" w:hangingChars="200"/>
    </w:pPr>
  </w:style>
  <w:style w:type="paragraph" w:styleId="13">
    <w:name w:val="Plain Text"/>
    <w:basedOn w:val="1"/>
    <w:link w:val="51"/>
    <w:qFormat/>
    <w:uiPriority w:val="99"/>
    <w:rPr>
      <w:rFonts w:ascii="宋体" w:hAnsi="Courier New"/>
      <w:szCs w:val="20"/>
    </w:rPr>
  </w:style>
  <w:style w:type="paragraph" w:styleId="14">
    <w:name w:val="Date"/>
    <w:basedOn w:val="1"/>
    <w:next w:val="1"/>
    <w:link w:val="47"/>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8"/>
    <w:qFormat/>
    <w:uiPriority w:val="99"/>
    <w:pPr>
      <w:tabs>
        <w:tab w:val="center" w:pos="4153"/>
        <w:tab w:val="right" w:pos="8306"/>
      </w:tabs>
      <w:snapToGrid w:val="0"/>
      <w:jc w:val="left"/>
    </w:pPr>
    <w:rPr>
      <w:sz w:val="18"/>
      <w:szCs w:val="18"/>
    </w:rPr>
  </w:style>
  <w:style w:type="paragraph" w:styleId="18">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39"/>
    <w:pPr>
      <w:spacing w:before="120" w:after="120"/>
      <w:jc w:val="left"/>
    </w:pPr>
    <w:rPr>
      <w:caps/>
    </w:rPr>
  </w:style>
  <w:style w:type="paragraph" w:styleId="20">
    <w:name w:val="footnote text"/>
    <w:basedOn w:val="1"/>
    <w:qFormat/>
    <w:uiPriority w:val="99"/>
    <w:pPr>
      <w:snapToGrid w:val="0"/>
      <w:jc w:val="left"/>
    </w:pPr>
    <w:rPr>
      <w:sz w:val="18"/>
      <w:szCs w:val="18"/>
    </w:rPr>
  </w:style>
  <w:style w:type="paragraph" w:styleId="21">
    <w:name w:val="Body Text 2"/>
    <w:basedOn w:val="1"/>
    <w:link w:val="65"/>
    <w:qFormat/>
    <w:uiPriority w:val="0"/>
    <w:pPr>
      <w:spacing w:after="120" w:line="480" w:lineRule="auto"/>
    </w:pPr>
  </w:style>
  <w:style w:type="paragraph" w:styleId="22">
    <w:name w:val="Message Header"/>
    <w:basedOn w:val="1"/>
    <w:qFormat/>
    <w:uiPriority w:val="0"/>
    <w:pPr>
      <w:widowControl/>
      <w:shd w:val="pct20" w:color="000000" w:fill="auto"/>
      <w:ind w:left="1080" w:hanging="1080"/>
    </w:pPr>
    <w:rPr>
      <w:rFonts w:ascii="Cambria" w:hAnsi="Cambria" w:eastAsia="Cambria"/>
      <w:sz w:val="24"/>
    </w:rPr>
  </w:style>
  <w:style w:type="paragraph" w:styleId="23">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2"/>
    <w:next w:val="25"/>
    <w:link w:val="42"/>
    <w:qFormat/>
    <w:uiPriority w:val="0"/>
    <w:pPr>
      <w:ind w:firstLine="420" w:firstLineChars="100"/>
    </w:pPr>
  </w:style>
  <w:style w:type="paragraph" w:styleId="25">
    <w:name w:val="Body Text First Indent 2"/>
    <w:basedOn w:val="10"/>
    <w:next w:val="1"/>
    <w:qFormat/>
    <w:uiPriority w:val="99"/>
    <w:pPr>
      <w:tabs>
        <w:tab w:val="left" w:pos="0"/>
        <w:tab w:val="left" w:pos="993"/>
        <w:tab w:val="left" w:pos="1134"/>
      </w:tabs>
      <w:ind w:firstLine="420"/>
    </w:p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basedOn w:val="28"/>
    <w:qFormat/>
    <w:uiPriority w:val="0"/>
    <w:rPr>
      <w:color w:val="000000"/>
      <w:u w:val="none"/>
    </w:rPr>
  </w:style>
  <w:style w:type="character" w:styleId="32">
    <w:name w:val="Hyperlink"/>
    <w:qFormat/>
    <w:uiPriority w:val="0"/>
    <w:rPr>
      <w:color w:val="333333"/>
      <w:u w:val="none"/>
    </w:rPr>
  </w:style>
  <w:style w:type="character" w:styleId="33">
    <w:name w:val="annotation reference"/>
    <w:qFormat/>
    <w:uiPriority w:val="99"/>
    <w:rPr>
      <w:sz w:val="21"/>
    </w:rPr>
  </w:style>
  <w:style w:type="paragraph" w:customStyle="1" w:styleId="3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5"/>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4"/>
    <w:qFormat/>
    <w:uiPriority w:val="0"/>
    <w:rPr>
      <w:kern w:val="2"/>
      <w:sz w:val="21"/>
      <w:szCs w:val="24"/>
    </w:rPr>
  </w:style>
  <w:style w:type="character" w:customStyle="1" w:styleId="43">
    <w:name w:val="正文文本 Char"/>
    <w:link w:val="2"/>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8"/>
    <w:qFormat/>
    <w:uiPriority w:val="0"/>
    <w:rPr>
      <w:kern w:val="2"/>
      <w:sz w:val="21"/>
      <w:szCs w:val="24"/>
    </w:rPr>
  </w:style>
  <w:style w:type="character" w:customStyle="1" w:styleId="46">
    <w:name w:val="文档结构图 Char"/>
    <w:link w:val="7"/>
    <w:qFormat/>
    <w:uiPriority w:val="0"/>
    <w:rPr>
      <w:rFonts w:ascii="宋体"/>
      <w:kern w:val="2"/>
      <w:sz w:val="18"/>
      <w:szCs w:val="18"/>
    </w:rPr>
  </w:style>
  <w:style w:type="character" w:customStyle="1" w:styleId="47">
    <w:name w:val="日期 Char"/>
    <w:link w:val="14"/>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3"/>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28"/>
    <w:qFormat/>
    <w:uiPriority w:val="0"/>
  </w:style>
  <w:style w:type="character" w:customStyle="1" w:styleId="65">
    <w:name w:val="正文文本 2 Char"/>
    <w:link w:val="21"/>
    <w:qFormat/>
    <w:uiPriority w:val="0"/>
    <w:rPr>
      <w:kern w:val="2"/>
      <w:sz w:val="21"/>
      <w:szCs w:val="24"/>
    </w:rPr>
  </w:style>
  <w:style w:type="character" w:customStyle="1" w:styleId="66">
    <w:name w:val="NormalCharacter"/>
    <w:qFormat/>
    <w:uiPriority w:val="0"/>
  </w:style>
  <w:style w:type="character" w:customStyle="1" w:styleId="67">
    <w:name w:val="页眉 Char"/>
    <w:link w:val="18"/>
    <w:qFormat/>
    <w:uiPriority w:val="99"/>
    <w:rPr>
      <w:kern w:val="2"/>
      <w:sz w:val="18"/>
      <w:szCs w:val="18"/>
    </w:rPr>
  </w:style>
  <w:style w:type="character" w:customStyle="1" w:styleId="68">
    <w:name w:val="页脚 Char"/>
    <w:link w:val="17"/>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qFormat/>
    <w:uiPriority w:val="0"/>
    <w:rPr>
      <w:sz w:val="21"/>
      <w:szCs w:val="21"/>
    </w:rPr>
  </w:style>
  <w:style w:type="character" w:customStyle="1" w:styleId="74">
    <w:name w:val="first-child"/>
    <w:basedOn w:val="28"/>
    <w:qFormat/>
    <w:uiPriority w:val="0"/>
    <w:rPr>
      <w:color w:val="1F3149"/>
      <w:sz w:val="24"/>
      <w:szCs w:val="24"/>
    </w:rPr>
  </w:style>
  <w:style w:type="character" w:customStyle="1" w:styleId="75">
    <w:name w:val="first-child1"/>
    <w:basedOn w:val="28"/>
    <w:qFormat/>
    <w:uiPriority w:val="0"/>
    <w:rPr>
      <w:color w:val="1F3149"/>
      <w:sz w:val="24"/>
      <w:szCs w:val="24"/>
    </w:rPr>
  </w:style>
  <w:style w:type="character" w:customStyle="1" w:styleId="76">
    <w:name w:val="xiadan"/>
    <w:basedOn w:val="28"/>
    <w:qFormat/>
    <w:uiPriority w:val="0"/>
    <w:rPr>
      <w:shd w:val="clear" w:color="auto" w:fill="E4393C"/>
    </w:rPr>
  </w:style>
  <w:style w:type="character" w:customStyle="1" w:styleId="77">
    <w:name w:val="fr"/>
    <w:basedOn w:val="28"/>
    <w:qFormat/>
    <w:uiPriority w:val="0"/>
  </w:style>
  <w:style w:type="character" w:customStyle="1" w:styleId="78">
    <w:name w:val="icon_ds"/>
    <w:basedOn w:val="28"/>
    <w:qFormat/>
    <w:uiPriority w:val="0"/>
  </w:style>
  <w:style w:type="paragraph" w:customStyle="1" w:styleId="79">
    <w:name w:val="正文1"/>
    <w:basedOn w:val="1"/>
    <w:qFormat/>
    <w:uiPriority w:val="0"/>
    <w:pPr>
      <w:widowControl/>
      <w:topLinePunct/>
      <w:spacing w:beforeLines="50" w:afterLines="50" w:line="300" w:lineRule="auto"/>
      <w:ind w:left="420"/>
    </w:pPr>
  </w:style>
  <w:style w:type="paragraph" w:customStyle="1" w:styleId="80">
    <w:name w:val="WPSOffice手动目录 1"/>
    <w:qFormat/>
    <w:uiPriority w:val="0"/>
    <w:pPr>
      <w:ind w:leftChars="0"/>
    </w:pPr>
    <w:rPr>
      <w:rFonts w:ascii="Times New Roman" w:hAnsi="Times New Roman" w:eastAsia="宋体" w:cs="Times New Roman"/>
      <w:sz w:val="20"/>
      <w:szCs w:val="20"/>
    </w:rPr>
  </w:style>
  <w:style w:type="paragraph" w:customStyle="1" w:styleId="8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55</Pages>
  <Words>22908</Words>
  <Characters>24856</Characters>
  <Lines>123</Lines>
  <Paragraphs>34</Paragraphs>
  <TotalTime>7</TotalTime>
  <ScaleCrop>false</ScaleCrop>
  <LinksUpToDate>false</LinksUpToDate>
  <CharactersWithSpaces>25880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张光</cp:lastModifiedBy>
  <cp:lastPrinted>2020-11-18T03:21:00Z</cp:lastPrinted>
  <dcterms:modified xsi:type="dcterms:W3CDTF">2024-05-23T08:19:00Z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3F3AEF60031F459BB45F1EB8C7A16E06</vt:lpwstr>
  </property>
</Properties>
</file>