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pPr>
        <w:tabs>
          <w:tab w:val="left" w:pos="315"/>
          <w:tab w:val="left" w:pos="8820"/>
        </w:tabs>
        <w:spacing w:line="500" w:lineRule="exact"/>
        <w:ind w:right="267" w:rightChars="127"/>
        <w:jc w:val="center"/>
        <w:rPr>
          <w:rFonts w:ascii="仿宋_GB2312" w:eastAsia="仿宋_GB2312"/>
          <w:b/>
          <w:bCs/>
          <w:color w:val="auto"/>
          <w:sz w:val="48"/>
          <w:highlight w:val="none"/>
        </w:rPr>
      </w:pPr>
    </w:p>
    <w:p>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pPr>
        <w:tabs>
          <w:tab w:val="left" w:pos="315"/>
          <w:tab w:val="left" w:pos="8820"/>
        </w:tabs>
        <w:spacing w:line="500" w:lineRule="exact"/>
        <w:ind w:right="267" w:rightChars="127"/>
        <w:jc w:val="center"/>
        <w:rPr>
          <w:rFonts w:ascii="仿宋_GB2312" w:eastAsia="仿宋_GB2312"/>
          <w:color w:val="auto"/>
          <w:sz w:val="44"/>
          <w:highlight w:val="none"/>
        </w:rPr>
      </w:pPr>
    </w:p>
    <w:p>
      <w:pPr>
        <w:tabs>
          <w:tab w:val="left" w:pos="315"/>
          <w:tab w:val="left" w:pos="8820"/>
        </w:tabs>
        <w:ind w:right="267" w:rightChars="127"/>
        <w:rPr>
          <w:rFonts w:ascii="仿宋_GB2312" w:eastAsia="仿宋_GB2312"/>
          <w:color w:val="auto"/>
          <w:sz w:val="44"/>
          <w:highlight w:val="none"/>
        </w:rPr>
      </w:pPr>
    </w:p>
    <w:p>
      <w:pPr>
        <w:tabs>
          <w:tab w:val="left" w:pos="315"/>
          <w:tab w:val="left" w:pos="8820"/>
        </w:tabs>
        <w:spacing w:line="500" w:lineRule="exact"/>
        <w:ind w:right="267" w:rightChars="127"/>
        <w:rPr>
          <w:rFonts w:ascii="仿宋_GB2312" w:eastAsia="仿宋_GB2312"/>
          <w:b/>
          <w:bCs/>
          <w:color w:val="auto"/>
          <w:sz w:val="36"/>
          <w:highlight w:val="none"/>
        </w:rPr>
      </w:pPr>
    </w:p>
    <w:p>
      <w:pPr>
        <w:tabs>
          <w:tab w:val="left" w:pos="315"/>
          <w:tab w:val="left" w:pos="8820"/>
        </w:tabs>
        <w:spacing w:line="500" w:lineRule="exact"/>
        <w:ind w:right="267" w:rightChars="127"/>
        <w:rPr>
          <w:rFonts w:ascii="仿宋_GB2312" w:eastAsia="仿宋_GB2312"/>
          <w:b/>
          <w:bCs/>
          <w:color w:val="auto"/>
          <w:sz w:val="36"/>
          <w:highlight w:val="none"/>
        </w:rPr>
      </w:pPr>
    </w:p>
    <w:p>
      <w:pPr>
        <w:tabs>
          <w:tab w:val="left" w:pos="315"/>
          <w:tab w:val="left" w:pos="8820"/>
        </w:tabs>
        <w:spacing w:line="500" w:lineRule="exact"/>
        <w:ind w:right="267" w:rightChars="127"/>
        <w:jc w:val="center"/>
        <w:rPr>
          <w:rFonts w:ascii="宋体" w:hAnsi="宋体"/>
          <w:color w:val="auto"/>
          <w:sz w:val="32"/>
          <w:highlight w:val="none"/>
        </w:rPr>
      </w:pPr>
    </w:p>
    <w:p>
      <w:pPr>
        <w:pStyle w:val="10"/>
        <w:rPr>
          <w:rFonts w:ascii="宋体" w:hAnsi="宋体"/>
          <w:color w:val="auto"/>
          <w:sz w:val="32"/>
          <w:highlight w:val="none"/>
        </w:rPr>
      </w:pPr>
    </w:p>
    <w:p>
      <w:pPr>
        <w:pStyle w:val="11"/>
        <w:rPr>
          <w:rFonts w:hint="default" w:ascii="宋体" w:hAnsi="宋体"/>
          <w:color w:val="auto"/>
          <w:sz w:val="32"/>
          <w:highlight w:val="none"/>
        </w:rPr>
      </w:pPr>
    </w:p>
    <w:p>
      <w:pPr>
        <w:rPr>
          <w:color w:val="auto"/>
          <w:highlight w:val="none"/>
        </w:rPr>
      </w:pPr>
    </w:p>
    <w:p>
      <w:pPr>
        <w:rPr>
          <w:color w:val="auto"/>
          <w:highlight w:val="none"/>
        </w:rPr>
      </w:pPr>
    </w:p>
    <w:p>
      <w:pPr>
        <w:rPr>
          <w:color w:val="auto"/>
          <w:highlight w:val="none"/>
        </w:rPr>
      </w:pPr>
    </w:p>
    <w:p>
      <w:pPr>
        <w:pStyle w:val="10"/>
        <w:rPr>
          <w:color w:val="auto"/>
          <w:highlight w:val="none"/>
        </w:rPr>
      </w:pPr>
    </w:p>
    <w:p>
      <w:pPr>
        <w:tabs>
          <w:tab w:val="left" w:pos="315"/>
          <w:tab w:val="left" w:pos="8820"/>
        </w:tabs>
        <w:spacing w:line="600" w:lineRule="exact"/>
        <w:ind w:right="-92" w:rightChars="-44" w:firstLine="602" w:firstLineChars="200"/>
        <w:jc w:val="left"/>
        <w:rPr>
          <w:rFonts w:ascii="宋体" w:hAnsi="宋体" w:cs="宋体"/>
          <w:b/>
          <w:bCs/>
          <w:color w:val="auto"/>
          <w:sz w:val="30"/>
          <w:szCs w:val="30"/>
          <w:highlight w:val="none"/>
        </w:rPr>
      </w:pPr>
      <w:r>
        <w:rPr>
          <w:rFonts w:hint="eastAsia" w:ascii="宋体" w:hAnsi="宋体" w:cs="宋体"/>
          <w:b/>
          <w:bCs/>
          <w:color w:val="auto"/>
          <w:sz w:val="30"/>
          <w:szCs w:val="30"/>
          <w:highlight w:val="none"/>
        </w:rPr>
        <w:t>项目名称：周口市中心医院人民路院区污水处理站运维服务采购项目</w:t>
      </w:r>
    </w:p>
    <w:p>
      <w:pPr>
        <w:tabs>
          <w:tab w:val="left" w:pos="315"/>
          <w:tab w:val="left" w:pos="8820"/>
        </w:tabs>
        <w:spacing w:line="600" w:lineRule="exact"/>
        <w:ind w:right="-92" w:rightChars="-44" w:firstLine="602" w:firstLineChars="200"/>
        <w:jc w:val="left"/>
        <w:rPr>
          <w:rFonts w:ascii="宋体" w:hAnsi="宋体" w:cs="宋体"/>
          <w:b/>
          <w:bCs/>
          <w:color w:val="auto"/>
          <w:sz w:val="30"/>
          <w:szCs w:val="30"/>
          <w:highlight w:val="none"/>
        </w:rPr>
      </w:pPr>
      <w:r>
        <w:rPr>
          <w:rFonts w:hint="eastAsia" w:ascii="宋体" w:hAnsi="宋体" w:cs="宋体"/>
          <w:b/>
          <w:bCs/>
          <w:color w:val="auto"/>
          <w:sz w:val="30"/>
          <w:szCs w:val="30"/>
          <w:highlight w:val="none"/>
        </w:rPr>
        <w:t xml:space="preserve">项目编号：周财磋商采购-2024-48 </w:t>
      </w:r>
    </w:p>
    <w:p>
      <w:pPr>
        <w:tabs>
          <w:tab w:val="left" w:pos="315"/>
          <w:tab w:val="left" w:pos="8820"/>
        </w:tabs>
        <w:spacing w:line="600" w:lineRule="exact"/>
        <w:ind w:left="1895" w:right="-92" w:rightChars="-44" w:hanging="1895" w:hangingChars="590"/>
        <w:jc w:val="left"/>
        <w:rPr>
          <w:rFonts w:ascii="宋体" w:hAnsi="宋体" w:cs="宋体"/>
          <w:b/>
          <w:bCs/>
          <w:color w:val="auto"/>
          <w:sz w:val="32"/>
          <w:szCs w:val="32"/>
          <w:highlight w:val="none"/>
        </w:rPr>
      </w:pPr>
    </w:p>
    <w:p>
      <w:pPr>
        <w:tabs>
          <w:tab w:val="left" w:pos="315"/>
          <w:tab w:val="left" w:pos="8820"/>
        </w:tabs>
        <w:spacing w:line="600" w:lineRule="exact"/>
        <w:ind w:left="1895" w:right="-92" w:rightChars="-44" w:hanging="1895" w:hangingChars="59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2024年</w:t>
      </w:r>
      <w:r>
        <w:rPr>
          <w:rFonts w:hint="eastAsia" w:ascii="宋体" w:hAnsi="宋体" w:cs="宋体"/>
          <w:b/>
          <w:bCs/>
          <w:color w:val="auto"/>
          <w:sz w:val="32"/>
          <w:szCs w:val="32"/>
          <w:highlight w:val="none"/>
          <w:lang w:val="en-US" w:eastAsia="zh-CN"/>
        </w:rPr>
        <w:t>05</w:t>
      </w:r>
      <w:r>
        <w:rPr>
          <w:rFonts w:hint="eastAsia" w:ascii="宋体" w:hAnsi="宋体" w:cs="宋体"/>
          <w:b/>
          <w:bCs/>
          <w:color w:val="auto"/>
          <w:sz w:val="32"/>
          <w:szCs w:val="32"/>
          <w:highlight w:val="none"/>
        </w:rPr>
        <w:t>月</w:t>
      </w:r>
    </w:p>
    <w:p>
      <w:pPr>
        <w:pStyle w:val="9"/>
        <w:jc w:val="center"/>
        <w:rPr>
          <w:rFonts w:ascii="宋体" w:hAnsi="宋体"/>
          <w:b/>
          <w:color w:val="auto"/>
          <w:sz w:val="32"/>
          <w:highlight w:val="none"/>
        </w:rPr>
      </w:pPr>
    </w:p>
    <w:p>
      <w:pPr>
        <w:rPr>
          <w:rFonts w:ascii="仿宋_GB2312" w:eastAsia="仿宋_GB2312"/>
          <w:b/>
          <w:color w:val="auto"/>
          <w:sz w:val="30"/>
          <w:szCs w:val="30"/>
          <w:highlight w:val="none"/>
        </w:rPr>
      </w:pPr>
    </w:p>
    <w:p>
      <w:pPr>
        <w:pStyle w:val="25"/>
        <w:ind w:firstLine="210"/>
        <w:rPr>
          <w:color w:val="auto"/>
          <w:highlight w:val="none"/>
        </w:rPr>
        <w:sectPr>
          <w:headerReference r:id="rId3" w:type="default"/>
          <w:footerReference r:id="rId4" w:type="default"/>
          <w:pgSz w:w="11907" w:h="16840"/>
          <w:pgMar w:top="2098" w:right="1474" w:bottom="1985" w:left="1588" w:header="851" w:footer="992" w:gutter="0"/>
          <w:pgNumType w:start="1"/>
          <w:cols w:space="720" w:num="1"/>
          <w:docGrid w:type="lines" w:linePitch="312" w:charSpace="0"/>
        </w:sectPr>
      </w:pPr>
    </w:p>
    <w:p>
      <w:pPr>
        <w:pStyle w:val="25"/>
        <w:ind w:firstLine="210"/>
        <w:rPr>
          <w:color w:val="auto"/>
          <w:highlight w:val="none"/>
        </w:rPr>
      </w:pPr>
    </w:p>
    <w:p>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pPr>
        <w:rPr>
          <w:rFonts w:ascii="宋体" w:hAnsi="宋体" w:cs="宋体"/>
          <w:b/>
          <w:color w:val="auto"/>
          <w:sz w:val="32"/>
          <w:szCs w:val="32"/>
          <w:highlight w:val="none"/>
        </w:rPr>
      </w:pPr>
    </w:p>
    <w:p>
      <w:pPr>
        <w:spacing w:line="800" w:lineRule="auto"/>
        <w:rPr>
          <w:rFonts w:ascii="宋体" w:hAnsi="宋体" w:cs="宋体"/>
          <w:b/>
          <w:color w:val="auto"/>
          <w:sz w:val="32"/>
          <w:highlight w:val="none"/>
        </w:rPr>
      </w:pPr>
      <w:r>
        <w:rPr>
          <w:rFonts w:ascii="宋体" w:hAnsi="宋体" w:cs="宋体"/>
          <w:b/>
          <w:color w:val="auto"/>
          <w:sz w:val="32"/>
          <w:highlight w:val="none"/>
        </w:rPr>
        <w:t>第一章  竞争性磋商邀请函 .........................3</w:t>
      </w:r>
    </w:p>
    <w:p>
      <w:pPr>
        <w:spacing w:line="800" w:lineRule="auto"/>
        <w:rPr>
          <w:rFonts w:ascii="宋体" w:hAnsi="宋体" w:cs="宋体"/>
          <w:b/>
          <w:color w:val="auto"/>
          <w:sz w:val="32"/>
          <w:highlight w:val="none"/>
        </w:rPr>
      </w:pPr>
      <w:r>
        <w:rPr>
          <w:rFonts w:ascii="宋体" w:hAnsi="宋体" w:cs="宋体"/>
          <w:b/>
          <w:color w:val="auto"/>
          <w:sz w:val="32"/>
          <w:highlight w:val="none"/>
        </w:rPr>
        <w:t>第二章  供应商须知 ...............................6</w:t>
      </w:r>
    </w:p>
    <w:p>
      <w:pPr>
        <w:spacing w:line="800" w:lineRule="auto"/>
        <w:rPr>
          <w:rFonts w:ascii="宋体" w:hAnsi="宋体" w:cs="宋体"/>
          <w:b/>
          <w:color w:val="auto"/>
          <w:sz w:val="32"/>
          <w:highlight w:val="none"/>
        </w:rPr>
      </w:pPr>
      <w:r>
        <w:rPr>
          <w:rFonts w:ascii="宋体" w:hAnsi="宋体" w:cs="宋体"/>
          <w:b/>
          <w:color w:val="auto"/>
          <w:sz w:val="32"/>
          <w:highlight w:val="none"/>
        </w:rPr>
        <w:t xml:space="preserve">第三章  </w:t>
      </w:r>
      <w:r>
        <w:rPr>
          <w:rFonts w:hint="eastAsia" w:ascii="宋体" w:hAnsi="宋体" w:cs="宋体"/>
          <w:b/>
          <w:color w:val="auto"/>
          <w:sz w:val="32"/>
          <w:highlight w:val="none"/>
        </w:rPr>
        <w:t>采购内容及要求</w:t>
      </w:r>
      <w:r>
        <w:rPr>
          <w:rFonts w:ascii="宋体" w:hAnsi="宋体" w:cs="宋体"/>
          <w:b/>
          <w:color w:val="auto"/>
          <w:sz w:val="32"/>
          <w:highlight w:val="none"/>
        </w:rPr>
        <w:t>...........................2</w:t>
      </w:r>
      <w:r>
        <w:rPr>
          <w:rFonts w:hint="eastAsia" w:ascii="宋体" w:hAnsi="宋体" w:cs="宋体"/>
          <w:b/>
          <w:color w:val="auto"/>
          <w:sz w:val="32"/>
          <w:highlight w:val="none"/>
        </w:rPr>
        <w:t>6</w:t>
      </w:r>
    </w:p>
    <w:p>
      <w:pPr>
        <w:spacing w:line="800" w:lineRule="auto"/>
        <w:rPr>
          <w:rFonts w:ascii="宋体" w:hAnsi="宋体" w:cs="宋体"/>
          <w:b/>
          <w:color w:val="auto"/>
          <w:sz w:val="32"/>
          <w:highlight w:val="none"/>
        </w:rPr>
      </w:pPr>
      <w:r>
        <w:rPr>
          <w:rFonts w:ascii="宋体" w:hAnsi="宋体" w:cs="宋体"/>
          <w:b/>
          <w:color w:val="auto"/>
          <w:sz w:val="32"/>
          <w:highlight w:val="none"/>
        </w:rPr>
        <w:t>第四章  响应性文件内容及格式.....................2</w:t>
      </w:r>
      <w:r>
        <w:rPr>
          <w:rFonts w:hint="eastAsia" w:ascii="宋体" w:hAnsi="宋体" w:cs="宋体"/>
          <w:b/>
          <w:color w:val="auto"/>
          <w:sz w:val="32"/>
          <w:highlight w:val="none"/>
        </w:rPr>
        <w:t>8</w:t>
      </w:r>
    </w:p>
    <w:p>
      <w:pPr>
        <w:spacing w:line="800" w:lineRule="auto"/>
        <w:rPr>
          <w:rFonts w:ascii="宋体" w:hAnsi="宋体" w:cs="宋体"/>
          <w:b/>
          <w:color w:val="auto"/>
          <w:sz w:val="32"/>
          <w:highlight w:val="none"/>
        </w:rPr>
      </w:pPr>
      <w:r>
        <w:rPr>
          <w:rFonts w:ascii="宋体" w:hAnsi="宋体" w:cs="宋体"/>
          <w:b/>
          <w:color w:val="auto"/>
          <w:sz w:val="32"/>
          <w:highlight w:val="none"/>
        </w:rPr>
        <w:t>第五章  合同主要条款 合同签订指引、供应商履约验收指引</w:t>
      </w:r>
      <w:r>
        <w:rPr>
          <w:rFonts w:hint="eastAsia" w:ascii="宋体" w:hAnsi="宋体" w:cs="宋体"/>
          <w:b/>
          <w:color w:val="auto"/>
          <w:sz w:val="32"/>
          <w:highlight w:val="none"/>
        </w:rPr>
        <w:t>38</w:t>
      </w:r>
    </w:p>
    <w:p>
      <w:pPr>
        <w:spacing w:line="800" w:lineRule="exact"/>
        <w:ind w:firstLine="2249" w:firstLineChars="700"/>
        <w:rPr>
          <w:rFonts w:ascii="宋体" w:hAnsi="宋体" w:cs="宋体"/>
          <w:b/>
          <w:color w:val="auto"/>
          <w:sz w:val="32"/>
          <w:szCs w:val="32"/>
          <w:highlight w:val="none"/>
        </w:rPr>
      </w:pPr>
    </w:p>
    <w:p>
      <w:pPr>
        <w:spacing w:line="800" w:lineRule="exact"/>
        <w:ind w:firstLine="2249" w:firstLineChars="700"/>
        <w:rPr>
          <w:rFonts w:ascii="宋体" w:hAnsi="宋体" w:cs="宋体"/>
          <w:b/>
          <w:color w:val="auto"/>
          <w:sz w:val="32"/>
          <w:szCs w:val="32"/>
          <w:highlight w:val="none"/>
        </w:rPr>
      </w:pPr>
    </w:p>
    <w:p>
      <w:pPr>
        <w:spacing w:line="800" w:lineRule="exact"/>
        <w:ind w:firstLine="2249" w:firstLineChars="700"/>
        <w:rPr>
          <w:rFonts w:ascii="宋体" w:hAnsi="宋体" w:cs="宋体"/>
          <w:b/>
          <w:color w:val="auto"/>
          <w:sz w:val="32"/>
          <w:szCs w:val="32"/>
          <w:highlight w:val="none"/>
        </w:rPr>
      </w:pPr>
    </w:p>
    <w:p>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pPr>
        <w:pStyle w:val="41"/>
        <w:rPr>
          <w:color w:val="auto"/>
          <w:highlight w:val="none"/>
        </w:rPr>
      </w:pP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项目概况</w:t>
      </w:r>
    </w:p>
    <w:p>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宋体" w:hAnsi="宋体" w:cs="宋体"/>
          <w:color w:val="auto"/>
          <w:sz w:val="24"/>
          <w:highlight w:val="none"/>
        </w:rPr>
        <w:t>周口市中心医院人民路院区污水处理站运维服务采购项目的潜在投标人应在周口市公共资源交易中心网（http://jyzx.zhoukou.gov.cn）获取招标文件，并于</w:t>
      </w:r>
      <w:r>
        <w:rPr>
          <w:rFonts w:ascii="宋体" w:hAnsi="宋体" w:cs="宋体"/>
          <w:color w:val="auto"/>
          <w:sz w:val="24"/>
          <w:highlight w:val="none"/>
        </w:rPr>
        <w:t>202</w:t>
      </w:r>
      <w:r>
        <w:rPr>
          <w:rFonts w:hint="eastAsia" w:ascii="宋体" w:hAnsi="宋体" w:cs="宋体"/>
          <w:color w:val="auto"/>
          <w:sz w:val="24"/>
          <w:highlight w:val="none"/>
        </w:rPr>
        <w:t>4年</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日10点</w:t>
      </w:r>
      <w:r>
        <w:rPr>
          <w:rFonts w:ascii="宋体" w:hAnsi="宋体" w:cs="宋体"/>
          <w:color w:val="auto"/>
          <w:sz w:val="24"/>
          <w:highlight w:val="none"/>
        </w:rPr>
        <w:t>00</w:t>
      </w:r>
      <w:r>
        <w:rPr>
          <w:rFonts w:hint="eastAsia" w:ascii="宋体" w:hAnsi="宋体" w:cs="宋体"/>
          <w:color w:val="auto"/>
          <w:sz w:val="24"/>
          <w:highlight w:val="none"/>
        </w:rPr>
        <w:t>分（北京时间）前递交投标文件。</w:t>
      </w:r>
    </w:p>
    <w:p>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0" w:name="_Toc28359012"/>
      <w:bookmarkEnd w:id="0"/>
      <w:bookmarkStart w:id="1" w:name="_Toc35393629"/>
      <w:bookmarkEnd w:id="1"/>
      <w:bookmarkStart w:id="2" w:name="_Toc28359089"/>
      <w:bookmarkEnd w:id="2"/>
      <w:bookmarkStart w:id="3" w:name="_Toc35393798"/>
      <w:bookmarkEnd w:id="3"/>
      <w:r>
        <w:rPr>
          <w:rFonts w:hint="eastAsia" w:asciiTheme="minorEastAsia" w:hAnsiTheme="minorEastAsia" w:eastAsiaTheme="minorEastAsia" w:cstheme="minorEastAsia"/>
          <w:color w:val="auto"/>
          <w:sz w:val="24"/>
          <w:highlight w:val="none"/>
        </w:rPr>
        <w:t>一、项目基本情况</w:t>
      </w:r>
    </w:p>
    <w:p>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项目编号：周财磋商采购-2024-48</w:t>
      </w:r>
    </w:p>
    <w:p>
      <w:pPr>
        <w:autoSpaceDE w:val="0"/>
        <w:autoSpaceDN w:val="0"/>
        <w:spacing w:line="360" w:lineRule="auto"/>
        <w:ind w:left="1680" w:leftChars="200" w:hanging="1260" w:hangingChars="525"/>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bCs/>
          <w:color w:val="auto"/>
          <w:sz w:val="24"/>
          <w:highlight w:val="none"/>
        </w:rPr>
        <w:t>周口市中心医院人民路院区污水处理站运维服务采购项目</w:t>
      </w:r>
    </w:p>
    <w:p>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预算金额：164.00万元</w:t>
      </w:r>
    </w:p>
    <w:p>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最高限价：164.00万元</w:t>
      </w:r>
    </w:p>
    <w:p>
      <w:pPr>
        <w:pStyle w:val="24"/>
        <w:snapToGrid w:val="0"/>
        <w:spacing w:before="0" w:beforeAutospacing="0" w:after="0" w:afterAutospacing="0" w:line="360" w:lineRule="auto"/>
        <w:ind w:firstLine="480"/>
        <w:jc w:val="both"/>
        <w:rPr>
          <w:rFonts w:cs="宋体"/>
          <w:color w:val="auto"/>
          <w:highlight w:val="none"/>
        </w:rPr>
      </w:pPr>
      <w:r>
        <w:rPr>
          <w:rFonts w:hint="eastAsia" w:cs="宋体"/>
          <w:color w:val="auto"/>
          <w:highlight w:val="none"/>
        </w:rPr>
        <w:t>包划分：1个包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6286"/>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pPr>
              <w:pStyle w:val="24"/>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包号</w:t>
            </w:r>
          </w:p>
        </w:tc>
        <w:tc>
          <w:tcPr>
            <w:tcW w:w="6286" w:type="dxa"/>
            <w:vAlign w:val="center"/>
          </w:tcPr>
          <w:p>
            <w:pPr>
              <w:pStyle w:val="24"/>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包名称</w:t>
            </w:r>
          </w:p>
        </w:tc>
        <w:tc>
          <w:tcPr>
            <w:tcW w:w="0" w:type="auto"/>
            <w:vAlign w:val="center"/>
          </w:tcPr>
          <w:p>
            <w:pPr>
              <w:pStyle w:val="24"/>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pPr>
              <w:pStyle w:val="24"/>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1</w:t>
            </w:r>
          </w:p>
        </w:tc>
        <w:tc>
          <w:tcPr>
            <w:tcW w:w="6286" w:type="dxa"/>
            <w:vAlign w:val="center"/>
          </w:tcPr>
          <w:p>
            <w:pPr>
              <w:adjustRightInd w:val="0"/>
              <w:snapToGrid w:val="0"/>
              <w:spacing w:line="360" w:lineRule="auto"/>
              <w:rPr>
                <w:color w:val="auto"/>
                <w:highlight w:val="none"/>
              </w:rPr>
            </w:pPr>
            <w:r>
              <w:rPr>
                <w:rFonts w:hint="eastAsia" w:asciiTheme="minorEastAsia" w:hAnsiTheme="minorEastAsia" w:cstheme="minorEastAsia"/>
                <w:bCs/>
                <w:color w:val="auto"/>
                <w:sz w:val="24"/>
                <w:highlight w:val="none"/>
              </w:rPr>
              <w:t>周口市中心医院人民路院区污水处理站运维服务采购项目</w:t>
            </w:r>
          </w:p>
        </w:tc>
        <w:tc>
          <w:tcPr>
            <w:tcW w:w="0" w:type="auto"/>
            <w:vAlign w:val="center"/>
          </w:tcPr>
          <w:p>
            <w:pPr>
              <w:adjustRightInd w:val="0"/>
              <w:snapToGrid w:val="0"/>
              <w:spacing w:line="360" w:lineRule="auto"/>
              <w:jc w:val="center"/>
              <w:rPr>
                <w:color w:val="auto"/>
                <w:highlight w:val="none"/>
              </w:rPr>
            </w:pPr>
            <w:r>
              <w:rPr>
                <w:rFonts w:hint="eastAsia" w:asciiTheme="minorEastAsia" w:hAnsiTheme="minorEastAsia" w:eastAsiaTheme="minorEastAsia" w:cstheme="minorEastAsia"/>
                <w:color w:val="auto"/>
                <w:sz w:val="24"/>
                <w:highlight w:val="none"/>
              </w:rPr>
              <w:t>164.00</w:t>
            </w:r>
          </w:p>
        </w:tc>
      </w:tr>
    </w:tbl>
    <w:p>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采购需求：人民路院区污水处理站污水处理运维服务，服务期3年，服务范围包括院本部、东院和核医学科两个院区三个站房（包括但不限于标的的名称、数量、简要技术需求或服务要求等）</w:t>
      </w:r>
    </w:p>
    <w:p>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合同履行期限：3年</w:t>
      </w:r>
    </w:p>
    <w:p>
      <w:pPr>
        <w:spacing w:line="360" w:lineRule="auto"/>
        <w:ind w:firstLine="480" w:firstLineChars="200"/>
        <w:jc w:val="left"/>
        <w:rPr>
          <w:rFonts w:ascii="宋体" w:hAnsi="宋体" w:cs="宋体"/>
          <w:color w:val="auto"/>
          <w:sz w:val="24"/>
          <w:highlight w:val="none"/>
        </w:rPr>
      </w:pPr>
      <w:bookmarkStart w:id="4" w:name="_Toc35393799"/>
      <w:bookmarkStart w:id="5" w:name="_Toc28359013"/>
      <w:bookmarkStart w:id="6" w:name="_Toc35393630"/>
      <w:bookmarkStart w:id="7" w:name="_Toc28359090"/>
      <w:r>
        <w:rPr>
          <w:rFonts w:hint="eastAsia" w:ascii="宋体" w:hAnsi="宋体" w:cs="宋体"/>
          <w:color w:val="auto"/>
          <w:sz w:val="24"/>
          <w:highlight w:val="none"/>
        </w:rPr>
        <w:t>是否接受进口产品：否</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本项目是否接受联合体投标：否</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本项目是否为只面向中小企业采购：是，采购预留金额</w:t>
      </w:r>
      <w:r>
        <w:rPr>
          <w:rFonts w:hint="eastAsia" w:ascii="宋体" w:hAnsi="宋体" w:cs="宋体"/>
          <w:color w:val="auto"/>
          <w:sz w:val="24"/>
          <w:highlight w:val="none"/>
          <w:u w:val="single"/>
        </w:rPr>
        <w:t xml:space="preserve"> 164万元</w:t>
      </w:r>
      <w:r>
        <w:rPr>
          <w:rFonts w:hint="eastAsia" w:ascii="宋体" w:hAnsi="宋体" w:cs="宋体"/>
          <w:color w:val="auto"/>
          <w:sz w:val="24"/>
          <w:highlight w:val="none"/>
        </w:rPr>
        <w:t>，必须提供中小企业声明函。</w:t>
      </w:r>
    </w:p>
    <w:bookmarkEnd w:id="4"/>
    <w:bookmarkEnd w:id="5"/>
    <w:bookmarkEnd w:id="6"/>
    <w:bookmarkEnd w:id="7"/>
    <w:p>
      <w:pPr>
        <w:pStyle w:val="4"/>
        <w:autoSpaceDE w:val="0"/>
        <w:autoSpaceDN w:val="0"/>
        <w:spacing w:line="360" w:lineRule="auto"/>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p>
    <w:p>
      <w:pPr>
        <w:autoSpaceDE w:val="0"/>
        <w:autoSpaceDN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1.满足《中华人民共和国政府采购法》第二十二条规定；</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（1）具有独立承担民事责任的能力；</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（2）具有良好的商业信誉和健全的财务会计制度；</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（3）具有履行合同所必需的设备和专业技术能力；</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（4）有依法缴纳税收和社会保障资金的良好记录；</w:t>
      </w:r>
    </w:p>
    <w:p>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（5）参加政府采购活动前三年内，在经营活动中没有重大违法记录；</w:t>
      </w:r>
    </w:p>
    <w:p>
      <w:pPr>
        <w:adjustRightInd w:val="0"/>
        <w:snapToGrid w:val="0"/>
        <w:spacing w:line="360" w:lineRule="auto"/>
        <w:ind w:firstLine="480" w:firstLineChars="200"/>
        <w:rPr>
          <w:rFonts w:ascii="宋体" w:hAnsi="宋体" w:cs="宋体"/>
          <w:color w:val="auto"/>
          <w:highlight w:val="none"/>
        </w:rPr>
      </w:pPr>
      <w:r>
        <w:rPr>
          <w:rFonts w:hint="eastAsia" w:ascii="宋体" w:hAnsi="宋体" w:cs="宋体"/>
          <w:color w:val="auto"/>
          <w:sz w:val="24"/>
          <w:highlight w:val="none"/>
        </w:rPr>
        <w:t>（6）法律、行政法规规定的其他条件。</w:t>
      </w:r>
    </w:p>
    <w:p>
      <w:pPr>
        <w:autoSpaceDE w:val="0"/>
        <w:autoSpaceDN w:val="0"/>
        <w:spacing w:line="360" w:lineRule="auto"/>
        <w:ind w:firstLine="540"/>
        <w:rPr>
          <w:rFonts w:asciiTheme="minorEastAsia" w:hAnsiTheme="minorEastAsia" w:eastAsiaTheme="minorEastAsia" w:cstheme="minorEastAsia"/>
          <w:color w:val="auto"/>
          <w:sz w:val="24"/>
          <w:highlight w:val="none"/>
        </w:rPr>
      </w:pPr>
      <w:bookmarkStart w:id="8" w:name="_Toc28359091"/>
      <w:bookmarkStart w:id="9" w:name="_Toc28359014"/>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color w:val="auto"/>
          <w:highlight w:val="none"/>
        </w:rPr>
      </w:pPr>
      <w:r>
        <w:rPr>
          <w:rFonts w:hint="eastAsia" w:asciiTheme="minorEastAsia" w:hAnsiTheme="minorEastAsia" w:eastAsiaTheme="minorEastAsia" w:cstheme="minorEastAsia"/>
          <w:color w:val="auto"/>
          <w:sz w:val="24"/>
          <w:highlight w:val="none"/>
        </w:rPr>
        <w:t>3.本项目的特定资格要求：</w:t>
      </w: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）的“失信被执行人”、“重大税收违法案件当事人名单（重大税收违法失信主体）”和“中国政府采购”网站(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)的“政府采购严重违法失信行为记录名单”的供应商，将拒绝其参加政府采购活动；在标书中附加盖公章的网页查询扫描件，查询日期为公告发布之日起至投标截止之日止；</w:t>
      </w:r>
    </w:p>
    <w:bookmarkEnd w:id="8"/>
    <w:bookmarkEnd w:id="9"/>
    <w:p>
      <w:pPr>
        <w:pStyle w:val="4"/>
        <w:autoSpaceDE w:val="0"/>
        <w:autoSpaceDN w:val="0"/>
        <w:spacing w:line="360" w:lineRule="auto"/>
        <w:ind w:firstLine="480" w:firstLineChars="200"/>
        <w:jc w:val="left"/>
        <w:rPr>
          <w:rFonts w:asciiTheme="minorEastAsia" w:hAnsiTheme="minorEastAsia" w:eastAsiaTheme="minorEastAsia" w:cstheme="minorEastAsia"/>
          <w:color w:val="auto"/>
          <w:sz w:val="24"/>
          <w:highlight w:val="none"/>
        </w:rPr>
      </w:pPr>
      <w:bookmarkStart w:id="10" w:name="_Toc35393800"/>
      <w:bookmarkEnd w:id="10"/>
      <w:bookmarkStart w:id="11" w:name="_Toc35393631"/>
      <w:bookmarkEnd w:id="11"/>
      <w:r>
        <w:rPr>
          <w:rFonts w:hint="eastAsia" w:asciiTheme="minorEastAsia" w:hAnsiTheme="minorEastAsia" w:eastAsiaTheme="minorEastAsia" w:cstheme="minorEastAsia"/>
          <w:color w:val="auto"/>
          <w:sz w:val="24"/>
          <w:highlight w:val="none"/>
        </w:rPr>
        <w:t>（2）本项目不接受联合体磋商；</w:t>
      </w:r>
    </w:p>
    <w:p>
      <w:pPr>
        <w:pStyle w:val="4"/>
        <w:autoSpaceDE w:val="0"/>
        <w:autoSpaceDN w:val="0"/>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（3）单位负责人为同一人或者存在直接控股、管理关系的不同供应商，不得同时参加本项目磋商。</w:t>
      </w:r>
    </w:p>
    <w:p>
      <w:pPr>
        <w:pStyle w:val="4"/>
        <w:autoSpaceDE w:val="0"/>
        <w:autoSpaceDN w:val="0"/>
        <w:spacing w:line="360" w:lineRule="auto"/>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三、获取采购文件</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u w:val="single"/>
        </w:rPr>
        <w:t>2024年</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28</w:t>
      </w:r>
      <w:r>
        <w:rPr>
          <w:rFonts w:hint="eastAsia" w:ascii="宋体" w:hAnsi="宋体" w:cs="宋体"/>
          <w:color w:val="auto"/>
          <w:sz w:val="24"/>
          <w:highlight w:val="none"/>
          <w:u w:val="single"/>
        </w:rPr>
        <w:t>日至2024年</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日（北京时间，法定节假日除外）</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12" w:name="_Toc35393801"/>
      <w:bookmarkEnd w:id="12"/>
      <w:bookmarkStart w:id="13" w:name="_Toc28359015"/>
      <w:bookmarkEnd w:id="13"/>
      <w:bookmarkStart w:id="14" w:name="_Toc28359092"/>
      <w:bookmarkEnd w:id="14"/>
      <w:bookmarkStart w:id="15" w:name="_Toc35393632"/>
      <w:bookmarkEnd w:id="15"/>
      <w:r>
        <w:rPr>
          <w:rFonts w:hint="eastAsia" w:asciiTheme="minorEastAsia" w:hAnsiTheme="minorEastAsia" w:eastAsiaTheme="minorEastAsia" w:cstheme="minorEastAsia"/>
          <w:color w:val="auto"/>
          <w:sz w:val="24"/>
          <w:highlight w:val="none"/>
        </w:rPr>
        <w:t>四、响应文件提交</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截止时间：</w:t>
      </w:r>
      <w:r>
        <w:rPr>
          <w:rFonts w:hint="eastAsia" w:ascii="宋体" w:hAnsi="宋体" w:cs="宋体"/>
          <w:color w:val="auto"/>
          <w:sz w:val="24"/>
          <w:highlight w:val="none"/>
          <w:u w:val="single"/>
        </w:rPr>
        <w:t>2024年6月11日10点00分（北京时间）</w:t>
      </w:r>
    </w:p>
    <w:p>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16" w:name="_Toc28359093"/>
      <w:bookmarkEnd w:id="16"/>
      <w:bookmarkStart w:id="17" w:name="_Toc35393802"/>
      <w:bookmarkEnd w:id="17"/>
      <w:bookmarkStart w:id="18" w:name="_Toc35393633"/>
      <w:bookmarkEnd w:id="18"/>
      <w:bookmarkStart w:id="19" w:name="_Toc28359016"/>
      <w:bookmarkEnd w:id="19"/>
      <w:r>
        <w:rPr>
          <w:rFonts w:hint="eastAsia" w:asciiTheme="minorEastAsia" w:hAnsiTheme="minorEastAsia" w:eastAsiaTheme="minorEastAsia" w:cstheme="minorEastAsia"/>
          <w:color w:val="auto"/>
          <w:sz w:val="24"/>
          <w:highlight w:val="none"/>
        </w:rPr>
        <w:t>五、开启（竞争性磋商方式必须填写）</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时间：</w:t>
      </w:r>
      <w:r>
        <w:rPr>
          <w:rFonts w:hint="eastAsia" w:ascii="宋体" w:hAnsi="宋体" w:cs="宋体"/>
          <w:color w:val="auto"/>
          <w:sz w:val="24"/>
          <w:highlight w:val="none"/>
          <w:u w:val="single"/>
        </w:rPr>
        <w:t>2024年6月11日10点00分（北京时间）</w:t>
      </w:r>
    </w:p>
    <w:p>
      <w:pPr>
        <w:autoSpaceDE w:val="0"/>
        <w:autoSpaceDN w:val="0"/>
        <w:spacing w:line="360" w:lineRule="auto"/>
        <w:ind w:firstLine="480" w:firstLineChars="200"/>
        <w:jc w:val="left"/>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20" w:name="_Toc28359017"/>
      <w:bookmarkEnd w:id="20"/>
      <w:bookmarkStart w:id="21" w:name="_Toc35393803"/>
      <w:bookmarkEnd w:id="21"/>
      <w:bookmarkStart w:id="22" w:name="_Toc28359094"/>
      <w:bookmarkEnd w:id="22"/>
      <w:bookmarkStart w:id="23" w:name="_Toc35393634"/>
      <w:bookmarkEnd w:id="23"/>
      <w:r>
        <w:rPr>
          <w:rFonts w:hint="eastAsia" w:asciiTheme="minorEastAsia" w:hAnsiTheme="minorEastAsia" w:eastAsiaTheme="minorEastAsia" w:cstheme="minorEastAsia"/>
          <w:color w:val="auto"/>
          <w:sz w:val="24"/>
          <w:highlight w:val="none"/>
        </w:rPr>
        <w:t>六、公告期限</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自本公告发布之日起5个工作日。</w:t>
      </w:r>
    </w:p>
    <w:p>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24" w:name="_Toc35393804"/>
      <w:bookmarkEnd w:id="24"/>
      <w:bookmarkStart w:id="25" w:name="_Toc35393635"/>
      <w:bookmarkEnd w:id="25"/>
      <w:r>
        <w:rPr>
          <w:rFonts w:hint="eastAsia" w:asciiTheme="minorEastAsia" w:hAnsiTheme="minorEastAsia" w:eastAsiaTheme="minorEastAsia" w:cstheme="minorEastAsia"/>
          <w:color w:val="auto"/>
          <w:sz w:val="24"/>
          <w:highlight w:val="none"/>
        </w:rPr>
        <w:t>七、其他补充事宜</w:t>
      </w:r>
    </w:p>
    <w:p>
      <w:pPr>
        <w:pStyle w:val="4"/>
        <w:autoSpaceDE w:val="0"/>
        <w:autoSpaceDN w:val="0"/>
        <w:spacing w:line="360" w:lineRule="auto"/>
        <w:jc w:val="left"/>
        <w:rPr>
          <w:rFonts w:asciiTheme="minorEastAsia" w:hAnsiTheme="minorEastAsia" w:eastAsiaTheme="minorEastAsia" w:cstheme="minorEastAsia"/>
          <w:color w:val="auto"/>
          <w:sz w:val="24"/>
          <w:highlight w:val="none"/>
        </w:rPr>
      </w:pPr>
      <w:bookmarkStart w:id="26" w:name="_Toc28359095"/>
      <w:bookmarkEnd w:id="26"/>
      <w:bookmarkStart w:id="27" w:name="_Toc35393636"/>
      <w:bookmarkEnd w:id="27"/>
      <w:bookmarkStart w:id="28" w:name="_Toc35393805"/>
      <w:bookmarkEnd w:id="28"/>
      <w:bookmarkStart w:id="29" w:name="_Toc28359018"/>
      <w:bookmarkEnd w:id="29"/>
      <w:r>
        <w:rPr>
          <w:rFonts w:hint="eastAsia" w:asciiTheme="minorEastAsia" w:hAnsiTheme="minorEastAsia" w:eastAsiaTheme="minorEastAsia" w:cstheme="minorEastAsia"/>
          <w:color w:val="auto"/>
          <w:sz w:val="24"/>
          <w:highlight w:val="none"/>
        </w:rPr>
        <w:t>八、凡对本次采购提出询问，请按以下方式联系。</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1.采购人信息</w:t>
      </w:r>
    </w:p>
    <w:p>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名 称：周口市中心医院</w:t>
      </w:r>
    </w:p>
    <w:p>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地址：</w:t>
      </w:r>
      <w:r>
        <w:rPr>
          <w:rFonts w:hint="eastAsia" w:ascii="宋体" w:hAnsi="宋体" w:cs="宋体"/>
          <w:color w:val="auto"/>
          <w:sz w:val="24"/>
          <w:highlight w:val="none"/>
        </w:rPr>
        <w:t>周口市川汇区人民路东段26号</w:t>
      </w:r>
    </w:p>
    <w:p>
      <w:pPr>
        <w:spacing w:line="360" w:lineRule="auto"/>
        <w:ind w:firstLine="480" w:firstLineChars="200"/>
        <w:jc w:val="left"/>
        <w:rPr>
          <w:rFonts w:ascii="宋体" w:hAnsi="宋体" w:cs="宋体"/>
          <w:color w:val="auto"/>
          <w:sz w:val="24"/>
          <w:highlight w:val="none"/>
        </w:rPr>
      </w:pPr>
      <w:r>
        <w:rPr>
          <w:rFonts w:ascii="宋体" w:hAnsi="宋体" w:cs="宋体"/>
          <w:color w:val="auto"/>
          <w:sz w:val="24"/>
          <w:highlight w:val="none"/>
        </w:rPr>
        <w:t>项目联系人：詹卓一</w:t>
      </w:r>
      <w:r>
        <w:rPr>
          <w:rFonts w:hint="eastAsia" w:ascii="宋体" w:hAnsi="宋体"/>
          <w:color w:val="auto"/>
          <w:sz w:val="24"/>
          <w:highlight w:val="none"/>
        </w:rPr>
        <w:t xml:space="preserve">       联系方式：18837195916</w:t>
      </w:r>
    </w:p>
    <w:p>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2.采购代理机构信息</w:t>
      </w:r>
    </w:p>
    <w:p>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名 称：周口市公共资源交易中心政府采购中心</w:t>
      </w:r>
    </w:p>
    <w:p>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地　址：周口市光明路与政通路交叉口向北100米路东</w:t>
      </w:r>
    </w:p>
    <w:p>
      <w:pPr>
        <w:spacing w:line="360" w:lineRule="auto"/>
        <w:ind w:firstLine="480"/>
        <w:jc w:val="left"/>
        <w:rPr>
          <w:rFonts w:ascii="宋体" w:hAnsi="宋体" w:cs="宋体"/>
          <w:color w:val="auto"/>
          <w:sz w:val="24"/>
          <w:highlight w:val="none"/>
        </w:rPr>
      </w:pPr>
      <w:r>
        <w:rPr>
          <w:rFonts w:ascii="宋体" w:hAnsi="宋体" w:cs="宋体"/>
          <w:color w:val="auto"/>
          <w:sz w:val="24"/>
          <w:highlight w:val="none"/>
        </w:rPr>
        <w:t>项目联系人：</w:t>
      </w:r>
      <w:r>
        <w:rPr>
          <w:rFonts w:hint="eastAsia" w:ascii="宋体" w:hAnsi="宋体" w:cs="宋体"/>
          <w:color w:val="auto"/>
          <w:sz w:val="24"/>
          <w:highlight w:val="none"/>
          <w:lang w:val="en-US" w:eastAsia="zh-CN"/>
        </w:rPr>
        <w:t>师博文</w:t>
      </w:r>
      <w:r>
        <w:rPr>
          <w:rFonts w:hint="eastAsia" w:ascii="宋体" w:hAnsi="宋体" w:cs="宋体"/>
          <w:color w:val="auto"/>
          <w:sz w:val="24"/>
          <w:highlight w:val="none"/>
        </w:rPr>
        <w:t xml:space="preserve">   </w:t>
      </w:r>
      <w:r>
        <w:rPr>
          <w:rFonts w:ascii="宋体" w:hAnsi="宋体" w:cs="宋体"/>
          <w:color w:val="auto"/>
          <w:sz w:val="24"/>
          <w:highlight w:val="none"/>
        </w:rPr>
        <w:t xml:space="preserve">     联系方式：</w:t>
      </w:r>
      <w:r>
        <w:rPr>
          <w:rFonts w:hint="eastAsia" w:ascii="宋体" w:hAnsi="宋体" w:cs="宋体"/>
          <w:color w:val="auto"/>
          <w:sz w:val="24"/>
          <w:highlight w:val="none"/>
          <w:lang w:val="en-US" w:eastAsia="zh-CN"/>
        </w:rPr>
        <w:t>0394-8106517</w:t>
      </w:r>
      <w:r>
        <w:rPr>
          <w:rFonts w:hint="eastAsia" w:ascii="宋体" w:hAnsi="宋体" w:cs="宋体"/>
          <w:color w:val="auto"/>
          <w:sz w:val="24"/>
          <w:highlight w:val="none"/>
        </w:rPr>
        <w:t xml:space="preserve">  </w:t>
      </w:r>
    </w:p>
    <w:p>
      <w:pPr>
        <w:spacing w:line="360" w:lineRule="auto"/>
        <w:ind w:left="480"/>
        <w:jc w:val="left"/>
        <w:rPr>
          <w:rFonts w:ascii="宋体" w:hAnsi="宋体" w:cs="宋体"/>
          <w:color w:val="auto"/>
          <w:sz w:val="24"/>
          <w:highlight w:val="none"/>
        </w:rPr>
      </w:pPr>
      <w:r>
        <w:rPr>
          <w:rFonts w:hint="eastAsia" w:ascii="宋体" w:hAnsi="宋体" w:cs="宋体"/>
          <w:color w:val="auto"/>
          <w:sz w:val="24"/>
          <w:highlight w:val="none"/>
        </w:rPr>
        <w:t>3.</w:t>
      </w:r>
      <w:r>
        <w:rPr>
          <w:rFonts w:ascii="宋体" w:hAnsi="宋体" w:cs="宋体"/>
          <w:color w:val="auto"/>
          <w:sz w:val="24"/>
          <w:highlight w:val="none"/>
        </w:rPr>
        <w:t>监督单位：</w:t>
      </w:r>
      <w:r>
        <w:rPr>
          <w:rFonts w:hint="eastAsia" w:ascii="宋体" w:hAnsi="宋体" w:cs="宋体"/>
          <w:color w:val="auto"/>
          <w:sz w:val="24"/>
          <w:highlight w:val="none"/>
        </w:rPr>
        <w:t xml:space="preserve">周口市财政局政府监督管理科   </w:t>
      </w:r>
    </w:p>
    <w:p>
      <w:pPr>
        <w:pStyle w:val="38"/>
        <w:ind w:firstLine="720" w:firstLineChars="300"/>
        <w:rPr>
          <w:color w:val="auto"/>
          <w:highlight w:val="none"/>
        </w:rPr>
      </w:pPr>
      <w:r>
        <w:rPr>
          <w:rFonts w:ascii="宋体" w:hAnsi="宋体" w:cs="宋体"/>
          <w:color w:val="auto"/>
          <w:sz w:val="24"/>
          <w:highlight w:val="none"/>
        </w:rPr>
        <w:t>联系方式：</w:t>
      </w:r>
      <w:r>
        <w:rPr>
          <w:rFonts w:hint="eastAsia" w:ascii="宋体" w:hAnsi="宋体" w:cs="宋体"/>
          <w:color w:val="auto"/>
          <w:sz w:val="24"/>
          <w:highlight w:val="none"/>
        </w:rPr>
        <w:t>0394-8106976</w:t>
      </w:r>
    </w:p>
    <w:p>
      <w:pPr>
        <w:pStyle w:val="38"/>
        <w:ind w:firstLine="210"/>
        <w:rPr>
          <w:color w:val="auto"/>
          <w:highlight w:val="none"/>
        </w:rPr>
      </w:pPr>
    </w:p>
    <w:p>
      <w:pPr>
        <w:pStyle w:val="10"/>
        <w:adjustRightInd w:val="0"/>
        <w:snapToGrid w:val="0"/>
        <w:spacing w:line="360" w:lineRule="auto"/>
        <w:ind w:firstLine="3129" w:firstLineChars="1304"/>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pPr>
        <w:pStyle w:val="21"/>
        <w:adjustRightInd w:val="0"/>
        <w:spacing w:line="360" w:lineRule="auto"/>
        <w:ind w:firstLine="4324" w:firstLineChars="1802"/>
        <w:rPr>
          <w:rFonts w:ascii="宋体" w:hAnsi="宋体" w:cs="宋体"/>
          <w:color w:val="auto"/>
          <w:highlight w:val="none"/>
        </w:rPr>
      </w:pPr>
      <w:r>
        <w:rPr>
          <w:rFonts w:hint="eastAsia" w:ascii="宋体" w:hAnsi="宋体" w:cs="宋体"/>
          <w:color w:val="auto"/>
          <w:sz w:val="24"/>
          <w:szCs w:val="24"/>
          <w:highlight w:val="none"/>
        </w:rPr>
        <w:t>2024年</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28</w:t>
      </w:r>
      <w:r>
        <w:rPr>
          <w:rFonts w:hint="eastAsia" w:ascii="宋体" w:hAnsi="宋体" w:cs="宋体"/>
          <w:color w:val="auto"/>
          <w:sz w:val="24"/>
          <w:szCs w:val="24"/>
          <w:highlight w:val="none"/>
        </w:rPr>
        <w:t>日</w:t>
      </w:r>
    </w:p>
    <w:p>
      <w:pPr>
        <w:pStyle w:val="26"/>
        <w:adjustRightInd w:val="0"/>
        <w:snapToGrid w:val="0"/>
        <w:spacing w:line="360" w:lineRule="auto"/>
        <w:ind w:firstLine="0" w:firstLineChars="0"/>
        <w:rPr>
          <w:rFonts w:hint="eastAsia"/>
          <w:color w:val="auto"/>
          <w:highlight w:val="none"/>
        </w:rPr>
      </w:pPr>
      <w:bookmarkStart w:id="37" w:name="_GoBack"/>
      <w:bookmarkEnd w:id="37"/>
    </w:p>
    <w:p>
      <w:pPr>
        <w:pStyle w:val="26"/>
        <w:ind w:firstLine="0" w:firstLineChars="0"/>
        <w:rPr>
          <w:rFonts w:hint="eastAsia"/>
          <w:color w:val="auto"/>
          <w:highlight w:val="none"/>
        </w:rPr>
      </w:pPr>
    </w:p>
    <w:p>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项目名称：周口市中心医院人民路院区污水处理站运维服务采购项目</w:t>
            </w:r>
          </w:p>
          <w:p>
            <w:pPr>
              <w:rPr>
                <w:rFonts w:ascii="宋体" w:hAnsi="宋体" w:cs="宋体"/>
                <w:color w:val="auto"/>
                <w:sz w:val="24"/>
                <w:highlight w:val="none"/>
              </w:rPr>
            </w:pPr>
            <w:r>
              <w:rPr>
                <w:rFonts w:hint="eastAsia" w:ascii="宋体" w:hAnsi="宋体" w:cs="宋体"/>
                <w:color w:val="auto"/>
                <w:sz w:val="24"/>
                <w:highlight w:val="none"/>
              </w:rPr>
              <w:t>采购内容：</w:t>
            </w:r>
            <w:r>
              <w:rPr>
                <w:rFonts w:hint="eastAsia" w:asciiTheme="minorEastAsia" w:hAnsiTheme="minorEastAsia" w:eastAsiaTheme="minorEastAsia" w:cstheme="minorEastAsia"/>
                <w:color w:val="auto"/>
                <w:sz w:val="24"/>
                <w:highlight w:val="none"/>
              </w:rPr>
              <w:t>人民路院区污水处理站污水处理运维服务，服务期3年，服务范围包括院本部、东院和核医学科两个院区三个站房</w:t>
            </w:r>
          </w:p>
          <w:p>
            <w:pPr>
              <w:rPr>
                <w:rFonts w:ascii="宋体" w:hAnsi="宋体" w:cs="宋体"/>
                <w:color w:val="auto"/>
                <w:sz w:val="24"/>
                <w:highlight w:val="none"/>
              </w:rPr>
            </w:pPr>
            <w:r>
              <w:rPr>
                <w:rFonts w:hint="eastAsia" w:ascii="宋体" w:hAnsi="宋体" w:cs="宋体"/>
                <w:color w:val="auto"/>
                <w:sz w:val="24"/>
                <w:highlight w:val="none"/>
              </w:rPr>
              <w:t>采购人：</w:t>
            </w:r>
            <w:r>
              <w:rPr>
                <w:rFonts w:ascii="宋体" w:hAnsi="宋体" w:cs="宋体"/>
                <w:color w:val="auto"/>
                <w:sz w:val="24"/>
                <w:highlight w:val="none"/>
              </w:rPr>
              <w:t>周口市中心医院</w:t>
            </w:r>
          </w:p>
          <w:p>
            <w:pPr>
              <w:rPr>
                <w:rFonts w:ascii="宋体" w:hAnsi="宋体" w:cs="宋体"/>
                <w:color w:val="auto"/>
                <w:sz w:val="24"/>
                <w:highlight w:val="none"/>
              </w:rPr>
            </w:pPr>
            <w:r>
              <w:rPr>
                <w:rFonts w:hint="eastAsia" w:ascii="宋体" w:hAnsi="宋体" w:cs="宋体"/>
                <w:color w:val="auto"/>
                <w:sz w:val="24"/>
                <w:highlight w:val="none"/>
              </w:rPr>
              <w:t>采购代理机构：周口市公共资源交易中心政府采购中心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无论报价和磋商的过程和结果如何，供应商自行承诺承担所有与参加报价及磋商有关活动的全部费用。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pPr>
              <w:snapToGrid w:val="0"/>
              <w:rPr>
                <w:rFonts w:ascii="宋体" w:hAnsi="宋体" w:cs="宋体"/>
                <w:color w:val="auto"/>
                <w:sz w:val="24"/>
                <w:highlight w:val="none"/>
              </w:rPr>
            </w:pPr>
            <w:r>
              <w:rPr>
                <w:rFonts w:hint="eastAsia" w:ascii="宋体" w:hAnsi="宋体" w:cs="宋体"/>
                <w:color w:val="auto"/>
                <w:sz w:val="24"/>
                <w:highlight w:val="none"/>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pPr>
              <w:tabs>
                <w:tab w:val="left" w:pos="8640"/>
              </w:tabs>
              <w:rPr>
                <w:rFonts w:ascii="宋体" w:hAnsi="宋体" w:cs="宋体"/>
                <w:color w:val="auto"/>
                <w:sz w:val="24"/>
                <w:highlight w:val="none"/>
              </w:rPr>
            </w:pPr>
            <w:r>
              <w:rPr>
                <w:rFonts w:hint="eastAsia" w:ascii="宋体" w:hAnsi="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pPr>
              <w:ind w:firstLine="240" w:firstLineChars="100"/>
              <w:rPr>
                <w:rFonts w:ascii="宋体" w:hAnsi="宋体" w:cs="宋体"/>
                <w:color w:val="auto"/>
                <w:sz w:val="24"/>
                <w:highlight w:val="none"/>
              </w:rPr>
            </w:pPr>
            <w:r>
              <w:rPr>
                <w:rFonts w:ascii="宋体" w:hAnsi="宋体" w:cs="宋体"/>
                <w:color w:val="auto"/>
                <w:sz w:val="24"/>
                <w:highlight w:val="none"/>
              </w:rPr>
              <w:t>202</w:t>
            </w:r>
            <w:r>
              <w:rPr>
                <w:rFonts w:hint="eastAsia" w:ascii="宋体" w:hAnsi="宋体" w:cs="宋体"/>
                <w:color w:val="auto"/>
                <w:sz w:val="24"/>
                <w:highlight w:val="none"/>
              </w:rPr>
              <w:t>4年   月   日   点</w:t>
            </w:r>
            <w:r>
              <w:rPr>
                <w:rFonts w:ascii="宋体" w:hAnsi="宋体" w:cs="宋体"/>
                <w:color w:val="auto"/>
                <w:sz w:val="24"/>
                <w:highlight w:val="none"/>
              </w:rPr>
              <w:t>00</w:t>
            </w:r>
            <w:r>
              <w:rPr>
                <w:rFonts w:hint="eastAsia" w:ascii="宋体" w:hAnsi="宋体" w:cs="宋体"/>
                <w:color w:val="auto"/>
                <w:sz w:val="24"/>
                <w:highlight w:val="none"/>
              </w:rPr>
              <w:t xml:space="preserve">分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pPr>
              <w:rPr>
                <w:rFonts w:ascii="宋体" w:hAnsi="宋体"/>
                <w:color w:val="auto"/>
                <w:sz w:val="24"/>
                <w:highlight w:val="none"/>
              </w:rPr>
            </w:pPr>
            <w:r>
              <w:rPr>
                <w:rFonts w:hint="eastAsia" w:ascii="宋体" w:hAnsi="宋体"/>
                <w:color w:val="auto"/>
                <w:sz w:val="24"/>
                <w:highlight w:val="none"/>
              </w:rPr>
              <w:t>周口市公共资源交易中心网</w:t>
            </w:r>
          </w:p>
          <w:p>
            <w:pPr>
              <w:rPr>
                <w:rFonts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pPr>
              <w:tabs>
                <w:tab w:val="left" w:pos="8640"/>
              </w:tabs>
              <w:ind w:left="-2" w:leftChars="-1" w:firstLine="240" w:firstLineChars="100"/>
              <w:rPr>
                <w:rFonts w:ascii="宋体" w:hAnsi="宋体" w:cs="宋体"/>
                <w:color w:val="auto"/>
                <w:sz w:val="24"/>
                <w:highlight w:val="none"/>
              </w:rPr>
            </w:pPr>
            <w:r>
              <w:rPr>
                <w:rFonts w:ascii="宋体" w:hAnsi="宋体" w:cs="宋体"/>
                <w:color w:val="auto"/>
                <w:sz w:val="24"/>
                <w:highlight w:val="none"/>
              </w:rPr>
              <w:t>202</w:t>
            </w:r>
            <w:r>
              <w:rPr>
                <w:rFonts w:hint="eastAsia" w:ascii="宋体" w:hAnsi="宋体" w:cs="宋体"/>
                <w:color w:val="auto"/>
                <w:sz w:val="24"/>
                <w:highlight w:val="none"/>
              </w:rPr>
              <w:t>4年   月   日   点</w:t>
            </w:r>
            <w:r>
              <w:rPr>
                <w:rFonts w:ascii="宋体" w:hAnsi="宋体" w:cs="宋体"/>
                <w:color w:val="auto"/>
                <w:sz w:val="24"/>
                <w:highlight w:val="none"/>
              </w:rPr>
              <w:t>00</w:t>
            </w:r>
            <w:r>
              <w:rPr>
                <w:rFonts w:hint="eastAsia" w:ascii="宋体" w:hAnsi="宋体" w:cs="宋体"/>
                <w:color w:val="auto"/>
                <w:sz w:val="24"/>
                <w:highlight w:val="none"/>
              </w:rPr>
              <w:t>分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pPr>
              <w:rPr>
                <w:color w:val="auto"/>
                <w:highlight w:val="none"/>
              </w:rPr>
            </w:pPr>
            <w:r>
              <w:rPr>
                <w:rFonts w:hint="eastAsia" w:ascii="宋体" w:hAnsi="宋体" w:cs="宋体"/>
                <w:color w:val="auto"/>
                <w:sz w:val="24"/>
                <w:highlight w:val="none"/>
              </w:rPr>
              <w:t>不需要缴纳投标保证金</w:t>
            </w:r>
            <w:r>
              <w:rPr>
                <w:rFonts w:hint="eastAsia"/>
                <w:color w:val="auto"/>
                <w:sz w:val="24"/>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pPr>
              <w:jc w:val="left"/>
              <w:rPr>
                <w:rFonts w:ascii="宋体" w:hAnsi="宋体" w:cs="宋体"/>
                <w:color w:val="auto"/>
                <w:sz w:val="24"/>
                <w:highlight w:val="none"/>
              </w:rPr>
            </w:pPr>
            <w:r>
              <w:rPr>
                <w:rFonts w:hint="eastAsia" w:asciiTheme="minorEastAsia" w:hAnsiTheme="minorEastAsia" w:cstheme="minorEastAsia"/>
                <w:color w:val="auto"/>
                <w:sz w:val="24"/>
                <w:highlight w:val="none"/>
              </w:rPr>
              <w:t>3年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pPr>
              <w:spacing w:line="400" w:lineRule="exact"/>
              <w:rPr>
                <w:color w:val="auto"/>
                <w:highlight w:val="none"/>
              </w:rPr>
            </w:pPr>
            <w:r>
              <w:rPr>
                <w:rFonts w:hint="eastAsia" w:asciiTheme="minorEastAsia" w:hAnsiTheme="minorEastAsia" w:eastAsiaTheme="minorEastAsia" w:cstheme="minorEastAsia"/>
                <w:color w:val="auto"/>
                <w:sz w:val="24"/>
                <w:highlight w:val="none"/>
              </w:rPr>
              <w:t>签订合同后，按照服务期分12个季度支付，1-11季度经采购人考核合格后每季度支付合同总额的8.3%，12季度经采购人考核合格后支付合同总额的8.7%。</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投标企业对本项目了解不足影响合同履约。投标人派人持公司法人授权证明、被授权人身份证复印件的正反面（加盖公章）于获取采购文件截止日期后第一个工作日（截止时间当日16:00前）到采购方项目所在地现场勘察项目的具体情况并能准确表达本项目的专业技术问题，方可取得采购单位出具的现场勘察证明，此证明作为评审加分项。</w:t>
            </w:r>
          </w:p>
          <w:p>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联系人：詹卓一    电话：18837195916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ascii="宋体" w:hAnsi="宋体" w:cs="宋体"/>
                <w:b/>
                <w:bCs/>
                <w:color w:val="auto"/>
                <w:sz w:val="24"/>
                <w:highlight w:val="none"/>
              </w:rPr>
            </w:pPr>
            <w:r>
              <w:rPr>
                <w:rFonts w:hint="eastAsia" w:ascii="宋体" w:hAnsi="宋体" w:cs="宋体"/>
                <w:b/>
                <w:bCs/>
                <w:color w:val="auto"/>
                <w:sz w:val="24"/>
                <w:highlight w:val="none"/>
              </w:rPr>
              <w:t>报价</w:t>
            </w:r>
          </w:p>
        </w:tc>
        <w:tc>
          <w:tcPr>
            <w:tcW w:w="6615" w:type="dxa"/>
            <w:vAlign w:val="center"/>
          </w:tcPr>
          <w:p>
            <w:pPr>
              <w:tabs>
                <w:tab w:val="left" w:pos="8640"/>
              </w:tabs>
              <w:jc w:val="left"/>
              <w:rPr>
                <w:rFonts w:ascii="宋体" w:hAnsi="宋体" w:cs="宋体"/>
                <w:b/>
                <w:bCs/>
                <w:color w:val="auto"/>
                <w:sz w:val="24"/>
                <w:highlight w:val="none"/>
                <w:u w:val="single"/>
              </w:rPr>
            </w:pPr>
            <w:r>
              <w:rPr>
                <w:rFonts w:hint="eastAsia" w:ascii="宋体" w:hAnsi="宋体" w:cs="宋体"/>
                <w:b/>
                <w:bCs/>
                <w:color w:val="auto"/>
                <w:sz w:val="24"/>
                <w:highlight w:val="none"/>
              </w:rPr>
              <w:t>一次报价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735" w:type="dxa"/>
            <w:vAlign w:val="center"/>
          </w:tcPr>
          <w:p>
            <w:pPr>
              <w:numPr>
                <w:ilvl w:val="0"/>
                <w:numId w:val="1"/>
              </w:numPr>
              <w:spacing w:before="156" w:beforeLines="50"/>
              <w:jc w:val="center"/>
              <w:rPr>
                <w:rFonts w:ascii="宋体" w:hAnsi="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项目所属行业</w:t>
            </w:r>
          </w:p>
        </w:tc>
        <w:tc>
          <w:tcPr>
            <w:tcW w:w="6615" w:type="dxa"/>
            <w:vAlign w:val="center"/>
          </w:tcPr>
          <w:p>
            <w:pPr>
              <w:tabs>
                <w:tab w:val="left" w:pos="8640"/>
              </w:tabs>
              <w:jc w:val="left"/>
              <w:rPr>
                <w:rFonts w:hint="eastAsia" w:ascii="宋体" w:hAnsi="宋体" w:cs="宋体"/>
                <w:b/>
                <w:bCs/>
                <w:color w:val="auto"/>
                <w:sz w:val="24"/>
                <w:highlight w:val="none"/>
              </w:rPr>
            </w:pPr>
            <w:r>
              <w:rPr>
                <w:rFonts w:hint="eastAsia" w:ascii="宋体" w:hAnsi="宋体" w:cs="宋体"/>
                <w:b/>
                <w:bCs/>
                <w:color w:val="auto"/>
                <w:sz w:val="24"/>
                <w:highlight w:val="none"/>
                <w:lang w:eastAsia="zh-CN"/>
              </w:rPr>
              <w:t>其他未列明行业</w:t>
            </w:r>
          </w:p>
        </w:tc>
      </w:tr>
    </w:tbl>
    <w:p>
      <w:pPr>
        <w:pStyle w:val="26"/>
        <w:ind w:firstLine="0" w:firstLineChars="0"/>
        <w:rPr>
          <w:rFonts w:ascii="宋体" w:hAnsi="宋体" w:cs="宋体"/>
          <w:b/>
          <w:color w:val="auto"/>
          <w:sz w:val="30"/>
          <w:szCs w:val="30"/>
          <w:highlight w:val="none"/>
        </w:rPr>
      </w:pPr>
    </w:p>
    <w:p>
      <w:pPr>
        <w:rPr>
          <w:rFonts w:ascii="宋体" w:hAnsi="宋体" w:cs="宋体"/>
          <w:b/>
          <w:color w:val="auto"/>
          <w:sz w:val="30"/>
          <w:szCs w:val="30"/>
          <w:highlight w:val="none"/>
        </w:rPr>
      </w:pPr>
      <w:r>
        <w:rPr>
          <w:rFonts w:hint="eastAsia" w:ascii="宋体" w:hAnsi="宋体" w:cs="宋体"/>
          <w:b/>
          <w:color w:val="auto"/>
          <w:sz w:val="30"/>
          <w:szCs w:val="30"/>
          <w:highlight w:val="none"/>
        </w:rPr>
        <w:br w:type="page"/>
      </w:r>
    </w:p>
    <w:p>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2.2“采购人”：周口市中心医院</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4.1.2参加政府采购活动前三年内，在经营活动中没有重大违法记录的声明函；</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4.1.3 政府采购供应商诚信承诺书；</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4.1.4 供应商自觉抵制政府采购领域商业贿赂行为承诺书；</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 xml:space="preserve">4.2 </w:t>
      </w:r>
      <w:r>
        <w:rPr>
          <w:rFonts w:hint="eastAsia" w:ascii="宋体" w:hAnsi="宋体" w:cs="宋体"/>
          <w:color w:val="auto"/>
          <w:sz w:val="24"/>
          <w:highlight w:val="none"/>
        </w:rPr>
        <w:t>供应商需提供售后服务体系与承诺</w:t>
      </w:r>
      <w:r>
        <w:rPr>
          <w:rFonts w:hint="eastAsia" w:ascii="宋体" w:hAnsi="宋体" w:cs="宋体"/>
          <w:color w:val="auto"/>
          <w:sz w:val="24"/>
          <w:highlight w:val="none"/>
          <w:lang w:val="zh-CN"/>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4.3符合本竞争性磋商文件规定的供应商资格要求及项目要求的其它条件，并按照要求提供相关证明材料。</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4.4供应商应遵守国家法律、法规有关竞争性磋商的规定。</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 xml:space="preserve">4.5 </w:t>
      </w:r>
      <w:r>
        <w:rPr>
          <w:rFonts w:hint="eastAsia" w:ascii="宋体" w:hAnsi="宋体" w:cs="宋体"/>
          <w:color w:val="auto"/>
          <w:sz w:val="24"/>
          <w:highlight w:val="none"/>
        </w:rPr>
        <w:t>凡通过磋商小组符合性审查的供应商均为合格供应商。未通过符合性审查的供应商将视为不响应本项目的竞争性磋商文件被否决</w:t>
      </w:r>
      <w:r>
        <w:rPr>
          <w:rFonts w:hint="eastAsia" w:ascii="宋体" w:hAnsi="宋体" w:cs="宋体"/>
          <w:color w:val="auto"/>
          <w:sz w:val="24"/>
          <w:highlight w:val="none"/>
          <w:lang w:val="zh-CN"/>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4.6为避免投标企业对本项目了解不足影响合同履约。投标人派人持公司法人授权证明、被授权人身份证复印件的正反面（加盖红章）于获取采购文件截止日期后第一个工作日（截止时间当日16:00前）到采购方项目所在地现场勘察项目的具体情况，并取得采购单位出具的现场勘察证明，此证明作为评审加分项。</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6.1竞争性磋商文件是用以阐明的采购需求、采购程序和合同格式等的规范性文件。竞争性磋商文件主要由以下部分组成</w:t>
      </w:r>
      <w:r>
        <w:rPr>
          <w:rFonts w:hint="eastAsia" w:ascii="宋体" w:hAnsi="宋体" w:cs="宋体"/>
          <w:color w:val="auto"/>
          <w:sz w:val="24"/>
          <w:highlight w:val="none"/>
          <w:lang w:val="zh-CN"/>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w:t>
      </w:r>
      <w:r>
        <w:rPr>
          <w:rFonts w:ascii="宋体" w:hAnsi="宋体" w:cs="宋体"/>
          <w:color w:val="auto"/>
          <w:sz w:val="24"/>
          <w:highlight w:val="none"/>
        </w:rPr>
        <w:t>供应商被视为充分熟悉本采购项目所在地的与履行合同有关的各种情况，包括自然环境、气候条件、劳动力及公用设施等，本竞争性磋商文件不再对上述情况进行描述</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7.2供应商应仔细阅读竞争性磋商文件的所有内容，如果有异议在规定的时间内提出，没有异议需做出“无异议”承诺书，承诺书作为响应文件的组织部分，否则为无效响应文件。</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声明保证所提供的全部资料的真实性、合法性，否则其响应性文件将作为无效处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w:t>
      </w:r>
      <w:r>
        <w:rPr>
          <w:rFonts w:ascii="宋体" w:hAnsi="宋体" w:cs="宋体"/>
          <w:color w:val="auto"/>
          <w:sz w:val="24"/>
          <w:highlight w:val="none"/>
        </w:rPr>
        <w:t>任何对竞争性磋商文件的忽略或误解不能作为响应性文件没有完全响应竞争性磋商文件的有效理由</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8.3</w:t>
      </w:r>
      <w:r>
        <w:rPr>
          <w:rFonts w:ascii="宋体" w:hAnsi="宋体" w:cs="宋体"/>
          <w:color w:val="auto"/>
          <w:sz w:val="24"/>
          <w:highlight w:val="none"/>
        </w:rPr>
        <w:t>供应商没有按照竞争性磋商文件要求提供全部资料，或者供应商没有对竞争性磋商文件在各方面都作出实质性响应是供应商的风险，并可能导致其响应性文件被拒绝</w:t>
      </w:r>
      <w:r>
        <w:rPr>
          <w:rFonts w:hint="eastAsia" w:ascii="宋体" w:hAnsi="宋体" w:cs="宋体"/>
          <w:color w:val="auto"/>
          <w:sz w:val="24"/>
          <w:highlight w:val="none"/>
        </w:rPr>
        <w:t xml:space="preserve">。供应商不得相互串通投标报价，不得妨碍其他供应商的公平竞争，不得损害 </w:t>
      </w:r>
    </w:p>
    <w:p>
      <w:pPr>
        <w:spacing w:line="560" w:lineRule="exact"/>
        <w:rPr>
          <w:rFonts w:ascii="宋体" w:hAnsi="宋体" w:cs="宋体"/>
          <w:color w:val="auto"/>
          <w:sz w:val="24"/>
          <w:highlight w:val="none"/>
        </w:rPr>
      </w:pPr>
      <w:r>
        <w:rPr>
          <w:rFonts w:hint="eastAsia" w:ascii="宋体" w:hAnsi="宋体" w:cs="宋体"/>
          <w:color w:val="auto"/>
          <w:sz w:val="24"/>
          <w:highlight w:val="none"/>
        </w:rPr>
        <w:t xml:space="preserve">采购人或其他供应商的合法权益，供应商不得以向采购人、评委会成员行贿或者采取 </w:t>
      </w:r>
    </w:p>
    <w:p>
      <w:pPr>
        <w:spacing w:line="560" w:lineRule="exact"/>
        <w:rPr>
          <w:rFonts w:ascii="宋体" w:hAnsi="宋体" w:cs="宋体"/>
          <w:i/>
          <w:iCs/>
          <w:color w:val="auto"/>
          <w:sz w:val="24"/>
          <w:highlight w:val="none"/>
        </w:rPr>
      </w:pPr>
      <w:r>
        <w:rPr>
          <w:rFonts w:hint="eastAsia" w:ascii="宋体" w:hAnsi="宋体" w:cs="宋体"/>
          <w:color w:val="auto"/>
          <w:sz w:val="24"/>
          <w:highlight w:val="none"/>
        </w:rPr>
        <w:t>其他不正当手段谋取中标，对上述作出保证并附响应文件中，否则视为不响应竞争性磋商文件要求。</w:t>
      </w:r>
    </w:p>
    <w:p>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9.1</w:t>
      </w:r>
      <w:r>
        <w:rPr>
          <w:rFonts w:ascii="宋体" w:hAnsi="宋体" w:cs="宋体"/>
          <w:color w:val="auto"/>
          <w:sz w:val="24"/>
          <w:highlight w:val="none"/>
        </w:rPr>
        <w:t>响应性文件以及供应商与采购代理机构之间的所有书面往来都应用简体中文书写</w:t>
      </w:r>
      <w:r>
        <w:rPr>
          <w:rFonts w:hint="eastAsia" w:ascii="宋体" w:hAnsi="宋体" w:cs="宋体"/>
          <w:color w:val="auto"/>
          <w:sz w:val="24"/>
          <w:highlight w:val="none"/>
        </w:rPr>
        <w:t xml:space="preserve">。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w:t>
      </w:r>
      <w:r>
        <w:rPr>
          <w:rFonts w:ascii="宋体" w:hAnsi="宋体" w:cs="宋体"/>
          <w:color w:val="auto"/>
          <w:sz w:val="24"/>
          <w:highlight w:val="none"/>
        </w:rPr>
        <w:t>响应性文件由</w:t>
      </w:r>
      <w:r>
        <w:rPr>
          <w:rFonts w:ascii="宋体" w:hAnsi="宋体" w:cs="宋体"/>
          <w:color w:val="auto"/>
          <w:sz w:val="24"/>
          <w:highlight w:val="none"/>
          <w:u w:val="single"/>
        </w:rPr>
        <w:t>资格性证明材料</w:t>
      </w:r>
      <w:r>
        <w:rPr>
          <w:rFonts w:ascii="宋体" w:hAnsi="宋体" w:cs="宋体"/>
          <w:color w:val="auto"/>
          <w:sz w:val="24"/>
          <w:highlight w:val="none"/>
        </w:rPr>
        <w:t>、</w:t>
      </w:r>
      <w:r>
        <w:rPr>
          <w:rFonts w:ascii="宋体" w:hAnsi="宋体" w:cs="宋体"/>
          <w:color w:val="auto"/>
          <w:sz w:val="24"/>
          <w:highlight w:val="none"/>
          <w:u w:val="single"/>
        </w:rPr>
        <w:t>符合性证明材料</w:t>
      </w:r>
      <w:r>
        <w:rPr>
          <w:rFonts w:ascii="宋体" w:hAnsi="宋体" w:cs="宋体"/>
          <w:color w:val="auto"/>
          <w:sz w:val="24"/>
          <w:highlight w:val="none"/>
        </w:rPr>
        <w:t>、</w:t>
      </w:r>
      <w:r>
        <w:rPr>
          <w:rFonts w:ascii="宋体" w:hAnsi="宋体" w:cs="宋体"/>
          <w:color w:val="auto"/>
          <w:sz w:val="24"/>
          <w:highlight w:val="none"/>
          <w:u w:val="single"/>
        </w:rPr>
        <w:t>其他材料</w:t>
      </w:r>
      <w:r>
        <w:rPr>
          <w:rFonts w:ascii="宋体" w:hAnsi="宋体" w:cs="宋体"/>
          <w:color w:val="auto"/>
          <w:sz w:val="24"/>
          <w:highlight w:val="none"/>
        </w:rPr>
        <w:t>三部分组成。具体内容和格式见竞争性磋商文件第四章</w:t>
      </w:r>
      <w:r>
        <w:rPr>
          <w:rFonts w:hint="eastAsia" w:ascii="宋体" w:hAnsi="宋体" w:cs="宋体"/>
          <w:color w:val="auto"/>
          <w:sz w:val="24"/>
          <w:highlight w:val="none"/>
        </w:rPr>
        <w:t>。</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w:t>
      </w:r>
      <w:r>
        <w:rPr>
          <w:rFonts w:ascii="宋体" w:hAnsi="宋体" w:cs="宋体"/>
          <w:color w:val="auto"/>
          <w:sz w:val="24"/>
          <w:highlight w:val="none"/>
        </w:rPr>
        <w:t>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cs="宋体"/>
          <w:color w:val="auto"/>
          <w:sz w:val="24"/>
          <w:highlight w:val="none"/>
        </w:rPr>
        <w:t>。</w:t>
      </w:r>
    </w:p>
    <w:p>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highlight w:val="none"/>
          <w:lang w:val="zh-CN"/>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pPr>
        <w:pStyle w:val="59"/>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pPr>
        <w:pStyle w:val="59"/>
        <w:spacing w:line="560" w:lineRule="exact"/>
        <w:ind w:firstLine="480" w:firstLineChars="2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pPr>
        <w:pStyle w:val="5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pPr>
        <w:pStyle w:val="5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pPr>
        <w:pStyle w:val="5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pPr>
        <w:pStyle w:val="5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pPr>
        <w:pStyle w:val="59"/>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pPr>
        <w:pStyle w:val="59"/>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18.2竞争性磋商小组确认竞争性磋商文件，并负责具体评审事务，根据有关法律法规和竞争性磋商文件规定的评审程序，按照评审方法及评审标准独立履行竞争性磋商小组职责。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pPr>
        <w:spacing w:line="560" w:lineRule="exact"/>
        <w:ind w:firstLine="480" w:firstLineChars="200"/>
        <w:rPr>
          <w:rFonts w:ascii="宋体" w:hAnsi="宋体" w:cs="宋体"/>
          <w:color w:val="auto"/>
          <w:sz w:val="24"/>
          <w:highlight w:val="none"/>
        </w:rPr>
      </w:pPr>
      <w:r>
        <w:rPr>
          <w:rFonts w:ascii="宋体" w:hAnsi="宋体" w:cs="宋体"/>
          <w:color w:val="auto"/>
          <w:sz w:val="24"/>
          <w:highlight w:val="none"/>
          <w:u w:val="single"/>
        </w:rPr>
        <w:t>以上资格性审查和符合性审查的内容只要有一条不满足，则响应性文件无效，将不进入竞争性磋商程序</w:t>
      </w:r>
      <w:r>
        <w:rPr>
          <w:rFonts w:hint="eastAsia" w:ascii="宋体" w:hAnsi="宋体" w:cs="宋体"/>
          <w:color w:val="auto"/>
          <w:sz w:val="24"/>
          <w:highlight w:val="none"/>
          <w:u w:val="singl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w:t>
      </w:r>
      <w:r>
        <w:rPr>
          <w:rFonts w:ascii="宋体" w:hAnsi="宋体" w:cs="宋体"/>
          <w:color w:val="auto"/>
          <w:sz w:val="24"/>
          <w:highlight w:val="none"/>
        </w:rPr>
        <w:t>资格性、符合性证明材料见竞争性磋商文件第四章规定</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w:t>
      </w:r>
      <w:r>
        <w:rPr>
          <w:rFonts w:ascii="宋体" w:hAnsi="宋体" w:cs="宋体"/>
          <w:color w:val="auto"/>
          <w:sz w:val="24"/>
          <w:highlight w:val="none"/>
        </w:rPr>
        <w:t>实质性响应的响应性文件是指与竞争性磋商文件的全部条款、条件和规格相符，没有重大偏离；重大负偏离的认定须经竞争性磋商小组三分之二以上同意</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w:t>
      </w:r>
      <w:r>
        <w:rPr>
          <w:rFonts w:ascii="宋体" w:hAnsi="宋体" w:cs="宋体"/>
          <w:color w:val="auto"/>
          <w:sz w:val="24"/>
          <w:highlight w:val="none"/>
        </w:rPr>
        <w:t>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w:t>
      </w:r>
      <w:r>
        <w:rPr>
          <w:rFonts w:ascii="宋体" w:hAnsi="宋体" w:cs="宋体"/>
          <w:color w:val="auto"/>
          <w:sz w:val="24"/>
          <w:highlight w:val="none"/>
        </w:rPr>
        <w:t>如果响应性文件实质上没有响应竞争性磋商文件的要求，将作为无效处理，供应商不得再对响应性文件进行任何修正从而使其响应性文件成为实质上响应的文件</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w:t>
      </w:r>
      <w:r>
        <w:rPr>
          <w:rFonts w:ascii="宋体" w:hAnsi="宋体" w:cs="宋体"/>
          <w:color w:val="auto"/>
          <w:sz w:val="24"/>
          <w:highlight w:val="none"/>
        </w:rPr>
        <w:t>竞争性磋商小组审定响应性文件的响应性只根据响应性文件本身的内容而不寻求外部证据</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w:t>
      </w:r>
      <w:r>
        <w:rPr>
          <w:rFonts w:ascii="宋体" w:hAnsi="宋体" w:cs="宋体"/>
          <w:color w:val="auto"/>
          <w:sz w:val="24"/>
          <w:highlight w:val="none"/>
        </w:rPr>
        <w:t>在评审过程中，竞争性磋商小组发现供应商有下列情形之一的，视为供应商相互串通，按照无效处理并依据法律、法规追究其相关责任。具体表现形式如下</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pPr>
        <w:pStyle w:val="41"/>
        <w:rPr>
          <w:color w:val="auto"/>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6"/>
              <w:pBdr>
                <w:bottom w:val="none" w:color="auto" w:sz="0" w:space="0"/>
              </w:pBdr>
              <w:tabs>
                <w:tab w:val="clear" w:pos="4153"/>
                <w:tab w:val="clear" w:pos="8306"/>
              </w:tabs>
              <w:snapToGrid w:val="0"/>
              <w:spacing w:line="360" w:lineRule="auto"/>
              <w:ind w:right="-10"/>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pPr>
              <w:pStyle w:val="76"/>
              <w:pBdr>
                <w:bottom w:val="none" w:color="auto" w:sz="0" w:space="0"/>
              </w:pBdr>
              <w:tabs>
                <w:tab w:val="clear" w:pos="4153"/>
                <w:tab w:val="clear" w:pos="8306"/>
              </w:tabs>
              <w:snapToGrid w:val="0"/>
              <w:spacing w:line="360" w:lineRule="auto"/>
              <w:ind w:right="-10"/>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pPr>
              <w:spacing w:after="50" w:line="360" w:lineRule="auto"/>
              <w:ind w:right="-10"/>
              <w:jc w:val="center"/>
              <w:rPr>
                <w:rFonts w:ascii="宋体" w:hAnsi="宋体" w:cs="宋体"/>
                <w:bCs/>
                <w:color w:val="auto"/>
                <w:sz w:val="24"/>
                <w:highlight w:val="none"/>
              </w:rPr>
            </w:pPr>
          </w:p>
        </w:tc>
        <w:tc>
          <w:tcPr>
            <w:tcW w:w="1937" w:type="dxa"/>
            <w:vAlign w:val="center"/>
          </w:tcPr>
          <w:p>
            <w:pPr>
              <w:spacing w:after="50" w:line="360" w:lineRule="auto"/>
              <w:ind w:right="-10"/>
              <w:jc w:val="center"/>
              <w:rPr>
                <w:rFonts w:ascii="宋体" w:hAnsi="宋体" w:cs="宋体"/>
                <w:color w:val="auto"/>
                <w:sz w:val="24"/>
                <w:highlight w:val="none"/>
              </w:rPr>
            </w:pP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pPr>
              <w:spacing w:after="50" w:line="360" w:lineRule="auto"/>
              <w:ind w:right="-10"/>
              <w:jc w:val="center"/>
              <w:rPr>
                <w:rFonts w:ascii="宋体" w:hAnsi="宋体" w:cs="宋体"/>
                <w:color w:val="auto"/>
                <w:sz w:val="24"/>
                <w:highlight w:val="none"/>
              </w:rPr>
            </w:pPr>
          </w:p>
        </w:tc>
        <w:tc>
          <w:tcPr>
            <w:tcW w:w="1937" w:type="dxa"/>
            <w:vAlign w:val="center"/>
          </w:tcPr>
          <w:p>
            <w:pPr>
              <w:spacing w:after="50" w:line="360" w:lineRule="auto"/>
              <w:ind w:right="-10"/>
              <w:jc w:val="center"/>
              <w:rPr>
                <w:rFonts w:ascii="宋体" w:hAnsi="宋体" w:cs="宋体"/>
                <w:color w:val="auto"/>
                <w:sz w:val="24"/>
                <w:highlight w:val="none"/>
              </w:rPr>
            </w:pPr>
          </w:p>
        </w:tc>
        <w:tc>
          <w:tcPr>
            <w:tcW w:w="825" w:type="dxa"/>
            <w:vAlign w:val="center"/>
          </w:tcPr>
          <w:p>
            <w:pPr>
              <w:adjustRightInd w:val="0"/>
              <w:snapToGrid w:val="0"/>
              <w:spacing w:line="360" w:lineRule="auto"/>
              <w:ind w:right="-10"/>
              <w:rPr>
                <w:rFonts w:ascii="宋体" w:hAnsi="宋体" w:cs="宋体"/>
                <w:color w:val="auto"/>
                <w:sz w:val="24"/>
                <w:highlight w:val="none"/>
              </w:rPr>
            </w:pPr>
          </w:p>
        </w:tc>
        <w:tc>
          <w:tcPr>
            <w:tcW w:w="2371" w:type="dxa"/>
            <w:vAlign w:val="center"/>
          </w:tcPr>
          <w:p>
            <w:pPr>
              <w:adjustRightInd w:val="0"/>
              <w:snapToGrid w:val="0"/>
              <w:spacing w:line="360" w:lineRule="auto"/>
              <w:ind w:right="-10"/>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pPr>
        <w:pStyle w:val="41"/>
        <w:rPr>
          <w:color w:val="auto"/>
          <w:highlight w:val="none"/>
        </w:rPr>
      </w:pPr>
    </w:p>
    <w:p>
      <w:pPr>
        <w:rPr>
          <w:color w:val="auto"/>
          <w:highlight w:val="none"/>
        </w:rPr>
      </w:pP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w:t>
      </w:r>
      <w:r>
        <w:rPr>
          <w:rFonts w:ascii="宋体" w:hAnsi="宋体" w:cs="宋体"/>
          <w:color w:val="auto"/>
          <w:sz w:val="24"/>
          <w:highlight w:val="none"/>
        </w:rPr>
        <w:t>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w:t>
      </w:r>
      <w:r>
        <w:rPr>
          <w:rFonts w:ascii="宋体" w:hAnsi="宋体" w:cs="宋体"/>
          <w:color w:val="auto"/>
          <w:sz w:val="24"/>
          <w:highlight w:val="none"/>
        </w:rPr>
        <w:t>竞争性磋商小组要求供应商澄清、说明或者更正响应文件应当以书面形式作出。供应商的澄清、说明或者更正应当由法定代表人或其委托代理人签字或者加盖公章。供应商为自然人的，应当由本人签字并附身份证明</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w:t>
      </w:r>
      <w:r>
        <w:rPr>
          <w:rFonts w:ascii="宋体" w:hAnsi="宋体" w:cs="宋体"/>
          <w:color w:val="auto"/>
          <w:sz w:val="24"/>
          <w:highlight w:val="none"/>
        </w:rPr>
        <w:t>供应商拒不进行澄清、说明、补正的，或者不能在竞争性磋商小组规定时间内作出书面澄清、说明、补正的，其响应性文件将被作为无效处理</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w:t>
      </w:r>
      <w:r>
        <w:rPr>
          <w:rFonts w:ascii="宋体" w:hAnsi="宋体" w:cs="宋体"/>
          <w:color w:val="auto"/>
          <w:sz w:val="24"/>
          <w:highlight w:val="none"/>
        </w:rPr>
        <w:t>按照竞争性磋商文件中商务部分的内容，对照供应商提交的响应文件逐一进行比较各项指标和要求</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w:t>
      </w:r>
      <w:r>
        <w:rPr>
          <w:rFonts w:ascii="宋体" w:hAnsi="宋体" w:cs="宋体"/>
          <w:color w:val="auto"/>
          <w:sz w:val="24"/>
          <w:highlight w:val="none"/>
        </w:rPr>
        <w:t>按照竞争性磋商文件中技术部分的内容，对照供应商提交的响应文件逐一进行比较各项指标和要求</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w:t>
      </w:r>
      <w:r>
        <w:rPr>
          <w:rFonts w:ascii="宋体" w:hAnsi="宋体" w:cs="宋体"/>
          <w:color w:val="auto"/>
          <w:sz w:val="24"/>
          <w:highlight w:val="none"/>
        </w:rPr>
        <w:t>按照竞争性磋商文件中合同条款部分的内容，对照供应商提交的响应文件逐一进行比较各项指标和要求</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w:t>
      </w:r>
      <w:r>
        <w:rPr>
          <w:rFonts w:ascii="宋体" w:hAnsi="宋体" w:cs="宋体"/>
          <w:color w:val="auto"/>
          <w:sz w:val="24"/>
          <w:highlight w:val="none"/>
        </w:rPr>
        <w:t>在磋商中，磋商的任何一方不得透露与磋商有关的其他供应商的技术资料及其他信息</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ascii="宋体" w:hAnsi="宋体" w:cs="宋体"/>
          <w:color w:val="auto"/>
          <w:sz w:val="24"/>
          <w:highlight w:val="none"/>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r>
        <w:rPr>
          <w:rFonts w:hint="eastAsia" w:ascii="宋体" w:hAnsi="宋体" w:cs="宋体"/>
          <w:color w:val="auto"/>
          <w:sz w:val="24"/>
          <w:highlight w:val="none"/>
          <w:lang w:val="zh-CN"/>
        </w:rPr>
        <w:t>。</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ascii="宋体" w:hAnsi="宋体" w:cs="宋体"/>
          <w:color w:val="auto"/>
          <w:sz w:val="24"/>
          <w:highlight w:val="none"/>
        </w:rPr>
        <w:t>对竞争性磋商文件作出实质性变动是竞争性磋商文件的有效组成部分，竞争性磋商小组应当及时以书面形式同时通知所有参加竞争性磋商的供应商</w:t>
      </w:r>
      <w:r>
        <w:rPr>
          <w:rFonts w:hint="eastAsia" w:ascii="宋体" w:hAnsi="宋体" w:cs="宋体"/>
          <w:color w:val="auto"/>
          <w:sz w:val="24"/>
          <w:highlight w:val="none"/>
          <w:lang w:val="zh-CN"/>
        </w:rPr>
        <w:t>。</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w:t>
      </w:r>
      <w:r>
        <w:rPr>
          <w:rFonts w:ascii="宋体" w:hAnsi="宋体" w:cs="宋体"/>
          <w:color w:val="auto"/>
          <w:sz w:val="24"/>
          <w:highlight w:val="none"/>
        </w:rPr>
        <w:t>供应商应当按照竞争性磋商文件的变动情况和竞争性磋商小组的要求重新提交响应性文件，并由其法定代表人或授权代表签字或者加盖公章</w:t>
      </w:r>
      <w:r>
        <w:rPr>
          <w:rFonts w:hint="eastAsia" w:ascii="宋体" w:hAnsi="宋体" w:cs="宋体"/>
          <w:color w:val="auto"/>
          <w:sz w:val="24"/>
          <w:highlight w:val="none"/>
          <w:lang w:val="zh-CN"/>
        </w:rPr>
        <w:t>。</w:t>
      </w:r>
    </w:p>
    <w:p>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pPr>
        <w:pStyle w:val="38"/>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w:t>
      </w:r>
      <w:r>
        <w:rPr>
          <w:rFonts w:ascii="宋体" w:hAnsi="宋体" w:cs="宋体"/>
          <w:color w:val="auto"/>
          <w:sz w:val="24"/>
          <w:highlight w:val="none"/>
        </w:rPr>
        <w:t>磋商小组采用综合评分法对有效供应商的响应文件和报价进行评审。磋商委员会按照投标人综合得分由高到低推荐中标候选人，采购人将从评委会推荐的中标候选人中依次选取成交供应商</w:t>
      </w:r>
      <w:r>
        <w:rPr>
          <w:rFonts w:hint="eastAsia" w:ascii="宋体" w:hAnsi="宋体" w:cs="宋体"/>
          <w:bCs/>
          <w:color w:val="auto"/>
          <w:sz w:val="24"/>
          <w:highlight w:val="none"/>
        </w:rPr>
        <w:t>。</w:t>
      </w:r>
    </w:p>
    <w:p>
      <w:pPr>
        <w:spacing w:line="460" w:lineRule="exact"/>
        <w:ind w:firstLine="480" w:firstLineChars="200"/>
        <w:rPr>
          <w:rFonts w:ascii="宋体" w:hAnsi="宋体" w:cs="宋体"/>
          <w:bCs/>
          <w:color w:val="auto"/>
          <w:sz w:val="24"/>
          <w:highlight w:val="none"/>
        </w:rPr>
      </w:pPr>
      <w:r>
        <w:rPr>
          <w:rFonts w:ascii="宋体" w:hAnsi="宋体" w:cs="宋体"/>
          <w:color w:val="auto"/>
          <w:sz w:val="24"/>
          <w:highlight w:val="none"/>
        </w:rPr>
        <w:t>采购代理机构在评标结束后2个工作日内将评标报告送采购人。采购人自收到评标报告之日起</w:t>
      </w:r>
      <w:r>
        <w:rPr>
          <w:rFonts w:hint="eastAsia" w:ascii="宋体" w:hAnsi="宋体" w:cs="宋体"/>
          <w:color w:val="auto"/>
          <w:sz w:val="24"/>
          <w:highlight w:val="none"/>
        </w:rPr>
        <w:t>5</w:t>
      </w:r>
      <w:r>
        <w:rPr>
          <w:rFonts w:ascii="宋体" w:hAnsi="宋体" w:cs="宋体"/>
          <w:color w:val="auto"/>
          <w:sz w:val="24"/>
          <w:highlight w:val="none"/>
        </w:rPr>
        <w:t>个工作日内，在评标报告确定的中标候选人名单中确定中标人</w:t>
      </w:r>
      <w:r>
        <w:rPr>
          <w:rFonts w:hint="eastAsia" w:ascii="宋体" w:hAnsi="宋体" w:cs="宋体"/>
          <w:bCs/>
          <w:color w:val="auto"/>
          <w:sz w:val="24"/>
          <w:highlight w:val="none"/>
        </w:rPr>
        <w:t>。</w:t>
      </w:r>
    </w:p>
    <w:p>
      <w:pPr>
        <w:pStyle w:val="2"/>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pPr>
        <w:rPr>
          <w:color w:val="auto"/>
          <w:highlight w:val="none"/>
        </w:rPr>
      </w:pPr>
    </w:p>
    <w:tbl>
      <w:tblPr>
        <w:tblStyle w:val="27"/>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1215"/>
        <w:gridCol w:w="6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left w:val="single" w:color="auto" w:sz="4" w:space="0"/>
              <w:right w:val="single" w:color="auto" w:sz="4" w:space="0"/>
            </w:tcBorders>
            <w:vAlign w:val="center"/>
          </w:tcPr>
          <w:p>
            <w:pPr>
              <w:spacing w:line="360" w:lineRule="exact"/>
              <w:rPr>
                <w:rFonts w:ascii="宋体" w:hAnsi="宋体" w:cs="宋体"/>
                <w:color w:val="auto"/>
                <w:sz w:val="24"/>
                <w:highlight w:val="none"/>
              </w:rPr>
            </w:pPr>
            <w:bookmarkStart w:id="30" w:name="_Toc6512"/>
            <w:bookmarkStart w:id="31" w:name="_Toc367961730"/>
            <w:r>
              <w:rPr>
                <w:rFonts w:hint="eastAsia" w:ascii="宋体" w:hAnsi="宋体" w:cs="宋体"/>
                <w:b/>
                <w:color w:val="auto"/>
                <w:sz w:val="24"/>
                <w:highlight w:val="none"/>
              </w:rPr>
              <w:t>评分因素</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b/>
                <w:color w:val="auto"/>
                <w:sz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gridSpan w:val="2"/>
            <w:tcBorders>
              <w:left w:val="single" w:color="auto" w:sz="4" w:space="0"/>
              <w:right w:val="single" w:color="auto" w:sz="4" w:space="0"/>
            </w:tcBorders>
            <w:vAlign w:val="center"/>
          </w:tcPr>
          <w:p>
            <w:pPr>
              <w:tabs>
                <w:tab w:val="left" w:pos="360"/>
                <w:tab w:val="left" w:pos="540"/>
              </w:tabs>
              <w:spacing w:line="360" w:lineRule="exact"/>
              <w:rPr>
                <w:rFonts w:ascii="宋体" w:hAnsi="宋体" w:cs="宋体"/>
                <w:color w:val="auto"/>
                <w:sz w:val="24"/>
                <w:highlight w:val="none"/>
              </w:rPr>
            </w:pPr>
            <w:r>
              <w:rPr>
                <w:rFonts w:hint="eastAsia" w:ascii="宋体" w:hAnsi="宋体" w:cs="宋体"/>
                <w:color w:val="auto"/>
                <w:sz w:val="24"/>
                <w:highlight w:val="none"/>
              </w:rPr>
              <w:t>投标报价</w:t>
            </w:r>
          </w:p>
          <w:p>
            <w:pPr>
              <w:spacing w:line="360" w:lineRule="exact"/>
              <w:rPr>
                <w:rFonts w:ascii="宋体" w:hAnsi="宋体" w:cs="宋体"/>
                <w:color w:val="auto"/>
                <w:sz w:val="24"/>
                <w:highlight w:val="none"/>
              </w:rPr>
            </w:pPr>
            <w:r>
              <w:rPr>
                <w:rFonts w:hint="eastAsia" w:ascii="宋体" w:hAnsi="宋体" w:cs="宋体"/>
                <w:color w:val="auto"/>
                <w:sz w:val="24"/>
                <w:highlight w:val="none"/>
              </w:rPr>
              <w:t>（30分）</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color w:val="auto"/>
                <w:sz w:val="24"/>
                <w:highlight w:val="none"/>
              </w:rPr>
              <w:t>1）价格分采用低价优先法计算，即通过资格性和符合性审查且投标价格最低的投标报价为评标基准价，其价格得分为满分30分。</w:t>
            </w:r>
          </w:p>
          <w:p>
            <w:pPr>
              <w:spacing w:line="360" w:lineRule="exact"/>
              <w:rPr>
                <w:rFonts w:ascii="宋体" w:hAnsi="宋体" w:cs="宋体"/>
                <w:color w:val="auto"/>
                <w:sz w:val="24"/>
                <w:highlight w:val="none"/>
              </w:rPr>
            </w:pPr>
            <w:r>
              <w:rPr>
                <w:rFonts w:hint="eastAsia" w:ascii="宋体" w:hAnsi="宋体" w:cs="宋体"/>
                <w:color w:val="auto"/>
                <w:sz w:val="24"/>
                <w:highlight w:val="none"/>
              </w:rPr>
              <w:t>2）其他投标人的价格分统一按照下列公式计算：</w:t>
            </w:r>
          </w:p>
          <w:p>
            <w:pPr>
              <w:spacing w:line="360" w:lineRule="exact"/>
              <w:rPr>
                <w:rFonts w:ascii="宋体" w:hAnsi="宋体" w:cs="宋体"/>
                <w:color w:val="auto"/>
                <w:sz w:val="24"/>
                <w:highlight w:val="none"/>
              </w:rPr>
            </w:pPr>
            <w:r>
              <w:rPr>
                <w:rFonts w:hint="eastAsia" w:ascii="宋体" w:hAnsi="宋体" w:cs="宋体"/>
                <w:color w:val="auto"/>
                <w:sz w:val="24"/>
                <w:highlight w:val="none"/>
              </w:rPr>
              <w:t>投标报价得分=(评标基准价／投标报价)×30</w:t>
            </w:r>
          </w:p>
          <w:p>
            <w:pPr>
              <w:spacing w:line="360" w:lineRule="exact"/>
              <w:rPr>
                <w:rFonts w:ascii="宋体" w:hAnsi="宋体" w:cs="宋体"/>
                <w:color w:val="auto"/>
                <w:sz w:val="24"/>
                <w:highlight w:val="none"/>
              </w:rPr>
            </w:pPr>
            <w:r>
              <w:rPr>
                <w:rFonts w:hint="eastAsia" w:ascii="宋体" w:hAnsi="宋体" w:cs="宋体"/>
                <w:color w:val="auto"/>
                <w:sz w:val="24"/>
                <w:highlight w:val="none"/>
              </w:rPr>
              <w:t>注：价格分计算保留小数点后二位。</w:t>
            </w:r>
          </w:p>
          <w:p>
            <w:pPr>
              <w:spacing w:line="360" w:lineRule="exact"/>
              <w:rPr>
                <w:rFonts w:ascii="宋体" w:hAnsi="宋体" w:cs="宋体"/>
                <w:color w:val="auto"/>
                <w:sz w:val="24"/>
                <w:highlight w:val="none"/>
              </w:rPr>
            </w:pPr>
            <w:r>
              <w:rPr>
                <w:rFonts w:hint="eastAsia" w:ascii="宋体" w:hAnsi="宋体" w:cs="宋体"/>
                <w:color w:val="auto"/>
                <w:sz w:val="24"/>
                <w:highlight w:val="none"/>
              </w:rPr>
              <w:t>备注：根据财政部、工信部关于印发《政府采购促进中小企业发展管理办法》的通知（财库〔2020〕46号 ）文件规定：</w:t>
            </w:r>
          </w:p>
          <w:p>
            <w:pPr>
              <w:spacing w:line="360" w:lineRule="exact"/>
              <w:rPr>
                <w:rFonts w:ascii="宋体" w:hAnsi="宋体" w:cs="宋体"/>
                <w:color w:val="auto"/>
                <w:sz w:val="24"/>
                <w:highlight w:val="none"/>
              </w:rPr>
            </w:pPr>
            <w:r>
              <w:rPr>
                <w:rFonts w:hint="eastAsia" w:ascii="宋体" w:hAnsi="宋体" w:cs="宋体"/>
                <w:color w:val="auto"/>
                <w:sz w:val="24"/>
                <w:highlight w:val="none"/>
              </w:rPr>
              <w:t>（1）对小微企业报价给予 10%扣除，请按照《政府采购促进中小企业发展管理办法》要求提供中小企业声明函。</w:t>
            </w:r>
          </w:p>
          <w:p>
            <w:pPr>
              <w:spacing w:line="360" w:lineRule="exact"/>
              <w:rPr>
                <w:rFonts w:ascii="宋体" w:hAnsi="宋体" w:cs="宋体"/>
                <w:color w:val="auto"/>
                <w:sz w:val="24"/>
                <w:highlight w:val="none"/>
              </w:rPr>
            </w:pPr>
            <w:r>
              <w:rPr>
                <w:rFonts w:hint="eastAsia" w:ascii="宋体" w:hAnsi="宋体" w:cs="宋体"/>
                <w:color w:val="auto"/>
                <w:sz w:val="24"/>
                <w:highlight w:val="none"/>
              </w:rPr>
              <w:t>（2）关于监狱企业：视同小微企业。须提供由省级以上监狱管理局、戒毒管理局（含新疆生产建设兵团）出具的属于监狱企业的证明文件，否则不考虑价格扣除。</w:t>
            </w:r>
          </w:p>
          <w:p>
            <w:pPr>
              <w:spacing w:line="360" w:lineRule="exact"/>
              <w:rPr>
                <w:rFonts w:ascii="宋体" w:hAnsi="宋体" w:cs="宋体"/>
                <w:color w:val="auto"/>
                <w:sz w:val="24"/>
                <w:highlight w:val="none"/>
              </w:rPr>
            </w:pPr>
            <w:r>
              <w:rPr>
                <w:rFonts w:hint="eastAsia" w:ascii="宋体" w:hAnsi="宋体" w:cs="宋体"/>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pPr>
              <w:spacing w:line="360" w:lineRule="exact"/>
              <w:rPr>
                <w:rFonts w:ascii="宋体" w:hAnsi="宋体" w:cs="宋体"/>
                <w:color w:val="auto"/>
                <w:sz w:val="24"/>
                <w:highlight w:val="none"/>
              </w:rPr>
            </w:pPr>
            <w:r>
              <w:rPr>
                <w:rFonts w:hint="eastAsia" w:ascii="宋体" w:hAnsi="宋体" w:cs="宋体"/>
                <w:color w:val="auto"/>
                <w:sz w:val="24"/>
                <w:highlight w:val="none"/>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restart"/>
            <w:tcBorders>
              <w:left w:val="single" w:color="auto" w:sz="4" w:space="0"/>
              <w:right w:val="single" w:color="auto" w:sz="4" w:space="0"/>
            </w:tcBorders>
            <w:vAlign w:val="center"/>
          </w:tcPr>
          <w:p>
            <w:pPr>
              <w:tabs>
                <w:tab w:val="left" w:pos="360"/>
                <w:tab w:val="left" w:pos="540"/>
              </w:tabs>
              <w:spacing w:line="360" w:lineRule="exact"/>
              <w:rPr>
                <w:rFonts w:ascii="宋体" w:hAnsi="宋体" w:cs="宋体"/>
                <w:color w:val="auto"/>
                <w:sz w:val="24"/>
                <w:highlight w:val="none"/>
              </w:rPr>
            </w:pPr>
            <w:r>
              <w:rPr>
                <w:rFonts w:hint="eastAsia" w:ascii="宋体" w:hAnsi="宋体" w:cs="宋体"/>
                <w:color w:val="auto"/>
                <w:sz w:val="24"/>
                <w:highlight w:val="none"/>
              </w:rPr>
              <w:t>技术部分（42分）</w:t>
            </w:r>
          </w:p>
        </w:tc>
        <w:tc>
          <w:tcPr>
            <w:tcW w:w="1215" w:type="dxa"/>
            <w:tcBorders>
              <w:left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color w:val="auto"/>
                <w:sz w:val="24"/>
                <w:highlight w:val="none"/>
              </w:rPr>
              <w:t>服务要求</w:t>
            </w:r>
          </w:p>
          <w:p>
            <w:pPr>
              <w:spacing w:line="360" w:lineRule="exact"/>
              <w:rPr>
                <w:rFonts w:ascii="宋体" w:hAnsi="宋体" w:cs="宋体"/>
                <w:color w:val="auto"/>
                <w:sz w:val="24"/>
                <w:highlight w:val="none"/>
              </w:rPr>
            </w:pPr>
            <w:r>
              <w:rPr>
                <w:rFonts w:hint="eastAsia" w:ascii="宋体" w:hAnsi="宋体" w:cs="宋体"/>
                <w:color w:val="auto"/>
                <w:sz w:val="24"/>
                <w:highlight w:val="none"/>
              </w:rPr>
              <w:t>（10分）</w:t>
            </w:r>
          </w:p>
        </w:tc>
        <w:tc>
          <w:tcPr>
            <w:tcW w:w="6347" w:type="dxa"/>
            <w:tcBorders>
              <w:top w:val="single" w:color="auto" w:sz="4" w:space="0"/>
              <w:left w:val="single" w:color="auto" w:sz="4" w:space="0"/>
              <w:bottom w:val="single" w:color="auto" w:sz="4" w:space="0"/>
              <w:right w:val="single" w:color="auto" w:sz="4" w:space="0"/>
            </w:tcBorders>
            <w:vAlign w:val="center"/>
          </w:tcPr>
          <w:p>
            <w:pPr>
              <w:pStyle w:val="25"/>
              <w:spacing w:line="3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投标人根据“第三章 采购内容及要求”的具体要求，完全满足服务要求的得满分10分，缺项或有一项不满足不得分。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tabs>
                <w:tab w:val="left" w:pos="360"/>
                <w:tab w:val="left" w:pos="540"/>
              </w:tabs>
              <w:spacing w:line="360" w:lineRule="exact"/>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color w:val="auto"/>
                <w:highlight w:val="none"/>
              </w:rPr>
            </w:pPr>
            <w:r>
              <w:rPr>
                <w:rFonts w:hint="eastAsia" w:ascii="宋体" w:hAnsi="宋体" w:cs="宋体"/>
                <w:color w:val="auto"/>
                <w:sz w:val="24"/>
                <w:highlight w:val="none"/>
              </w:rPr>
              <w:t>运维方案</w:t>
            </w:r>
          </w:p>
          <w:p>
            <w:pPr>
              <w:spacing w:line="360" w:lineRule="exact"/>
              <w:rPr>
                <w:rFonts w:ascii="宋体" w:hAnsi="宋体" w:cs="宋体"/>
                <w:color w:val="auto"/>
                <w:sz w:val="24"/>
                <w:highlight w:val="none"/>
              </w:rPr>
            </w:pPr>
            <w:r>
              <w:rPr>
                <w:rFonts w:hint="eastAsia" w:ascii="宋体" w:hAnsi="宋体" w:cs="宋体"/>
                <w:color w:val="auto"/>
                <w:sz w:val="24"/>
                <w:highlight w:val="none"/>
              </w:rPr>
              <w:t>（5分）</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投标人提供有运行维护方案的得5分，具体包括：</w:t>
            </w:r>
          </w:p>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1、操作规程（1分）；</w:t>
            </w:r>
          </w:p>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2、维修保养（1分）；</w:t>
            </w:r>
          </w:p>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3、保护性、预测性维修养护计划（1分）；</w:t>
            </w:r>
          </w:p>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w:t>
            </w:r>
            <w:bookmarkStart w:id="32" w:name="_Toc5024"/>
            <w:r>
              <w:rPr>
                <w:rFonts w:hint="eastAsia" w:ascii="宋体" w:hAnsi="宋体" w:cs="宋体"/>
                <w:color w:val="auto"/>
                <w:sz w:val="24"/>
                <w:highlight w:val="none"/>
              </w:rPr>
              <w:t>水质超标时的解决方案</w:t>
            </w:r>
            <w:bookmarkEnd w:id="32"/>
            <w:r>
              <w:rPr>
                <w:rFonts w:hint="eastAsia" w:ascii="宋体" w:hAnsi="宋体" w:cs="宋体"/>
                <w:color w:val="auto"/>
                <w:sz w:val="24"/>
                <w:highlight w:val="none"/>
              </w:rPr>
              <w:t>（1分）；</w:t>
            </w:r>
          </w:p>
          <w:p>
            <w:pPr>
              <w:spacing w:line="360" w:lineRule="exact"/>
              <w:ind w:firstLine="480" w:firstLineChars="200"/>
              <w:rPr>
                <w:rFonts w:ascii="宋体" w:hAnsi="宋体" w:cs="宋体"/>
                <w:color w:val="auto"/>
                <w:kern w:val="0"/>
                <w:highlight w:val="none"/>
              </w:rPr>
            </w:pPr>
            <w:r>
              <w:rPr>
                <w:rFonts w:hint="eastAsia" w:ascii="宋体" w:hAnsi="宋体" w:cs="宋体"/>
                <w:color w:val="auto"/>
                <w:sz w:val="24"/>
                <w:highlight w:val="none"/>
              </w:rPr>
              <w:t>5、突发事件应变计划（1分）。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color w:val="auto"/>
                <w:sz w:val="24"/>
                <w:highlight w:val="none"/>
              </w:rPr>
              <w:t>管理方案</w:t>
            </w:r>
          </w:p>
          <w:p>
            <w:pPr>
              <w:spacing w:line="360" w:lineRule="exact"/>
              <w:rPr>
                <w:rFonts w:ascii="宋体" w:hAnsi="宋体" w:cs="宋体"/>
                <w:color w:val="auto"/>
                <w:sz w:val="24"/>
                <w:highlight w:val="none"/>
              </w:rPr>
            </w:pPr>
            <w:r>
              <w:rPr>
                <w:rFonts w:hint="eastAsia" w:ascii="宋体" w:hAnsi="宋体" w:cs="宋体"/>
                <w:color w:val="auto"/>
                <w:sz w:val="24"/>
                <w:highlight w:val="none"/>
              </w:rPr>
              <w:t>（6分）</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投标人提供有管理方案的得6分，具体包括：</w:t>
            </w:r>
          </w:p>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1、运维管理方案（2分）；</w:t>
            </w:r>
          </w:p>
          <w:p>
            <w:pPr>
              <w:spacing w:line="3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2、安全用电方案（2分）；</w:t>
            </w:r>
          </w:p>
          <w:p>
            <w:pPr>
              <w:spacing w:line="360" w:lineRule="exact"/>
              <w:ind w:firstLine="480" w:firstLineChars="200"/>
              <w:rPr>
                <w:rFonts w:ascii="宋体" w:hAnsi="宋体" w:cs="宋体"/>
                <w:color w:val="auto"/>
                <w:kern w:val="0"/>
                <w:highlight w:val="none"/>
              </w:rPr>
            </w:pPr>
            <w:r>
              <w:rPr>
                <w:rFonts w:hint="eastAsia" w:ascii="宋体" w:hAnsi="宋体" w:cs="宋体"/>
                <w:color w:val="auto"/>
                <w:sz w:val="24"/>
                <w:highlight w:val="none"/>
              </w:rPr>
              <w:t>3、日常管理方案（2分）。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color w:val="auto"/>
                <w:sz w:val="24"/>
                <w:highlight w:val="none"/>
              </w:rPr>
              <w:t>质量安全保证</w:t>
            </w:r>
          </w:p>
          <w:p>
            <w:pPr>
              <w:spacing w:line="360" w:lineRule="exact"/>
              <w:rPr>
                <w:rFonts w:ascii="宋体" w:hAnsi="宋体" w:cs="宋体"/>
                <w:color w:val="auto"/>
                <w:sz w:val="24"/>
                <w:highlight w:val="none"/>
              </w:rPr>
            </w:pPr>
            <w:r>
              <w:rPr>
                <w:rFonts w:hint="eastAsia" w:ascii="宋体" w:hAnsi="宋体" w:cs="宋体"/>
                <w:color w:val="auto"/>
                <w:sz w:val="24"/>
                <w:highlight w:val="none"/>
              </w:rPr>
              <w:t>（6分）</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投标人提供有质量安全保证措施的得6分，具体包括：</w:t>
            </w:r>
          </w:p>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1、质量保证措施（2分）；</w:t>
            </w:r>
          </w:p>
          <w:p>
            <w:pPr>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2、安全防护措施、文明生产管理措施（2分）；</w:t>
            </w:r>
          </w:p>
          <w:p>
            <w:pPr>
              <w:spacing w:line="360" w:lineRule="exact"/>
              <w:ind w:firstLine="480" w:firstLineChars="200"/>
              <w:rPr>
                <w:rFonts w:ascii="宋体" w:hAnsi="宋体" w:cs="宋体"/>
                <w:color w:val="auto"/>
                <w:highlight w:val="none"/>
              </w:rPr>
            </w:pPr>
            <w:r>
              <w:rPr>
                <w:rFonts w:hint="eastAsia" w:ascii="宋体" w:hAnsi="宋体" w:cs="宋体"/>
                <w:color w:val="auto"/>
                <w:sz w:val="24"/>
                <w:highlight w:val="none"/>
              </w:rPr>
              <w:t>3、防止偷排、漏排的措施（2分）。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color w:val="auto"/>
                <w:sz w:val="24"/>
                <w:highlight w:val="none"/>
              </w:rPr>
              <w:t>污泥转运</w:t>
            </w:r>
          </w:p>
          <w:p>
            <w:pPr>
              <w:spacing w:line="360" w:lineRule="exact"/>
              <w:rPr>
                <w:rFonts w:ascii="宋体" w:hAnsi="宋体" w:cs="宋体"/>
                <w:color w:val="auto"/>
                <w:sz w:val="24"/>
                <w:highlight w:val="none"/>
              </w:rPr>
            </w:pPr>
            <w:r>
              <w:rPr>
                <w:rFonts w:hint="eastAsia" w:ascii="宋体" w:hAnsi="宋体" w:cs="宋体"/>
                <w:color w:val="auto"/>
                <w:sz w:val="24"/>
                <w:highlight w:val="none"/>
              </w:rPr>
              <w:t>（4分）</w:t>
            </w:r>
          </w:p>
        </w:tc>
        <w:tc>
          <w:tcPr>
            <w:tcW w:w="6347" w:type="dxa"/>
            <w:tcBorders>
              <w:top w:val="single" w:color="auto" w:sz="4" w:space="0"/>
              <w:left w:val="single" w:color="auto" w:sz="4" w:space="0"/>
              <w:bottom w:val="single" w:color="auto" w:sz="4" w:space="0"/>
              <w:right w:val="single" w:color="auto" w:sz="4" w:space="0"/>
            </w:tcBorders>
            <w:vAlign w:val="center"/>
          </w:tcPr>
          <w:p>
            <w:pPr>
              <w:pStyle w:val="25"/>
              <w:spacing w:line="3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投标人提供近1年内任意1个月已运维医疗污水处理设施中废水处理污泥转运联单扫描件及“固体废物污染防治物联网产废单位管理系统”污泥申报记录截图（加盖运维单位公章）的得4分，缺项不得分。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color w:val="auto"/>
                <w:sz w:val="24"/>
                <w:highlight w:val="none"/>
              </w:rPr>
            </w:pPr>
            <w:r>
              <w:rPr>
                <w:rFonts w:hint="eastAsia"/>
                <w:color w:val="auto"/>
                <w:sz w:val="24"/>
                <w:highlight w:val="none"/>
              </w:rPr>
              <w:t>气体检测</w:t>
            </w:r>
          </w:p>
          <w:p>
            <w:pPr>
              <w:spacing w:line="360" w:lineRule="exact"/>
              <w:rPr>
                <w:color w:val="auto"/>
                <w:sz w:val="24"/>
                <w:highlight w:val="none"/>
              </w:rPr>
            </w:pPr>
            <w:r>
              <w:rPr>
                <w:rFonts w:hint="eastAsia" w:ascii="宋体" w:hAnsi="宋体" w:cs="宋体"/>
                <w:color w:val="auto"/>
                <w:sz w:val="24"/>
                <w:highlight w:val="none"/>
              </w:rPr>
              <w:t>（4分）</w:t>
            </w:r>
          </w:p>
        </w:tc>
        <w:tc>
          <w:tcPr>
            <w:tcW w:w="6347" w:type="dxa"/>
            <w:tcBorders>
              <w:top w:val="single" w:color="auto" w:sz="4" w:space="0"/>
              <w:left w:val="single" w:color="auto" w:sz="4" w:space="0"/>
              <w:bottom w:val="single" w:color="auto" w:sz="4" w:space="0"/>
              <w:right w:val="single" w:color="auto" w:sz="4" w:space="0"/>
            </w:tcBorders>
            <w:vAlign w:val="center"/>
          </w:tcPr>
          <w:p>
            <w:pPr>
              <w:pStyle w:val="25"/>
              <w:spacing w:line="360" w:lineRule="exact"/>
              <w:ind w:firstLine="240"/>
              <w:rPr>
                <w:rFonts w:ascii="宋体" w:hAnsi="宋体" w:cs="宋体"/>
                <w:color w:val="auto"/>
                <w:sz w:val="24"/>
                <w:highlight w:val="none"/>
              </w:rPr>
            </w:pPr>
            <w:r>
              <w:rPr>
                <w:rFonts w:hint="eastAsia" w:ascii="宋体" w:hAnsi="宋体" w:cs="宋体"/>
                <w:color w:val="auto"/>
                <w:sz w:val="24"/>
                <w:highlight w:val="none"/>
              </w:rPr>
              <w:t>投标人提供近1年内任意1个月已运维医疗污水处理设施中有限空间气体检测记录台账扫描件及检测仪器结果照片（加盖运维单位公章）的得4分，缺项不得分。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color w:val="auto"/>
                <w:sz w:val="24"/>
                <w:highlight w:val="none"/>
              </w:rPr>
              <w:t>易损备件（4分）</w:t>
            </w:r>
          </w:p>
        </w:tc>
        <w:tc>
          <w:tcPr>
            <w:tcW w:w="6347" w:type="dxa"/>
            <w:tcBorders>
              <w:top w:val="single" w:color="auto" w:sz="4" w:space="0"/>
              <w:left w:val="single" w:color="auto" w:sz="4" w:space="0"/>
              <w:bottom w:val="single" w:color="auto" w:sz="4" w:space="0"/>
              <w:right w:val="single" w:color="auto" w:sz="4" w:space="0"/>
            </w:tcBorders>
            <w:vAlign w:val="center"/>
          </w:tcPr>
          <w:p>
            <w:pPr>
              <w:pStyle w:val="25"/>
              <w:spacing w:line="360" w:lineRule="exact"/>
              <w:ind w:firstLine="240"/>
              <w:rPr>
                <w:rFonts w:ascii="宋体" w:hAnsi="宋体" w:cs="宋体"/>
                <w:color w:val="auto"/>
                <w:sz w:val="24"/>
                <w:highlight w:val="none"/>
              </w:rPr>
            </w:pPr>
            <w:r>
              <w:rPr>
                <w:rFonts w:hint="eastAsia" w:ascii="宋体" w:hAnsi="宋体" w:cs="宋体"/>
                <w:color w:val="auto"/>
                <w:sz w:val="24"/>
                <w:highlight w:val="none"/>
              </w:rPr>
              <w:t>投标人提供近1年内任意1个月已运维医疗污水处理设施中易损备件维修更换记录扫描件及易损备件采购合同扫描件（加盖运维单位公章）的得4分，</w:t>
            </w:r>
            <w:r>
              <w:rPr>
                <w:rFonts w:hint="eastAsia" w:ascii="宋体" w:hAnsi="宋体" w:cs="宋体"/>
                <w:color w:val="auto"/>
                <w:sz w:val="24"/>
                <w:highlight w:val="none"/>
                <w:lang w:val="en-US" w:eastAsia="zh-CN"/>
              </w:rPr>
              <w:t>不提供</w:t>
            </w:r>
            <w:r>
              <w:rPr>
                <w:rFonts w:hint="eastAsia" w:ascii="宋体" w:hAnsi="宋体" w:cs="宋体"/>
                <w:color w:val="auto"/>
                <w:sz w:val="24"/>
                <w:highlight w:val="none"/>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jc w:val="left"/>
              <w:rPr>
                <w:rFonts w:ascii="宋体" w:hAnsi="宋体" w:cs="宋体"/>
                <w:snapToGrid w:val="0"/>
                <w:color w:val="auto"/>
                <w:sz w:val="24"/>
                <w:highlight w:val="none"/>
                <w:lang w:val="zh-CN"/>
              </w:rPr>
            </w:pPr>
            <w:r>
              <w:rPr>
                <w:rFonts w:hint="eastAsia" w:ascii="宋体" w:hAnsi="宋体" w:cs="宋体"/>
                <w:snapToGrid w:val="0"/>
                <w:color w:val="auto"/>
                <w:sz w:val="24"/>
                <w:highlight w:val="none"/>
                <w:lang w:val="zh-CN"/>
              </w:rPr>
              <w:t>其他服务</w:t>
            </w:r>
          </w:p>
          <w:p>
            <w:pPr>
              <w:spacing w:line="360" w:lineRule="exact"/>
              <w:jc w:val="left"/>
              <w:rPr>
                <w:rFonts w:ascii="宋体" w:hAnsi="宋体" w:cs="宋体"/>
                <w:snapToGrid w:val="0"/>
                <w:color w:val="auto"/>
                <w:sz w:val="24"/>
                <w:highlight w:val="none"/>
                <w:lang w:val="zh-CN"/>
              </w:rPr>
            </w:pPr>
            <w:r>
              <w:rPr>
                <w:rFonts w:hint="eastAsia" w:ascii="宋体" w:hAnsi="宋体" w:cs="宋体"/>
                <w:color w:val="auto"/>
                <w:sz w:val="24"/>
                <w:highlight w:val="none"/>
              </w:rPr>
              <w:t>（3分）</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投标人承诺协助做好污水站资产保管等工作，做好污水站日常24h监控、填写监控记录等工作，同时提供承诺函及相关管理制度的得3分。</w:t>
            </w:r>
          </w:p>
        </w:tc>
      </w:tr>
      <w:bookmarkEnd w:id="30"/>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restart"/>
            <w:tcBorders>
              <w:left w:val="single" w:color="auto" w:sz="4" w:space="0"/>
              <w:right w:val="single" w:color="auto" w:sz="4" w:space="0"/>
            </w:tcBorders>
            <w:vAlign w:val="center"/>
          </w:tcPr>
          <w:p>
            <w:pPr>
              <w:spacing w:line="360" w:lineRule="exact"/>
              <w:rPr>
                <w:rFonts w:hint="eastAsia" w:ascii="宋体" w:hAnsi="宋体" w:cs="宋体"/>
                <w:color w:val="auto"/>
                <w:sz w:val="24"/>
                <w:highlight w:val="none"/>
              </w:rPr>
            </w:pPr>
            <w:r>
              <w:rPr>
                <w:rFonts w:hint="eastAsia" w:ascii="宋体" w:hAnsi="宋体" w:cs="宋体"/>
                <w:color w:val="auto"/>
                <w:sz w:val="24"/>
                <w:highlight w:val="none"/>
              </w:rPr>
              <w:t>商务部分（28分）</w:t>
            </w:r>
          </w:p>
        </w:tc>
        <w:tc>
          <w:tcPr>
            <w:tcW w:w="1215" w:type="dxa"/>
            <w:tcBorders>
              <w:left w:val="single" w:color="auto" w:sz="4" w:space="0"/>
              <w:right w:val="single" w:color="auto" w:sz="4" w:space="0"/>
            </w:tcBorders>
            <w:vAlign w:val="center"/>
          </w:tcPr>
          <w:p>
            <w:pPr>
              <w:spacing w:line="360" w:lineRule="exact"/>
              <w:rPr>
                <w:rFonts w:hint="eastAsia" w:ascii="宋体" w:hAnsi="宋体" w:cs="宋体"/>
                <w:color w:val="auto"/>
                <w:sz w:val="24"/>
                <w:highlight w:val="none"/>
              </w:rPr>
            </w:pPr>
            <w:r>
              <w:rPr>
                <w:rFonts w:hint="eastAsia" w:ascii="宋体" w:hAnsi="宋体" w:cs="宋体"/>
                <w:color w:val="auto"/>
                <w:sz w:val="24"/>
                <w:highlight w:val="none"/>
              </w:rPr>
              <w:t>荣誉奖项</w:t>
            </w:r>
          </w:p>
          <w:p>
            <w:pPr>
              <w:pStyle w:val="2"/>
              <w:ind w:left="0" w:leftChars="0"/>
              <w:rPr>
                <w:rFonts w:hint="eastAsia"/>
                <w:color w:val="auto"/>
                <w:highlight w:val="none"/>
              </w:rPr>
            </w:pPr>
            <w:r>
              <w:rPr>
                <w:rFonts w:hint="eastAsia"/>
                <w:color w:val="auto"/>
                <w:highlight w:val="none"/>
              </w:rPr>
              <w:t>（5分）</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投标人在关于环境监测类设施保障工作中，受到过市级（含）以上环境主管部门表彰并获得荣誉证书或奖状的得5分（投标人提供获得的相关荣誉证书或奖状）。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rFonts w:ascii="宋体" w:hAnsi="宋体" w:cs="宋体"/>
                <w:color w:val="auto"/>
                <w:sz w:val="24"/>
                <w:highlight w:val="none"/>
              </w:rPr>
            </w:pPr>
            <w:r>
              <w:rPr>
                <w:rFonts w:hint="eastAsia" w:ascii="宋体" w:hAnsi="宋体" w:cs="宋体"/>
                <w:color w:val="auto"/>
                <w:sz w:val="24"/>
                <w:highlight w:val="none"/>
              </w:rPr>
              <w:t>信誉信用</w:t>
            </w:r>
          </w:p>
          <w:p>
            <w:pPr>
              <w:spacing w:line="360" w:lineRule="exact"/>
              <w:rPr>
                <w:rFonts w:ascii="宋体" w:hAnsi="宋体" w:cs="宋体"/>
                <w:color w:val="auto"/>
                <w:sz w:val="24"/>
                <w:highlight w:val="none"/>
              </w:rPr>
            </w:pPr>
            <w:r>
              <w:rPr>
                <w:rFonts w:hint="eastAsia" w:ascii="宋体" w:hAnsi="宋体" w:cs="宋体"/>
                <w:color w:val="auto"/>
                <w:sz w:val="24"/>
                <w:highlight w:val="none"/>
              </w:rPr>
              <w:t>（8分）</w:t>
            </w:r>
          </w:p>
        </w:tc>
        <w:tc>
          <w:tcPr>
            <w:tcW w:w="63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投标人获得市级（含）以上政府部门颁发的与信誉有关荣誉证书或奖状（此证书须是政府行政部门颁发的荣誉证书或奖状）的，每提供一份得4分，本项最多得8分。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rPr>
                <w:rFonts w:ascii="宋体" w:hAnsi="宋体" w:cs="宋体"/>
                <w:bCs/>
                <w:color w:val="auto"/>
                <w:sz w:val="24"/>
                <w:highlight w:val="none"/>
              </w:rPr>
            </w:pPr>
            <w:r>
              <w:rPr>
                <w:rFonts w:hint="eastAsia" w:ascii="宋体" w:hAnsi="宋体" w:cs="宋体"/>
                <w:bCs/>
                <w:color w:val="auto"/>
                <w:sz w:val="24"/>
                <w:highlight w:val="none"/>
              </w:rPr>
              <w:t>业绩情况</w:t>
            </w:r>
          </w:p>
          <w:p>
            <w:pPr>
              <w:spacing w:line="360" w:lineRule="exact"/>
              <w:rPr>
                <w:rFonts w:ascii="宋体" w:hAnsi="宋体" w:cs="宋体"/>
                <w:color w:val="auto"/>
                <w:sz w:val="24"/>
                <w:highlight w:val="none"/>
              </w:rPr>
            </w:pPr>
            <w:r>
              <w:rPr>
                <w:rFonts w:hint="eastAsia" w:ascii="宋体" w:hAnsi="宋体" w:cs="宋体"/>
                <w:bCs/>
                <w:color w:val="auto"/>
                <w:sz w:val="24"/>
                <w:highlight w:val="none"/>
              </w:rPr>
              <w:t>（5分）</w:t>
            </w:r>
          </w:p>
        </w:tc>
        <w:tc>
          <w:tcPr>
            <w:tcW w:w="6347" w:type="dxa"/>
            <w:tcBorders>
              <w:top w:val="single" w:color="auto" w:sz="4" w:space="0"/>
              <w:left w:val="single" w:color="auto" w:sz="4" w:space="0"/>
              <w:bottom w:val="single" w:color="auto" w:sz="4" w:space="0"/>
              <w:right w:val="single" w:color="auto" w:sz="4" w:space="0"/>
            </w:tcBorders>
            <w:vAlign w:val="center"/>
          </w:tcPr>
          <w:p>
            <w:pPr>
              <w:pStyle w:val="25"/>
              <w:spacing w:line="3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投标人自2020年1月1月以来承接过1项</w:t>
            </w:r>
            <w:r>
              <w:rPr>
                <w:rFonts w:hint="eastAsia" w:ascii="宋体" w:hAnsi="宋体" w:cs="宋体"/>
                <w:color w:val="auto"/>
                <w:kern w:val="0"/>
                <w:sz w:val="24"/>
                <w:highlight w:val="none"/>
                <w:lang w:val="en-US" w:eastAsia="zh-CN"/>
              </w:rPr>
              <w:t>类似项目</w:t>
            </w:r>
            <w:r>
              <w:rPr>
                <w:rFonts w:hint="eastAsia" w:ascii="宋体" w:hAnsi="宋体" w:cs="宋体"/>
                <w:color w:val="auto"/>
                <w:kern w:val="0"/>
                <w:sz w:val="24"/>
                <w:highlight w:val="none"/>
              </w:rPr>
              <w:t>业绩的得5分（以合同协议书签订时间为准）。</w:t>
            </w:r>
          </w:p>
          <w:p>
            <w:pPr>
              <w:pStyle w:val="25"/>
              <w:spacing w:line="3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注：需提供中标通知书及合同协议书扫描件，否则不计分。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jc w:val="left"/>
              <w:rPr>
                <w:rFonts w:ascii="宋体" w:hAnsi="宋体" w:cs="宋体"/>
                <w:snapToGrid w:val="0"/>
                <w:color w:val="auto"/>
                <w:sz w:val="24"/>
                <w:highlight w:val="none"/>
                <w:lang w:val="zh-CN"/>
              </w:rPr>
            </w:pPr>
            <w:r>
              <w:rPr>
                <w:rFonts w:hint="eastAsia" w:ascii="宋体" w:hAnsi="宋体" w:cs="宋体"/>
                <w:snapToGrid w:val="0"/>
                <w:color w:val="auto"/>
                <w:sz w:val="24"/>
                <w:highlight w:val="none"/>
                <w:lang w:val="zh-CN"/>
              </w:rPr>
              <w:t>体系认证</w:t>
            </w:r>
          </w:p>
          <w:p>
            <w:pPr>
              <w:spacing w:line="360" w:lineRule="exact"/>
              <w:jc w:val="left"/>
              <w:rPr>
                <w:rFonts w:ascii="宋体" w:hAnsi="宋体" w:cs="宋体"/>
                <w:color w:val="auto"/>
                <w:sz w:val="24"/>
                <w:highlight w:val="none"/>
              </w:rPr>
            </w:pPr>
            <w:r>
              <w:rPr>
                <w:rFonts w:hint="eastAsia" w:ascii="宋体" w:hAnsi="宋体" w:cs="宋体"/>
                <w:snapToGrid w:val="0"/>
                <w:color w:val="auto"/>
                <w:sz w:val="24"/>
                <w:highlight w:val="none"/>
                <w:lang w:val="zh-CN"/>
              </w:rPr>
              <w:t>（</w:t>
            </w:r>
            <w:r>
              <w:rPr>
                <w:rFonts w:hint="eastAsia" w:ascii="宋体" w:hAnsi="宋体" w:cs="宋体"/>
                <w:snapToGrid w:val="0"/>
                <w:color w:val="auto"/>
                <w:sz w:val="24"/>
                <w:highlight w:val="none"/>
              </w:rPr>
              <w:t>5分</w:t>
            </w:r>
            <w:r>
              <w:rPr>
                <w:rFonts w:hint="eastAsia" w:ascii="宋体" w:hAnsi="宋体" w:cs="宋体"/>
                <w:snapToGrid w:val="0"/>
                <w:color w:val="auto"/>
                <w:sz w:val="24"/>
                <w:highlight w:val="none"/>
                <w:lang w:val="zh-CN"/>
              </w:rPr>
              <w:t>）</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投标人同时具有有效期内的质量管理体系认证证书、环境管理体系认证证书、职业健康安全管理体系认证证书的得5分，缺项不得分。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vMerge w:val="continue"/>
            <w:tcBorders>
              <w:left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c>
          <w:tcPr>
            <w:tcW w:w="1215" w:type="dxa"/>
            <w:tcBorders>
              <w:left w:val="single" w:color="auto" w:sz="4" w:space="0"/>
              <w:right w:val="single" w:color="auto" w:sz="4" w:space="0"/>
            </w:tcBorders>
            <w:vAlign w:val="center"/>
          </w:tcPr>
          <w:p>
            <w:pPr>
              <w:spacing w:line="360" w:lineRule="exact"/>
              <w:jc w:val="left"/>
              <w:rPr>
                <w:rFonts w:ascii="宋体" w:hAnsi="宋体" w:cs="宋体"/>
                <w:color w:val="auto"/>
                <w:sz w:val="24"/>
                <w:highlight w:val="none"/>
              </w:rPr>
            </w:pPr>
            <w:r>
              <w:rPr>
                <w:rFonts w:hint="eastAsia" w:ascii="宋体" w:hAnsi="宋体" w:cs="宋体"/>
                <w:color w:val="auto"/>
                <w:sz w:val="24"/>
                <w:highlight w:val="none"/>
              </w:rPr>
              <w:t>现场勘察</w:t>
            </w:r>
          </w:p>
          <w:p>
            <w:pPr>
              <w:spacing w:line="360" w:lineRule="exact"/>
              <w:jc w:val="left"/>
              <w:rPr>
                <w:rFonts w:ascii="宋体" w:hAnsi="宋体" w:cs="宋体"/>
                <w:snapToGrid w:val="0"/>
                <w:color w:val="auto"/>
                <w:sz w:val="24"/>
                <w:highlight w:val="none"/>
                <w:lang w:val="zh-CN"/>
              </w:rPr>
            </w:pPr>
            <w:r>
              <w:rPr>
                <w:rFonts w:hint="eastAsia" w:ascii="宋体" w:hAnsi="宋体" w:cs="宋体"/>
                <w:color w:val="auto"/>
                <w:sz w:val="24"/>
                <w:highlight w:val="none"/>
              </w:rPr>
              <w:t>（5分）</w:t>
            </w:r>
          </w:p>
        </w:tc>
        <w:tc>
          <w:tcPr>
            <w:tcW w:w="634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投标人进行现场勘察熟悉项目实际情况，深入了解项目需求，并提供采购人出具的现场勘察证明扫描件的得5分。不提供勘察证明扫描件的不得分。</w:t>
            </w:r>
          </w:p>
        </w:tc>
      </w:tr>
    </w:tbl>
    <w:p>
      <w:pPr>
        <w:pStyle w:val="11"/>
        <w:rPr>
          <w:rFonts w:hint="default" w:ascii="宋体" w:hAnsi="宋体" w:cs="宋体"/>
          <w:color w:val="auto"/>
          <w:highlight w:val="none"/>
        </w:rPr>
      </w:pPr>
    </w:p>
    <w:p>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w:t>
      </w:r>
      <w:r>
        <w:rPr>
          <w:rFonts w:ascii="宋体" w:hAnsi="宋体" w:cs="宋体"/>
          <w:color w:val="auto"/>
          <w:sz w:val="24"/>
          <w:highlight w:val="none"/>
        </w:rPr>
        <w:t>磋商小组根据综合评分情况，按照评审得分由高到低顺序推荐成交候选供应商，并编写评审报告。综合得分相同的供应商，报价较低者优先；报价也相同的，由采购人自行确定</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w:t>
      </w:r>
      <w:r>
        <w:rPr>
          <w:rFonts w:ascii="宋体" w:hAnsi="宋体" w:cs="宋体"/>
          <w:color w:val="auto"/>
          <w:sz w:val="24"/>
          <w:highlight w:val="none"/>
        </w:rPr>
        <w:t>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hAnsi="宋体" w:cs="宋体"/>
          <w:color w:val="auto"/>
          <w:sz w:val="24"/>
          <w:highlight w:val="none"/>
        </w:rPr>
        <w:t>。</w:t>
      </w:r>
    </w:p>
    <w:p>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w:t>
      </w:r>
      <w:r>
        <w:rPr>
          <w:rFonts w:ascii="宋体" w:hAnsi="宋体" w:cs="宋体"/>
          <w:color w:val="auto"/>
          <w:sz w:val="24"/>
          <w:highlight w:val="none"/>
        </w:rPr>
        <w:t>若供应商的报价高于项目预算，磋商小组有权根据采购人意见及其实际情况，拒绝该报价</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w:t>
      </w:r>
      <w:r>
        <w:rPr>
          <w:rFonts w:ascii="宋体" w:hAnsi="宋体" w:cs="宋体"/>
          <w:color w:val="auto"/>
          <w:sz w:val="24"/>
          <w:highlight w:val="none"/>
        </w:rPr>
        <w:t>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w:t>
      </w:r>
      <w:r>
        <w:rPr>
          <w:rFonts w:ascii="宋体" w:hAnsi="宋体" w:cs="宋体"/>
          <w:color w:val="auto"/>
          <w:sz w:val="24"/>
          <w:highlight w:val="none"/>
        </w:rPr>
        <w:t>在竞争性磋商期间，供应商不得向竞争性磋商小组成员询问其它供应商竞争性磋商情况，不得进行旨在影响成交结果的活动</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w:t>
      </w:r>
      <w:r>
        <w:rPr>
          <w:rFonts w:ascii="宋体" w:hAnsi="宋体" w:cs="宋体"/>
          <w:color w:val="auto"/>
          <w:sz w:val="24"/>
          <w:highlight w:val="none"/>
        </w:rPr>
        <w:t>在竞争性磋商期间，采购人将有专门人员与供应商进行联络</w:t>
      </w:r>
      <w:r>
        <w:rPr>
          <w:rFonts w:hint="eastAsia" w:ascii="宋体" w:hAnsi="宋体" w:cs="宋体"/>
          <w:color w:val="auto"/>
          <w:sz w:val="24"/>
          <w:highlight w:val="none"/>
        </w:rPr>
        <w:t>。</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w:t>
      </w:r>
      <w:r>
        <w:rPr>
          <w:rFonts w:ascii="宋体" w:hAnsi="宋体" w:cs="宋体"/>
          <w:color w:val="auto"/>
          <w:sz w:val="24"/>
          <w:highlight w:val="none"/>
        </w:rPr>
        <w:t>出现下列情形之一时，采购人有权宣布竞争性磋商终止，并将理由通知所有供应商</w:t>
      </w:r>
      <w:r>
        <w:rPr>
          <w:rFonts w:hint="eastAsia" w:ascii="宋体" w:hAnsi="宋体" w:cs="宋体"/>
          <w:bCs/>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pPr>
        <w:pStyle w:val="38"/>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w:t>
      </w:r>
      <w:r>
        <w:rPr>
          <w:rFonts w:ascii="宋体" w:hAnsi="宋体" w:cs="宋体"/>
          <w:color w:val="auto"/>
          <w:sz w:val="24"/>
          <w:highlight w:val="none"/>
        </w:rPr>
        <w:t>采购人不得向成交供应商提出超过竞争性磋商文件以外的任何要求作为签订合同的条件，不得与成交供应商订立背离竞争性磋商文件确定的合同文本协议</w:t>
      </w:r>
      <w:r>
        <w:rPr>
          <w:rFonts w:hint="eastAsia" w:ascii="宋体" w:hAnsi="宋体" w:cs="宋体"/>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w:t>
      </w:r>
      <w:r>
        <w:rPr>
          <w:rFonts w:ascii="宋体" w:hAnsi="宋体" w:cs="宋体"/>
          <w:color w:val="auto"/>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r>
        <w:rPr>
          <w:rFonts w:hint="eastAsia" w:ascii="宋体" w:hAnsi="宋体" w:cs="宋体"/>
          <w:color w:val="auto"/>
          <w:sz w:val="24"/>
          <w:highlight w:val="none"/>
        </w:rPr>
        <w:t>。</w:t>
      </w:r>
    </w:p>
    <w:p>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pPr>
        <w:pStyle w:val="4"/>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ascii="宋体" w:hAnsi="宋体" w:cs="宋体"/>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cs="宋体"/>
          <w:bCs/>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w:t>
      </w:r>
      <w:r>
        <w:rPr>
          <w:rFonts w:ascii="宋体" w:hAnsi="宋体" w:cs="宋体"/>
          <w:color w:val="auto"/>
          <w:sz w:val="24"/>
          <w:highlight w:val="none"/>
        </w:rPr>
        <w:t>采购人在收到供应商的书面质疑后七个工作日内做出答复，并以书面形式通知质疑供应商和其他供应商，但答复内容不得涉及商业秘密</w:t>
      </w:r>
      <w:r>
        <w:rPr>
          <w:rFonts w:hint="eastAsia" w:ascii="宋体" w:hAnsi="宋体" w:cs="宋体"/>
          <w:color w:val="auto"/>
          <w:sz w:val="24"/>
          <w:highlight w:val="none"/>
        </w:rPr>
        <w:t>。</w:t>
      </w:r>
    </w:p>
    <w:p>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ascii="宋体" w:hAnsi="宋体" w:cs="宋体"/>
          <w:color w:val="auto"/>
          <w:sz w:val="24"/>
          <w:highlight w:val="none"/>
        </w:rPr>
        <w:t>质疑供应商行使质疑权时，必须遵守“实事求是”和“谨慎性”原则，承担使用虚假材料或恶意方式质疑的法律责任，采购人将遵循“谁过错谁负担”的原则，由过错方提交相关的调查论证费用</w:t>
      </w:r>
      <w:r>
        <w:rPr>
          <w:rFonts w:hint="eastAsia" w:ascii="宋体" w:hAnsi="宋体" w:cs="宋体"/>
          <w:bCs/>
          <w:color w:val="auto"/>
          <w:sz w:val="24"/>
          <w:highlight w:val="none"/>
        </w:rPr>
        <w:t>。</w:t>
      </w: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w:t>
      </w:r>
      <w:r>
        <w:rPr>
          <w:rFonts w:ascii="宋体" w:hAnsi="宋体" w:cs="宋体"/>
          <w:color w:val="auto"/>
          <w:sz w:val="24"/>
          <w:highlight w:val="none"/>
        </w:rPr>
        <w:t>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r>
        <w:rPr>
          <w:rFonts w:hint="eastAsia" w:ascii="宋体" w:hAnsi="宋体" w:cs="宋体"/>
          <w:color w:val="auto"/>
          <w:sz w:val="24"/>
          <w:highlight w:val="none"/>
        </w:rPr>
        <w:t>。</w:t>
      </w:r>
    </w:p>
    <w:p>
      <w:pPr>
        <w:spacing w:line="560" w:lineRule="exact"/>
        <w:rPr>
          <w:rFonts w:ascii="宋体" w:hAnsi="宋体" w:cs="宋体"/>
          <w:color w:val="auto"/>
          <w:sz w:val="24"/>
          <w:highlight w:val="none"/>
        </w:rPr>
        <w:sectPr>
          <w:footerReference r:id="rId5" w:type="default"/>
          <w:pgSz w:w="11907" w:h="16840"/>
          <w:pgMar w:top="2098" w:right="1474" w:bottom="1985" w:left="1588" w:header="851" w:footer="992" w:gutter="0"/>
          <w:pgNumType w:start="2"/>
          <w:cols w:space="720" w:num="1"/>
          <w:docGrid w:type="lines" w:linePitch="312" w:charSpace="0"/>
        </w:sectPr>
      </w:pPr>
    </w:p>
    <w:p>
      <w:pPr>
        <w:spacing w:line="360" w:lineRule="auto"/>
        <w:jc w:val="center"/>
        <w:rPr>
          <w:rFonts w:ascii="宋体" w:hAnsi="宋体"/>
          <w:b/>
          <w:color w:val="auto"/>
          <w:sz w:val="24"/>
          <w:highlight w:val="none"/>
        </w:rPr>
      </w:pPr>
      <w:r>
        <w:rPr>
          <w:rFonts w:hint="eastAsia" w:ascii="宋体" w:hAnsi="宋体"/>
          <w:b/>
          <w:color w:val="auto"/>
          <w:sz w:val="24"/>
          <w:highlight w:val="none"/>
        </w:rPr>
        <w:t>第三章 采购内容及要求</w:t>
      </w:r>
    </w:p>
    <w:p>
      <w:pPr>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一、污水站运维要求</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1、为保证周口市中心医院（人民路院区）3座污水处理站（包括住院部、东院区及核医学科）的正常运行，按照生态环境部、省生态环境厅以及卫生部门针对医院污水处理设施运营的指导精神，采购人委托第三方运维单位按照《中华人民共和国安全生产法》、《医院污水处理技术指南》(环发[2003]197号)、《医院污水处理工程技术规范》（HJ2029-2005）、《医疗机构水污染物排放标准》（GB18466-2005）、排污许可规范等相关标准的要求，开展污水站运维工作。</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2、本次采购方式运维服务内容为大包，运维单位负责由院区内所有建筑外化粪池、污水站至污水排放口的所有设备设施（包括 MBR膜的更换）的日常运行、维护、巡检、故障维修、年度检修等工作，并接受上级环保、卫生及采购人主管部门的质控检查，确保污水站设备设施正常运行，污水达标排放。</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3、运维单位不得利用本项目的数据、档案或有关资料对外开展技术交流、业务联系、数据交换等。运维期间设备损坏无法正常运行时，由运维单位负责维修或更换设备。</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4、运维单位须配备具有污废水运行工作经验及资格的技术人员不低于8名，包括污水处理工6名、机电维修工1名、污水处理工程师1名，从事污水站的运维工作，并接受采购人的管理。</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5、运维管理的基本要求</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5.1首先应满足医院及周边环境对污水站运行的基本要求，保证经处理后的污水达标排放。</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5.2在确保污水达标排放的基础上保持较低的污水处理运营成本。</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5.3要求具有污水处理经验的操作管理人员，以先进的管理操作技术，安全做好生产运行。</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6、运维的工作目标</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6.1根据《医疗机构水污染物排放标准》（GB18466-2005）要求做好污泥处置、臭气处理、污水排放持续达标。</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6.2管道密封设备等密封点泄漏率控制在0.5‰以下。</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6.3污水站设备完好率控制到100%，出现设备故障应及时进行维修（更换配件不得低于原有配件质量标准），确保废水、废气、厂界噪声持续达标。</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6.4确保医院污水无漏排、偷排现象，做好安全生产工作，确保不发生安全生产事故和污染事故。</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7、运维人员的基本要求</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7.1运维人员配置要求：污水处理工6人、机电维修工1人、污水处理工程师1人。</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7.2运维人员要充分发挥医院污水处理系统的优点，根据设计要求进行科学的管理，在水质条件和环境条件发生变化时，充分利用各种工艺的弹性进行适当的调整，及时发现并解决异常问题，使处理系统高效低耗地完成污水净化处理，以达到理想的环境效益、经济效益和社会效益。</w:t>
      </w:r>
    </w:p>
    <w:p>
      <w:pPr>
        <w:spacing w:line="360" w:lineRule="auto"/>
        <w:ind w:firstLine="480" w:firstLineChars="200"/>
        <w:textAlignment w:val="baseline"/>
        <w:rPr>
          <w:rFonts w:ascii="宋体" w:hAnsi="宋体" w:cs="宋体"/>
          <w:color w:val="auto"/>
          <w:sz w:val="24"/>
          <w:highlight w:val="none"/>
        </w:rPr>
      </w:pPr>
      <w:r>
        <w:rPr>
          <w:rFonts w:hint="eastAsia" w:ascii="宋体" w:hAnsi="宋体" w:cs="宋体"/>
          <w:color w:val="auto"/>
          <w:sz w:val="24"/>
          <w:highlight w:val="none"/>
        </w:rPr>
        <w:t>7.3运维人员要熟练运用污水处理构筑物、机械、设备与自控装置及各种测试手段，要具有相关污水处理的业务能力，包含污水处理设备方面、电气方面等，确保污水站的正常运行。</w:t>
      </w:r>
    </w:p>
    <w:p>
      <w:pPr>
        <w:spacing w:line="360" w:lineRule="auto"/>
        <w:ind w:firstLine="482" w:firstLineChars="200"/>
        <w:rPr>
          <w:rStyle w:val="70"/>
          <w:rFonts w:ascii="宋体" w:hAnsi="宋体" w:cs="宋体"/>
          <w:b/>
          <w:bCs/>
          <w:color w:val="auto"/>
          <w:sz w:val="24"/>
          <w:highlight w:val="none"/>
          <w:lang w:val="zh-CN"/>
        </w:rPr>
      </w:pPr>
      <w:r>
        <w:rPr>
          <w:rFonts w:hint="eastAsia" w:ascii="宋体" w:hAnsi="宋体" w:cs="宋体"/>
          <w:b/>
          <w:bCs/>
          <w:color w:val="auto"/>
          <w:sz w:val="24"/>
          <w:highlight w:val="none"/>
        </w:rPr>
        <w:t>二、</w:t>
      </w:r>
      <w:r>
        <w:rPr>
          <w:rStyle w:val="70"/>
          <w:rFonts w:hint="eastAsia" w:ascii="宋体" w:hAnsi="宋体" w:cs="宋体"/>
          <w:b/>
          <w:bCs/>
          <w:color w:val="auto"/>
          <w:sz w:val="24"/>
          <w:highlight w:val="none"/>
          <w:lang w:val="zh-CN"/>
        </w:rPr>
        <w:t>服务要求</w:t>
      </w:r>
    </w:p>
    <w:p>
      <w:pPr>
        <w:pStyle w:val="12"/>
        <w:spacing w:line="360" w:lineRule="auto"/>
        <w:ind w:firstLine="480"/>
        <w:rPr>
          <w:rFonts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服务要求：服务期内，</w:t>
      </w:r>
      <w:r>
        <w:rPr>
          <w:rFonts w:hint="eastAsia" w:ascii="宋体" w:hAnsi="宋体" w:eastAsia="宋体" w:cs="宋体"/>
          <w:color w:val="auto"/>
          <w:sz w:val="24"/>
          <w:highlight w:val="none"/>
        </w:rPr>
        <w:t>一般故障立即组织排除；不能及时解决的故障采取正确的应急措施并在24小时内</w:t>
      </w:r>
      <w:r>
        <w:rPr>
          <w:rFonts w:hint="eastAsia" w:ascii="宋体" w:hAnsi="宋体" w:eastAsia="宋体" w:cs="宋体"/>
          <w:color w:val="auto"/>
          <w:sz w:val="24"/>
          <w:highlight w:val="none"/>
          <w:lang w:val="zh-CN"/>
        </w:rPr>
        <w:t>解决。</w:t>
      </w:r>
    </w:p>
    <w:p>
      <w:pPr>
        <w:pStyle w:val="12"/>
        <w:spacing w:line="360" w:lineRule="auto"/>
        <w:ind w:firstLine="480"/>
        <w:rPr>
          <w:rFonts w:ascii="宋体" w:hAnsi="宋体" w:eastAsia="宋体" w:cs="宋体"/>
          <w:color w:val="auto"/>
          <w:sz w:val="24"/>
          <w:highlight w:val="none"/>
          <w:lang w:val="zh-CN"/>
        </w:rPr>
      </w:pPr>
      <w:r>
        <w:rPr>
          <w:rFonts w:hint="eastAsia" w:ascii="宋体" w:hAnsi="宋体" w:eastAsia="宋体" w:cs="宋体"/>
          <w:color w:val="auto"/>
          <w:sz w:val="24"/>
          <w:highlight w:val="none"/>
        </w:rPr>
        <w:t>2、服务</w:t>
      </w:r>
      <w:r>
        <w:rPr>
          <w:rFonts w:hint="eastAsia" w:ascii="宋体" w:hAnsi="宋体" w:eastAsia="宋体" w:cs="宋体"/>
          <w:color w:val="auto"/>
          <w:sz w:val="24"/>
          <w:highlight w:val="none"/>
          <w:lang w:val="zh-CN"/>
        </w:rPr>
        <w:t>地点：采购人指定地点。</w:t>
      </w:r>
    </w:p>
    <w:p>
      <w:pPr>
        <w:pStyle w:val="12"/>
        <w:spacing w:line="360" w:lineRule="auto"/>
        <w:ind w:firstLine="480"/>
        <w:rPr>
          <w:rFonts w:ascii="宋体" w:hAnsi="宋体" w:eastAsia="宋体" w:cs="宋体"/>
          <w:color w:val="auto"/>
          <w:sz w:val="24"/>
          <w:highlight w:val="none"/>
          <w:lang w:val="zh-CN"/>
        </w:rPr>
      </w:pPr>
      <w:r>
        <w:rPr>
          <w:rFonts w:hint="eastAsia" w:ascii="宋体" w:hAnsi="宋体" w:eastAsia="宋体" w:cs="宋体"/>
          <w:color w:val="auto"/>
          <w:sz w:val="24"/>
          <w:highlight w:val="none"/>
        </w:rPr>
        <w:t>3、服务</w:t>
      </w:r>
      <w:r>
        <w:rPr>
          <w:rFonts w:hint="eastAsia" w:ascii="宋体" w:hAnsi="宋体" w:eastAsia="宋体" w:cs="宋体"/>
          <w:color w:val="auto"/>
          <w:sz w:val="24"/>
          <w:highlight w:val="none"/>
          <w:lang w:val="zh-CN"/>
        </w:rPr>
        <w:t>期限：</w:t>
      </w:r>
      <w:r>
        <w:rPr>
          <w:rFonts w:hint="eastAsia" w:ascii="宋体" w:hAnsi="宋体" w:eastAsia="宋体" w:cs="宋体"/>
          <w:color w:val="auto"/>
          <w:sz w:val="24"/>
          <w:highlight w:val="none"/>
        </w:rPr>
        <w:t>3年</w:t>
      </w:r>
      <w:r>
        <w:rPr>
          <w:rFonts w:hint="eastAsia" w:ascii="宋体" w:hAnsi="宋体" w:eastAsia="宋体" w:cs="宋体"/>
          <w:color w:val="auto"/>
          <w:sz w:val="24"/>
          <w:highlight w:val="none"/>
          <w:lang w:val="zh-CN"/>
        </w:rPr>
        <w:t>。</w:t>
      </w:r>
    </w:p>
    <w:p>
      <w:pPr>
        <w:pStyle w:val="12"/>
        <w:spacing w:line="3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4、服务内容：运维单位负责由院区内所有建筑外化粪池、污水站至污水排放口的所有设备设施的日常运行、维护、巡检、故障维修（含备件）、年度检修等工作，以及按照污水站相关设备设施操作规范和受限空间操作规范配置相关安全防护用品，并提供维修相关的人工、运输。同时，接受上级环保、卫生及采购人主管部门的质控检查。（污水处理使用的絮凝剂、消毒粉、余氧检测试剂，菌种活性剂，生石灰，均由医院提供）。</w:t>
      </w:r>
    </w:p>
    <w:p>
      <w:pPr>
        <w:pStyle w:val="12"/>
        <w:spacing w:line="360" w:lineRule="auto"/>
        <w:ind w:firstLine="480"/>
        <w:rPr>
          <w:rFonts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验收：服务期满，污水站设备运行正常，污水达标排放并取得有资质检测公司出具的环保部门认可的检测报告。</w:t>
      </w:r>
    </w:p>
    <w:p>
      <w:pPr>
        <w:pStyle w:val="12"/>
        <w:spacing w:line="360" w:lineRule="auto"/>
        <w:ind w:firstLine="480"/>
        <w:rPr>
          <w:rFonts w:ascii="宋体" w:hAnsi="宋体" w:eastAsia="宋体" w:cs="宋体"/>
          <w:color w:val="auto"/>
          <w:sz w:val="24"/>
          <w:highlight w:val="none"/>
          <w:lang w:val="zh-CN"/>
        </w:rPr>
      </w:pPr>
      <w:r>
        <w:rPr>
          <w:rFonts w:hint="eastAsia" w:ascii="宋体" w:hAnsi="宋体" w:eastAsia="宋体" w:cs="宋体"/>
          <w:color w:val="auto"/>
          <w:sz w:val="24"/>
          <w:highlight w:val="none"/>
        </w:rPr>
        <w:t>6、付款方式：签订合同后，按照服务期分12个季度支付，1-11季度经采购人考核合格后每季度支付合同总额的8.3%，12季度经采购人考核合格后支付合同总额的8.7%。</w:t>
      </w:r>
    </w:p>
    <w:p>
      <w:pPr>
        <w:rPr>
          <w:rFonts w:ascii="宋体" w:hAnsi="宋体" w:cs="宋体"/>
          <w:b/>
          <w:bCs/>
          <w:color w:val="auto"/>
          <w:sz w:val="24"/>
          <w:highlight w:val="none"/>
        </w:rPr>
      </w:pPr>
    </w:p>
    <w:p>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pPr>
        <w:widowControl/>
        <w:spacing w:line="520" w:lineRule="exact"/>
        <w:ind w:firstLine="480" w:firstLineChars="200"/>
        <w:jc w:val="center"/>
        <w:rPr>
          <w:rFonts w:ascii="宋体" w:hAnsi="宋体" w:cs="宋体"/>
          <w:color w:val="auto"/>
          <w:sz w:val="24"/>
          <w:highlight w:val="none"/>
        </w:rPr>
      </w:pPr>
    </w:p>
    <w:p>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pStyle w:val="26"/>
        <w:ind w:firstLine="480"/>
        <w:rPr>
          <w:rFonts w:ascii="宋体" w:hAnsi="宋体" w:eastAsia="宋体" w:cs="宋体"/>
          <w:color w:val="auto"/>
          <w:sz w:val="24"/>
          <w:highlight w:val="none"/>
        </w:rPr>
      </w:pPr>
    </w:p>
    <w:p>
      <w:pPr>
        <w:pStyle w:val="26"/>
        <w:ind w:firstLine="480"/>
        <w:rPr>
          <w:rFonts w:ascii="宋体" w:hAnsi="宋体" w:eastAsia="宋体" w:cs="宋体"/>
          <w:color w:val="auto"/>
          <w:sz w:val="24"/>
          <w:highlight w:val="none"/>
        </w:rPr>
      </w:pPr>
    </w:p>
    <w:p>
      <w:pPr>
        <w:pStyle w:val="26"/>
        <w:ind w:firstLine="480"/>
        <w:rPr>
          <w:rFonts w:ascii="宋体" w:hAnsi="宋体" w:eastAsia="宋体" w:cs="宋体"/>
          <w:color w:val="auto"/>
          <w:sz w:val="24"/>
          <w:highlight w:val="none"/>
        </w:rPr>
      </w:pPr>
    </w:p>
    <w:p>
      <w:pPr>
        <w:pStyle w:val="26"/>
        <w:ind w:firstLine="480"/>
        <w:rPr>
          <w:rFonts w:ascii="宋体" w:hAnsi="宋体" w:eastAsia="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pStyle w:val="26"/>
        <w:ind w:firstLine="480"/>
        <w:rPr>
          <w:rFonts w:ascii="宋体" w:hAnsi="宋体" w:eastAsia="宋体" w:cs="宋体"/>
          <w:color w:val="auto"/>
          <w:sz w:val="24"/>
          <w:highlight w:val="none"/>
        </w:rPr>
      </w:pPr>
    </w:p>
    <w:p>
      <w:pPr>
        <w:snapToGrid w:val="0"/>
        <w:jc w:val="left"/>
        <w:rPr>
          <w:rFonts w:ascii="宋体" w:hAnsi="宋体" w:cs="宋体"/>
          <w:color w:val="auto"/>
          <w:sz w:val="24"/>
          <w:highlight w:val="none"/>
        </w:rPr>
      </w:pPr>
    </w:p>
    <w:p>
      <w:pPr>
        <w:snapToGrid w:val="0"/>
        <w:jc w:val="left"/>
        <w:rPr>
          <w:rFonts w:ascii="宋体" w:hAnsi="宋体" w:cs="宋体"/>
          <w:color w:val="auto"/>
          <w:sz w:val="24"/>
          <w:highlight w:val="none"/>
        </w:rPr>
      </w:pPr>
    </w:p>
    <w:p>
      <w:pPr>
        <w:pStyle w:val="26"/>
        <w:ind w:firstLine="480"/>
        <w:rPr>
          <w:rFonts w:ascii="宋体" w:hAnsi="宋体" w:eastAsia="宋体" w:cs="宋体"/>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pPr>
        <w:pStyle w:val="38"/>
        <w:ind w:firstLine="210"/>
        <w:rPr>
          <w:color w:val="auto"/>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color w:val="auto"/>
                <w:sz w:val="24"/>
                <w:highlight w:val="none"/>
              </w:rPr>
            </w:pPr>
          </w:p>
          <w:p>
            <w:pPr>
              <w:spacing w:line="480" w:lineRule="exact"/>
              <w:rPr>
                <w:rFonts w:ascii="宋体" w:hAnsi="宋体" w:cs="宋体"/>
                <w:b/>
                <w:bCs/>
                <w:color w:val="auto"/>
                <w:sz w:val="24"/>
                <w:highlight w:val="none"/>
              </w:rPr>
            </w:pPr>
          </w:p>
          <w:p>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pPr>
              <w:spacing w:line="480" w:lineRule="exact"/>
              <w:rPr>
                <w:rFonts w:ascii="宋体" w:hAnsi="宋体" w:cs="宋体"/>
                <w:color w:val="auto"/>
                <w:sz w:val="24"/>
                <w:highlight w:val="none"/>
              </w:rPr>
            </w:pPr>
          </w:p>
          <w:p>
            <w:pPr>
              <w:spacing w:line="480" w:lineRule="exact"/>
              <w:rPr>
                <w:rFonts w:ascii="宋体" w:hAnsi="宋体" w:cs="宋体"/>
                <w:color w:val="auto"/>
                <w:sz w:val="24"/>
                <w:highlight w:val="none"/>
              </w:rPr>
            </w:pPr>
          </w:p>
        </w:tc>
      </w:tr>
    </w:tbl>
    <w:p>
      <w:pPr>
        <w:spacing w:line="360" w:lineRule="auto"/>
        <w:ind w:firstLine="960" w:firstLineChars="400"/>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rPr>
          <w:rFonts w:ascii="宋体" w:hAnsi="宋体" w:cs="宋体"/>
          <w:color w:val="auto"/>
          <w:sz w:val="24"/>
          <w:highlight w:val="none"/>
        </w:rPr>
      </w:pPr>
      <w:r>
        <w:rPr>
          <w:rFonts w:hint="eastAsia" w:ascii="宋体" w:hAnsi="宋体" w:cs="宋体"/>
          <w:color w:val="auto"/>
          <w:sz w:val="24"/>
          <w:highlight w:val="none"/>
        </w:rPr>
        <w:br w:type="page"/>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pPr>
        <w:spacing w:line="360" w:lineRule="auto"/>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color w:val="auto"/>
                <w:sz w:val="24"/>
                <w:highlight w:val="none"/>
              </w:rPr>
            </w:pPr>
          </w:p>
          <w:p>
            <w:pPr>
              <w:spacing w:line="480" w:lineRule="exact"/>
              <w:rPr>
                <w:rFonts w:ascii="宋体" w:hAnsi="宋体" w:cs="宋体"/>
                <w:b/>
                <w:bCs/>
                <w:color w:val="auto"/>
                <w:sz w:val="24"/>
                <w:highlight w:val="none"/>
              </w:rPr>
            </w:pPr>
          </w:p>
          <w:p>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p>
    <w:p>
      <w:pPr>
        <w:spacing w:line="360" w:lineRule="auto"/>
        <w:ind w:firstLine="480" w:firstLineChars="200"/>
        <w:rPr>
          <w:rFonts w:ascii="宋体" w:hAnsi="宋体" w:cs="宋体"/>
          <w:color w:val="auto"/>
          <w:sz w:val="24"/>
          <w:highlight w:val="none"/>
        </w:rPr>
      </w:pPr>
    </w:p>
    <w:p>
      <w:pPr>
        <w:spacing w:line="360" w:lineRule="auto"/>
        <w:ind w:firstLine="4920" w:firstLineChars="2050"/>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center"/>
        <w:rPr>
          <w:rFonts w:ascii="宋体" w:hAnsi="宋体" w:cs="宋体"/>
          <w:color w:val="auto"/>
          <w:sz w:val="24"/>
          <w:highlight w:val="none"/>
        </w:rPr>
      </w:pP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pStyle w:val="38"/>
        <w:ind w:firstLine="210"/>
        <w:rPr>
          <w:color w:val="auto"/>
          <w:highlight w:val="none"/>
        </w:rPr>
      </w:pPr>
    </w:p>
    <w:p>
      <w:pPr>
        <w:pStyle w:val="38"/>
        <w:ind w:firstLine="210"/>
        <w:rPr>
          <w:color w:val="auto"/>
          <w:highlight w:val="none"/>
        </w:rPr>
      </w:pPr>
    </w:p>
    <w:p>
      <w:pPr>
        <w:pStyle w:val="38"/>
        <w:ind w:firstLine="210"/>
        <w:rPr>
          <w:color w:val="auto"/>
          <w:highlight w:val="none"/>
        </w:rPr>
      </w:pPr>
    </w:p>
    <w:p>
      <w:pPr>
        <w:pStyle w:val="38"/>
        <w:ind w:firstLine="210"/>
        <w:rPr>
          <w:color w:val="auto"/>
          <w:highlight w:val="none"/>
        </w:rPr>
      </w:pPr>
    </w:p>
    <w:p>
      <w:pPr>
        <w:rPr>
          <w:rFonts w:ascii="宋体" w:hAnsi="宋体" w:cs="宋体"/>
          <w:color w:val="auto"/>
          <w:sz w:val="24"/>
          <w:highlight w:val="none"/>
        </w:rPr>
      </w:pPr>
      <w:r>
        <w:rPr>
          <w:rFonts w:hint="eastAsia" w:ascii="宋体" w:hAnsi="宋体" w:cs="宋体"/>
          <w:color w:val="auto"/>
          <w:sz w:val="24"/>
          <w:highlight w:val="none"/>
        </w:rPr>
        <w:br w:type="page"/>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格式2-3符合政府采购法第二十二条的声明及参加政府采购活动前三年内无重大违法记录的书面声明</w:t>
      </w: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pPr>
        <w:pStyle w:val="24"/>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pPr>
        <w:pStyle w:val="59"/>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我方愿按《中华人民共和国民法典》履行我方的全部责任。</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pPr>
        <w:spacing w:line="560" w:lineRule="exact"/>
        <w:jc w:val="left"/>
        <w:rPr>
          <w:rFonts w:ascii="宋体" w:hAnsi="宋体" w:cs="宋体"/>
          <w:color w:val="auto"/>
          <w:sz w:val="24"/>
          <w:highlight w:val="none"/>
        </w:rPr>
      </w:pPr>
    </w:p>
    <w:p>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pPr>
        <w:spacing w:line="360" w:lineRule="auto"/>
        <w:jc w:val="left"/>
        <w:rPr>
          <w:rFonts w:ascii="宋体" w:hAnsi="宋体" w:cs="宋体"/>
          <w:color w:val="auto"/>
          <w:sz w:val="24"/>
          <w:highlight w:val="none"/>
        </w:rPr>
      </w:pPr>
    </w:p>
    <w:p>
      <w:pPr>
        <w:spacing w:line="360" w:lineRule="auto"/>
        <w:jc w:val="left"/>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pPr>
        <w:pStyle w:val="5"/>
        <w:jc w:val="center"/>
        <w:rPr>
          <w:rFonts w:ascii="宋体" w:hAnsi="宋体" w:cs="宋体"/>
          <w:b w:val="0"/>
          <w:color w:val="auto"/>
          <w:sz w:val="24"/>
          <w:szCs w:val="24"/>
          <w:highlight w:val="none"/>
        </w:rPr>
      </w:pPr>
      <w:bookmarkStart w:id="33" w:name="_Toc197934561"/>
      <w:bookmarkEnd w:id="33"/>
      <w:bookmarkStart w:id="34" w:name="_Toc495414231"/>
      <w:bookmarkEnd w:id="34"/>
      <w:r>
        <w:rPr>
          <w:rFonts w:hint="eastAsia" w:ascii="宋体" w:hAnsi="宋体" w:cs="宋体"/>
          <w:b w:val="0"/>
          <w:color w:val="auto"/>
          <w:sz w:val="24"/>
          <w:szCs w:val="24"/>
          <w:highlight w:val="none"/>
        </w:rPr>
        <w:t>报价一览表</w:t>
      </w:r>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pPr>
              <w:spacing w:line="360" w:lineRule="auto"/>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pPr>
              <w:spacing w:line="360" w:lineRule="auto"/>
              <w:jc w:val="left"/>
              <w:rPr>
                <w:rFonts w:ascii="宋体" w:hAnsi="宋体" w:cs="宋体"/>
                <w:color w:val="auto"/>
                <w:sz w:val="24"/>
                <w:highlight w:val="none"/>
              </w:rPr>
            </w:pPr>
          </w:p>
        </w:tc>
      </w:tr>
    </w:tbl>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color w:val="auto"/>
          <w:sz w:val="24"/>
          <w:highlight w:val="none"/>
        </w:rPr>
      </w:pPr>
      <w:bookmarkStart w:id="35" w:name="_Toc220232409"/>
      <w:bookmarkStart w:id="36" w:name="_Toc495414234"/>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p>
      <w:pPr>
        <w:pStyle w:val="38"/>
        <w:ind w:firstLine="240"/>
        <w:rPr>
          <w:rFonts w:ascii="宋体" w:hAnsi="宋体" w:cs="宋体"/>
          <w:color w:val="auto"/>
          <w:sz w:val="24"/>
          <w:highlight w:val="none"/>
        </w:rPr>
      </w:pPr>
    </w:p>
    <w:bookmarkEnd w:id="35"/>
    <w:bookmarkEnd w:id="36"/>
    <w:p>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格式5                     </w:t>
      </w:r>
      <w:r>
        <w:rPr>
          <w:rFonts w:hint="eastAsia" w:ascii="宋体" w:hAnsi="宋体" w:cs="宋体"/>
          <w:b/>
          <w:color w:val="auto"/>
          <w:sz w:val="24"/>
          <w:highlight w:val="none"/>
        </w:rPr>
        <w:t>技术参数响应表</w:t>
      </w:r>
    </w:p>
    <w:p>
      <w:pPr>
        <w:rPr>
          <w:rFonts w:ascii="宋体" w:hAnsi="宋体" w:cs="宋体"/>
          <w:color w:val="auto"/>
          <w:sz w:val="24"/>
          <w:highlight w:val="none"/>
        </w:rPr>
      </w:pPr>
    </w:p>
    <w:p>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color w:val="auto"/>
                <w:sz w:val="24"/>
                <w:highlight w:val="none"/>
              </w:rPr>
            </w:pPr>
          </w:p>
        </w:tc>
      </w:tr>
    </w:tbl>
    <w:p>
      <w:pPr>
        <w:rPr>
          <w:rFonts w:ascii="宋体" w:hAnsi="宋体" w:cs="宋体"/>
          <w:color w:val="auto"/>
          <w:sz w:val="24"/>
          <w:highlight w:val="none"/>
        </w:rPr>
      </w:pPr>
    </w:p>
    <w:p>
      <w:pPr>
        <w:rPr>
          <w:rFonts w:ascii="宋体" w:hAnsi="宋体" w:cs="宋体"/>
          <w:color w:val="auto"/>
          <w:sz w:val="24"/>
          <w:highlight w:val="none"/>
        </w:rPr>
      </w:pPr>
      <w:r>
        <w:rPr>
          <w:rFonts w:hint="eastAsia" w:ascii="宋体" w:hAnsi="宋体" w:cs="宋体"/>
          <w:color w:val="auto"/>
          <w:sz w:val="24"/>
          <w:highlight w:val="none"/>
        </w:rPr>
        <w:t>(可根据需求自行更改)</w:t>
      </w:r>
    </w:p>
    <w:p>
      <w:pPr>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rPr>
          <w:rFonts w:ascii="宋体" w:hAnsi="宋体" w:cs="宋体"/>
          <w:b/>
          <w:color w:val="auto"/>
          <w:sz w:val="24"/>
          <w:highlight w:val="none"/>
        </w:rPr>
      </w:pPr>
    </w:p>
    <w:p>
      <w:pPr>
        <w:spacing w:line="360" w:lineRule="auto"/>
        <w:rPr>
          <w:rFonts w:ascii="宋体" w:hAnsi="宋体" w:cs="宋体"/>
          <w:b/>
          <w:color w:val="auto"/>
          <w:sz w:val="24"/>
          <w:highlight w:val="none"/>
        </w:rPr>
      </w:pPr>
    </w:p>
    <w:p>
      <w:pPr>
        <w:spacing w:line="360" w:lineRule="auto"/>
        <w:rPr>
          <w:rFonts w:ascii="宋体" w:hAnsi="宋体" w:cs="宋体"/>
          <w:b/>
          <w:color w:val="auto"/>
          <w:sz w:val="24"/>
          <w:highlight w:val="none"/>
        </w:rPr>
      </w:pPr>
    </w:p>
    <w:p>
      <w:pPr>
        <w:spacing w:line="360" w:lineRule="auto"/>
        <w:rPr>
          <w:rFonts w:ascii="宋体" w:hAnsi="宋体" w:cs="宋体"/>
          <w:b/>
          <w:color w:val="auto"/>
          <w:sz w:val="24"/>
          <w:highlight w:val="none"/>
        </w:rPr>
      </w:pPr>
    </w:p>
    <w:p>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格式6</w:t>
      </w:r>
    </w:p>
    <w:p>
      <w:pPr>
        <w:pStyle w:val="26"/>
        <w:ind w:firstLine="480"/>
        <w:rPr>
          <w:rFonts w:ascii="宋体" w:hAnsi="宋体" w:eastAsia="宋体" w:cs="宋体"/>
          <w:color w:val="auto"/>
          <w:sz w:val="24"/>
          <w:highlight w:val="none"/>
        </w:rPr>
      </w:pPr>
    </w:p>
    <w:p>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服务方案及售后服务承诺</w:t>
      </w:r>
    </w:p>
    <w:p>
      <w:pPr>
        <w:spacing w:line="380" w:lineRule="exact"/>
        <w:jc w:val="center"/>
        <w:rPr>
          <w:rFonts w:ascii="宋体" w:hAnsi="宋体" w:cs="宋体"/>
          <w:color w:val="auto"/>
          <w:sz w:val="24"/>
          <w:highlight w:val="none"/>
        </w:rPr>
      </w:pPr>
    </w:p>
    <w:p>
      <w:pPr>
        <w:spacing w:line="380" w:lineRule="exact"/>
        <w:ind w:firstLine="360" w:firstLineChars="150"/>
        <w:rPr>
          <w:rFonts w:ascii="宋体" w:hAnsi="宋体" w:cs="宋体"/>
          <w:color w:val="auto"/>
          <w:sz w:val="24"/>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spacing w:line="380" w:lineRule="exact"/>
        <w:rPr>
          <w:rFonts w:ascii="宋体" w:hAnsi="宋体" w:cs="宋体"/>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80" w:lineRule="exact"/>
        <w:ind w:right="640" w:firstLine="1560" w:firstLineChars="650"/>
        <w:rPr>
          <w:rFonts w:ascii="宋体" w:hAnsi="宋体" w:cs="宋体"/>
          <w:color w:val="auto"/>
          <w:sz w:val="24"/>
          <w:highlight w:val="none"/>
        </w:rPr>
      </w:pPr>
    </w:p>
    <w:p>
      <w:pPr>
        <w:spacing w:line="380" w:lineRule="exact"/>
        <w:ind w:right="640" w:firstLine="4680" w:firstLineChars="1950"/>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格式7    合格供应商的声明函和承诺书</w:t>
      </w:r>
    </w:p>
    <w:p>
      <w:pPr>
        <w:spacing w:line="360" w:lineRule="auto"/>
        <w:rPr>
          <w:rFonts w:ascii="宋体" w:hAnsi="宋体" w:cs="宋体"/>
          <w:color w:val="auto"/>
          <w:sz w:val="24"/>
          <w:highlight w:val="none"/>
        </w:rPr>
      </w:pPr>
    </w:p>
    <w:p>
      <w:pPr>
        <w:spacing w:line="360" w:lineRule="auto"/>
        <w:jc w:val="center"/>
        <w:rPr>
          <w:rFonts w:ascii="宋体" w:hAnsi="宋体" w:cs="宋体"/>
          <w:b/>
          <w:bCs/>
          <w:color w:val="auto"/>
          <w:sz w:val="24"/>
          <w:highlight w:val="none"/>
        </w:rPr>
      </w:pPr>
    </w:p>
    <w:p>
      <w:pPr>
        <w:pStyle w:val="41"/>
        <w:rPr>
          <w:color w:val="auto"/>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jc w:val="center"/>
        <w:rPr>
          <w:rFonts w:ascii="宋体" w:hAnsi="宋体" w:cs="宋体"/>
          <w:b/>
          <w:color w:val="auto"/>
          <w:sz w:val="24"/>
          <w:highlight w:val="none"/>
        </w:rPr>
      </w:pPr>
    </w:p>
    <w:p>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pPr>
        <w:spacing w:line="380" w:lineRule="exact"/>
        <w:ind w:right="640" w:firstLine="1560" w:firstLineChars="650"/>
        <w:rPr>
          <w:rFonts w:ascii="宋体" w:hAnsi="宋体" w:cs="宋体"/>
          <w:color w:val="auto"/>
          <w:sz w:val="24"/>
          <w:highlight w:val="none"/>
        </w:rPr>
      </w:pPr>
    </w:p>
    <w:p>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pPr>
        <w:spacing w:line="360" w:lineRule="auto"/>
        <w:rPr>
          <w:rFonts w:ascii="宋体" w:hAnsi="宋体" w:cs="宋体"/>
          <w:color w:val="auto"/>
          <w:sz w:val="24"/>
          <w:highlight w:val="none"/>
        </w:rPr>
      </w:pPr>
    </w:p>
    <w:p>
      <w:pPr>
        <w:spacing w:line="360" w:lineRule="auto"/>
        <w:rPr>
          <w:rFonts w:ascii="宋体" w:hAnsi="宋体" w:cs="宋体"/>
          <w:color w:val="auto"/>
          <w:sz w:val="24"/>
          <w:highlight w:val="none"/>
        </w:rPr>
      </w:pPr>
    </w:p>
    <w:p>
      <w:pPr>
        <w:spacing w:line="360" w:lineRule="auto"/>
        <w:rPr>
          <w:rFonts w:ascii="宋体" w:hAnsi="宋体" w:cs="宋体"/>
          <w:color w:val="auto"/>
          <w:sz w:val="24"/>
          <w:highlight w:val="none"/>
        </w:rPr>
      </w:pPr>
    </w:p>
    <w:p>
      <w:pPr>
        <w:spacing w:line="360" w:lineRule="auto"/>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p>
    <w:p>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格式8   中小企业声明函（工程、服务）</w:t>
      </w:r>
    </w:p>
    <w:p>
      <w:pPr>
        <w:spacing w:line="360" w:lineRule="auto"/>
        <w:rPr>
          <w:b/>
          <w:bCs/>
          <w:color w:val="auto"/>
          <w:sz w:val="32"/>
          <w:szCs w:val="32"/>
          <w:highlight w:val="none"/>
        </w:rPr>
      </w:pP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xml:space="preserve">； 承建（承接）企业为（企业名称），从业人员人，营业收入为万元，资产总额为万元1，属于（中型企业、小型企业、微型企业）；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，从业人员人，营业收入为万元，资产总额为万元，属于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企业名称（盖章）：</w:t>
      </w:r>
    </w:p>
    <w:p>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日 期：</w:t>
      </w:r>
    </w:p>
    <w:p>
      <w:pPr>
        <w:pStyle w:val="41"/>
        <w:rPr>
          <w:color w:val="auto"/>
          <w:highlight w:val="none"/>
        </w:rPr>
      </w:pPr>
    </w:p>
    <w:p>
      <w:pPr>
        <w:pStyle w:val="6"/>
        <w:rPr>
          <w:rFonts w:ascii="宋体" w:hAnsi="宋体" w:eastAsia="宋体" w:cs="宋体"/>
          <w:color w:val="auto"/>
          <w:sz w:val="24"/>
          <w:highlight w:val="none"/>
        </w:rPr>
      </w:pPr>
    </w:p>
    <w:p>
      <w:pPr>
        <w:rPr>
          <w:rFonts w:ascii="宋体" w:hAnsi="宋体" w:cs="宋体"/>
          <w:color w:val="auto"/>
          <w:sz w:val="24"/>
          <w:highlight w:val="none"/>
        </w:rPr>
      </w:pPr>
    </w:p>
    <w:p>
      <w:pPr>
        <w:pStyle w:val="41"/>
        <w:rPr>
          <w:color w:val="auto"/>
          <w:highlight w:val="none"/>
        </w:rPr>
      </w:pPr>
    </w:p>
    <w:p>
      <w:pPr>
        <w:pStyle w:val="6"/>
        <w:rPr>
          <w:color w:val="auto"/>
          <w:highlight w:val="none"/>
        </w:rPr>
      </w:pPr>
    </w:p>
    <w:p>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pPr>
        <w:numPr>
          <w:ilvl w:val="0"/>
          <w:numId w:val="4"/>
        </w:numPr>
        <w:spacing w:line="360" w:lineRule="auto"/>
        <w:ind w:firstLine="420" w:firstLineChars="200"/>
        <w:rPr>
          <w:color w:val="auto"/>
          <w:highlight w:val="none"/>
        </w:rPr>
      </w:pPr>
      <w:r>
        <w:rPr>
          <w:rFonts w:hint="eastAsia"/>
          <w:color w:val="auto"/>
          <w:highlight w:val="none"/>
        </w:rPr>
        <w:t>本项目如是只面向中小企业采购的应当必须提供。</w:t>
      </w:r>
    </w:p>
    <w:p>
      <w:pPr>
        <w:spacing w:line="360" w:lineRule="auto"/>
        <w:jc w:val="center"/>
        <w:rPr>
          <w:rFonts w:ascii="宋体" w:hAnsi="宋体" w:cs="宋体"/>
          <w:b/>
          <w:bCs/>
          <w:color w:val="auto"/>
          <w:sz w:val="24"/>
          <w:highlight w:val="none"/>
        </w:rPr>
      </w:pPr>
    </w:p>
    <w:p>
      <w:pPr>
        <w:pStyle w:val="2"/>
        <w:rPr>
          <w:color w:val="auto"/>
          <w:highlight w:val="none"/>
        </w:rPr>
      </w:pPr>
    </w:p>
    <w:p>
      <w:pPr>
        <w:spacing w:line="360" w:lineRule="auto"/>
        <w:jc w:val="center"/>
        <w:rPr>
          <w:rFonts w:ascii="宋体" w:hAnsi="宋体" w:cs="宋体"/>
          <w:b/>
          <w:bCs/>
          <w:color w:val="auto"/>
          <w:sz w:val="24"/>
          <w:highlight w:val="none"/>
        </w:rPr>
      </w:pPr>
    </w:p>
    <w:p>
      <w:pPr>
        <w:pStyle w:val="41"/>
        <w:rPr>
          <w:color w:val="auto"/>
          <w:highlight w:val="none"/>
        </w:rPr>
      </w:pPr>
    </w:p>
    <w:p>
      <w:pPr>
        <w:pStyle w:val="6"/>
        <w:rPr>
          <w:color w:val="auto"/>
          <w:highlight w:val="none"/>
        </w:rPr>
      </w:pPr>
    </w:p>
    <w:p>
      <w:pPr>
        <w:spacing w:line="360" w:lineRule="auto"/>
        <w:rPr>
          <w:rFonts w:ascii="宋体" w:hAnsi="宋体" w:cs="宋体"/>
          <w:color w:val="auto"/>
          <w:sz w:val="24"/>
          <w:highlight w:val="none"/>
        </w:rPr>
      </w:pPr>
      <w:r>
        <w:rPr>
          <w:rFonts w:hint="eastAsia" w:ascii="宋体" w:hAnsi="宋体" w:cs="宋体"/>
          <w:color w:val="auto"/>
          <w:sz w:val="24"/>
          <w:highlight w:val="none"/>
        </w:rPr>
        <w:t>格式9  其他资料</w:t>
      </w:r>
    </w:p>
    <w:p>
      <w:pPr>
        <w:spacing w:line="360" w:lineRule="auto"/>
        <w:rPr>
          <w:rFonts w:ascii="宋体" w:hAnsi="宋体" w:cs="宋体"/>
          <w:color w:val="auto"/>
          <w:sz w:val="24"/>
          <w:highlight w:val="none"/>
        </w:rPr>
      </w:pPr>
    </w:p>
    <w:p>
      <w:pPr>
        <w:spacing w:line="360" w:lineRule="auto"/>
        <w:rPr>
          <w:color w:val="auto"/>
          <w:highlight w:val="none"/>
        </w:rPr>
      </w:pPr>
      <w:r>
        <w:rPr>
          <w:rFonts w:hint="eastAsia" w:ascii="宋体" w:hAnsi="宋体" w:cs="宋体"/>
          <w:color w:val="auto"/>
          <w:sz w:val="24"/>
          <w:highlight w:val="none"/>
        </w:rPr>
        <w:t>格式10</w:t>
      </w:r>
    </w:p>
    <w:p>
      <w:pPr>
        <w:spacing w:line="380" w:lineRule="exact"/>
        <w:jc w:val="center"/>
        <w:rPr>
          <w:rStyle w:val="70"/>
          <w:rFonts w:ascii="宋体"/>
          <w:b/>
          <w:bCs/>
          <w:color w:val="auto"/>
          <w:sz w:val="28"/>
          <w:szCs w:val="28"/>
          <w:highlight w:val="none"/>
        </w:rPr>
      </w:pPr>
      <w:r>
        <w:rPr>
          <w:rStyle w:val="70"/>
          <w:rFonts w:hint="eastAsia" w:ascii="宋体" w:hAnsi="宋体" w:cs="宋体"/>
          <w:b/>
          <w:bCs/>
          <w:color w:val="auto"/>
          <w:sz w:val="28"/>
          <w:szCs w:val="28"/>
          <w:highlight w:val="none"/>
        </w:rPr>
        <w:t>政府采购供应商诚信承诺书</w:t>
      </w:r>
    </w:p>
    <w:p>
      <w:pPr>
        <w:spacing w:line="380" w:lineRule="exact"/>
        <w:jc w:val="center"/>
        <w:rPr>
          <w:rStyle w:val="70"/>
          <w:rFonts w:ascii="宋体"/>
          <w:b/>
          <w:bCs/>
          <w:color w:val="auto"/>
          <w:sz w:val="24"/>
          <w:highlight w:val="none"/>
        </w:rPr>
      </w:pPr>
    </w:p>
    <w:p>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pPr>
        <w:spacing w:line="380" w:lineRule="exact"/>
        <w:ind w:firstLine="3360" w:firstLineChars="1400"/>
        <w:rPr>
          <w:rFonts w:ascii="宋体" w:hAnsi="宋体" w:cs="宋体"/>
          <w:color w:val="auto"/>
          <w:sz w:val="24"/>
          <w:highlight w:val="none"/>
        </w:rPr>
      </w:pPr>
    </w:p>
    <w:p>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法定代表人：（签字）</w:t>
      </w:r>
    </w:p>
    <w:p>
      <w:pPr>
        <w:spacing w:line="380" w:lineRule="exact"/>
        <w:ind w:firstLine="3360" w:firstLineChars="1400"/>
        <w:rPr>
          <w:rFonts w:ascii="宋体" w:hAnsi="宋体" w:cs="宋体"/>
          <w:color w:val="auto"/>
          <w:sz w:val="24"/>
          <w:highlight w:val="none"/>
        </w:rPr>
      </w:pPr>
    </w:p>
    <w:p>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pPr>
        <w:pStyle w:val="4"/>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pPr>
        <w:ind w:firstLine="640" w:firstLineChars="200"/>
        <w:rPr>
          <w:rFonts w:ascii="宋体" w:hAnsi="宋体" w:cs="宋体"/>
          <w:color w:val="auto"/>
          <w:sz w:val="32"/>
          <w:szCs w:val="32"/>
          <w:highlight w:val="none"/>
        </w:rPr>
      </w:pPr>
    </w:p>
    <w:p>
      <w:pPr>
        <w:pStyle w:val="83"/>
        <w:spacing w:beforeLines="0" w:afterLines="0"/>
        <w:ind w:left="0" w:firstLine="640" w:firstLineChars="200"/>
        <w:rPr>
          <w:rFonts w:ascii="宋体" w:hAnsi="宋体" w:cs="宋体"/>
          <w:color w:val="auto"/>
          <w:sz w:val="32"/>
          <w:szCs w:val="32"/>
          <w:highlight w:val="none"/>
        </w:rPr>
      </w:pPr>
    </w:p>
    <w:p>
      <w:pPr>
        <w:pStyle w:val="83"/>
        <w:spacing w:beforeLines="0" w:afterLines="0"/>
        <w:ind w:left="0" w:firstLine="640" w:firstLineChars="200"/>
        <w:rPr>
          <w:rFonts w:ascii="宋体" w:hAnsi="宋体" w:cs="宋体"/>
          <w:color w:val="auto"/>
          <w:sz w:val="32"/>
          <w:szCs w:val="32"/>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pPr>
        <w:pStyle w:val="83"/>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pPr>
        <w:pStyle w:val="83"/>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pPr>
        <w:pStyle w:val="83"/>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pPr>
        <w:pStyle w:val="83"/>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pPr>
        <w:pStyle w:val="83"/>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ind w:left="0" w:firstLine="600" w:firstLineChars="200"/>
        <w:rPr>
          <w:rFonts w:ascii="宋体" w:hAnsi="宋体" w:cs="宋体"/>
          <w:color w:val="auto"/>
          <w:sz w:val="30"/>
          <w:szCs w:val="30"/>
          <w:highlight w:val="none"/>
        </w:rPr>
      </w:pPr>
    </w:p>
    <w:p>
      <w:pPr>
        <w:pStyle w:val="83"/>
        <w:spacing w:beforeLines="0" w:afterLines="0" w:line="440" w:lineRule="exact"/>
        <w:ind w:left="0"/>
        <w:jc w:val="center"/>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pPr>
        <w:pStyle w:val="83"/>
        <w:spacing w:beforeLines="0" w:afterLines="0" w:line="440" w:lineRule="exact"/>
        <w:ind w:left="0"/>
        <w:rPr>
          <w:rFonts w:ascii="宋体" w:hAnsi="宋体" w:cs="宋体"/>
          <w:color w:val="auto"/>
          <w:sz w:val="30"/>
          <w:szCs w:val="30"/>
          <w:highlight w:val="none"/>
        </w:rPr>
      </w:pP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pPr>
        <w:pStyle w:val="83"/>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pPr>
        <w:pStyle w:val="83"/>
        <w:spacing w:beforeLines="0" w:afterLines="0" w:line="440" w:lineRule="exact"/>
        <w:ind w:left="0"/>
        <w:jc w:val="center"/>
        <w:rPr>
          <w:rFonts w:ascii="宋体" w:hAnsi="宋体" w:cs="宋体"/>
          <w:bCs/>
          <w:color w:val="auto"/>
          <w:sz w:val="32"/>
          <w:szCs w:val="32"/>
          <w:highlight w:val="none"/>
        </w:rPr>
      </w:pPr>
    </w:p>
    <w:p>
      <w:pPr>
        <w:pStyle w:val="83"/>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pPr>
        <w:pStyle w:val="83"/>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pPr>
        <w:pStyle w:val="83"/>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pPr>
        <w:pStyle w:val="4"/>
        <w:spacing w:line="500" w:lineRule="exact"/>
        <w:jc w:val="both"/>
        <w:rPr>
          <w:rFonts w:ascii="宋体" w:hAnsi="宋体" w:cs="宋体"/>
          <w:color w:val="auto"/>
          <w:sz w:val="21"/>
          <w:szCs w:val="21"/>
          <w:highlight w:val="none"/>
        </w:rPr>
      </w:pPr>
    </w:p>
    <w:p>
      <w:pPr>
        <w:pStyle w:val="4"/>
        <w:spacing w:line="500" w:lineRule="exact"/>
        <w:rPr>
          <w:rFonts w:hint="eastAsia" w:ascii="宋体" w:hAnsi="宋体" w:cs="宋体"/>
          <w:color w:val="auto"/>
          <w:sz w:val="44"/>
          <w:szCs w:val="44"/>
          <w:highlight w:val="none"/>
        </w:rPr>
      </w:pPr>
    </w:p>
    <w:p>
      <w:pPr>
        <w:pStyle w:val="4"/>
        <w:spacing w:line="500" w:lineRule="exact"/>
        <w:rPr>
          <w:rFonts w:hint="eastAsia" w:ascii="宋体" w:hAnsi="宋体" w:cs="宋体"/>
          <w:color w:val="auto"/>
          <w:sz w:val="44"/>
          <w:szCs w:val="44"/>
          <w:highlight w:val="none"/>
        </w:rPr>
      </w:pPr>
    </w:p>
    <w:p>
      <w:pPr>
        <w:pStyle w:val="4"/>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pPr>
        <w:spacing w:line="360" w:lineRule="auto"/>
        <w:ind w:firstLine="420" w:firstLineChars="200"/>
        <w:rPr>
          <w:rFonts w:ascii="宋体" w:hAnsi="宋体" w:cs="宋体"/>
          <w:color w:val="auto"/>
          <w:szCs w:val="27"/>
          <w:highlight w:val="none"/>
        </w:rPr>
      </w:pP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财政委托号：(财政资金项目必须填写)</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采购方式，经本项目评审委员会认真评审，决定将采购合同授予乙方。为进一步明确双方的责任，确保合同的顺利履行，根据《中华人民共和国采购法法》、《中华人民共和国民法典》之规定，经甲乙双方充分协商，特订立本合同，以便共同遵守。</w:t>
      </w:r>
    </w:p>
    <w:p>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p>
        </w:tc>
        <w:tc>
          <w:tcPr>
            <w:tcW w:w="1623"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1071" w:type="dxa"/>
          </w:tcPr>
          <w:p>
            <w:pPr>
              <w:spacing w:line="360" w:lineRule="auto"/>
              <w:ind w:firstLine="420" w:firstLineChars="200"/>
              <w:rPr>
                <w:rFonts w:ascii="宋体" w:hAnsi="宋体" w:cs="宋体"/>
                <w:color w:val="auto"/>
                <w:highlight w:val="none"/>
              </w:rPr>
            </w:pPr>
          </w:p>
        </w:tc>
        <w:tc>
          <w:tcPr>
            <w:tcW w:w="1250" w:type="dxa"/>
          </w:tcPr>
          <w:p>
            <w:pPr>
              <w:spacing w:line="360" w:lineRule="auto"/>
              <w:ind w:firstLine="420" w:firstLineChars="200"/>
              <w:rPr>
                <w:rFonts w:ascii="宋体" w:hAnsi="宋体" w:cs="宋体"/>
                <w:color w:val="auto"/>
                <w:highlight w:val="none"/>
              </w:rPr>
            </w:pPr>
          </w:p>
        </w:tc>
        <w:tc>
          <w:tcPr>
            <w:tcW w:w="1106" w:type="dxa"/>
          </w:tcPr>
          <w:p>
            <w:pPr>
              <w:spacing w:line="360" w:lineRule="auto"/>
              <w:ind w:firstLine="420" w:firstLineChars="200"/>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p>
        </w:tc>
        <w:tc>
          <w:tcPr>
            <w:tcW w:w="1623"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1071" w:type="dxa"/>
          </w:tcPr>
          <w:p>
            <w:pPr>
              <w:spacing w:line="360" w:lineRule="auto"/>
              <w:ind w:firstLine="420" w:firstLineChars="200"/>
              <w:rPr>
                <w:rFonts w:ascii="宋体" w:hAnsi="宋体" w:cs="宋体"/>
                <w:color w:val="auto"/>
                <w:highlight w:val="none"/>
              </w:rPr>
            </w:pPr>
          </w:p>
        </w:tc>
        <w:tc>
          <w:tcPr>
            <w:tcW w:w="1250" w:type="dxa"/>
          </w:tcPr>
          <w:p>
            <w:pPr>
              <w:spacing w:line="360" w:lineRule="auto"/>
              <w:ind w:firstLine="420" w:firstLineChars="200"/>
              <w:rPr>
                <w:rFonts w:ascii="宋体" w:hAnsi="宋体" w:cs="宋体"/>
                <w:color w:val="auto"/>
                <w:highlight w:val="none"/>
              </w:rPr>
            </w:pPr>
          </w:p>
        </w:tc>
        <w:tc>
          <w:tcPr>
            <w:tcW w:w="1106" w:type="dxa"/>
          </w:tcPr>
          <w:p>
            <w:pPr>
              <w:spacing w:line="360" w:lineRule="auto"/>
              <w:ind w:firstLine="420" w:firstLineChars="200"/>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color w:val="auto"/>
                <w:highlight w:val="none"/>
              </w:rPr>
            </w:pPr>
          </w:p>
        </w:tc>
        <w:tc>
          <w:tcPr>
            <w:tcW w:w="1623"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902" w:type="dxa"/>
          </w:tcPr>
          <w:p>
            <w:pPr>
              <w:spacing w:line="360" w:lineRule="auto"/>
              <w:ind w:firstLine="420" w:firstLineChars="200"/>
              <w:rPr>
                <w:rFonts w:ascii="宋体" w:hAnsi="宋体" w:cs="宋体"/>
                <w:color w:val="auto"/>
                <w:highlight w:val="none"/>
              </w:rPr>
            </w:pPr>
          </w:p>
        </w:tc>
        <w:tc>
          <w:tcPr>
            <w:tcW w:w="1071" w:type="dxa"/>
          </w:tcPr>
          <w:p>
            <w:pPr>
              <w:spacing w:line="360" w:lineRule="auto"/>
              <w:ind w:firstLine="420" w:firstLineChars="200"/>
              <w:rPr>
                <w:rFonts w:ascii="宋体" w:hAnsi="宋体" w:cs="宋体"/>
                <w:color w:val="auto"/>
                <w:highlight w:val="none"/>
              </w:rPr>
            </w:pPr>
          </w:p>
        </w:tc>
        <w:tc>
          <w:tcPr>
            <w:tcW w:w="1250" w:type="dxa"/>
          </w:tcPr>
          <w:p>
            <w:pPr>
              <w:spacing w:line="360" w:lineRule="auto"/>
              <w:ind w:firstLine="420" w:firstLineChars="200"/>
              <w:rPr>
                <w:rFonts w:ascii="宋体" w:hAnsi="宋体" w:cs="宋体"/>
                <w:color w:val="auto"/>
                <w:highlight w:val="none"/>
              </w:rPr>
            </w:pPr>
          </w:p>
        </w:tc>
        <w:tc>
          <w:tcPr>
            <w:tcW w:w="1106" w:type="dxa"/>
          </w:tcPr>
          <w:p>
            <w:pPr>
              <w:spacing w:line="360" w:lineRule="auto"/>
              <w:ind w:firstLine="420" w:firstLineChars="200"/>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pPr>
        <w:pStyle w:val="10"/>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pPr>
        <w:pStyle w:val="10"/>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pPr>
        <w:pStyle w:val="3"/>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第六条  验收方法</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pPr>
        <w:pStyle w:val="3"/>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2.若确需质量保证金的，质量保证金不得超过合同总价款的5%</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pPr>
        <w:pStyle w:val="3"/>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1、甲方有权对合同规定范围内乙方的行为进行监督和检查，拥有监管权。对甲方认为不合理的部分有权下达整改通知书，并要求乙方限期整改。</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3、及时向甲方通告本项目服务范围内有关服务的重大事项，及时配合处理问题。</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pPr>
        <w:pStyle w:val="10"/>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pPr>
        <w:pStyle w:val="3"/>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3"/>
        <w:kinsoku w:val="0"/>
        <w:overflowPunct w:val="0"/>
        <w:ind w:firstLine="422" w:firstLineChars="200"/>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pPr>
        <w:pStyle w:val="3"/>
        <w:kinsoku w:val="0"/>
        <w:overflowPunct w:val="0"/>
        <w:ind w:firstLine="420" w:firstLineChars="200"/>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第十七条 其他</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color w:val="auto"/>
          <w:szCs w:val="27"/>
          <w:highlight w:val="none"/>
        </w:rPr>
      </w:pPr>
      <w:r>
        <w:rPr>
          <w:rFonts w:hint="eastAsia" w:ascii="宋体" w:hAnsi="宋体" w:cs="宋体"/>
          <w:color w:val="auto"/>
          <w:highlight w:val="none"/>
        </w:rPr>
        <w:t>本合同一式份，甲乙双方各执份，自双方当事人签字盖章之日起生效。</w:t>
      </w:r>
    </w:p>
    <w:p>
      <w:pPr>
        <w:spacing w:line="360" w:lineRule="auto"/>
        <w:ind w:firstLine="420" w:firstLineChars="200"/>
        <w:rPr>
          <w:rFonts w:ascii="宋体" w:hAnsi="宋体" w:cs="宋体"/>
          <w:color w:val="auto"/>
          <w:szCs w:val="27"/>
          <w:highlight w:val="none"/>
        </w:rPr>
      </w:pPr>
    </w:p>
    <w:p>
      <w:pPr>
        <w:pStyle w:val="38"/>
        <w:ind w:firstLine="210"/>
        <w:rPr>
          <w:rFonts w:ascii="宋体" w:hAnsi="宋体" w:cs="宋体"/>
          <w:color w:val="auto"/>
          <w:highlight w:val="none"/>
        </w:rPr>
      </w:pP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pPr>
        <w:spacing w:line="640" w:lineRule="exact"/>
        <w:ind w:firstLine="420" w:firstLineChars="200"/>
        <w:rPr>
          <w:rFonts w:ascii="宋体" w:hAnsi="宋体" w:cs="宋体"/>
          <w:color w:val="auto"/>
          <w:szCs w:val="27"/>
          <w:highlight w:val="none"/>
          <w:u w:val="single"/>
        </w:rPr>
      </w:pPr>
    </w:p>
    <w:p>
      <w:pPr>
        <w:pStyle w:val="38"/>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p>
    <w:p>
      <w:pPr>
        <w:pStyle w:val="38"/>
        <w:ind w:firstLine="321"/>
        <w:jc w:val="center"/>
        <w:rPr>
          <w:b/>
          <w:color w:val="auto"/>
          <w:sz w:val="32"/>
          <w:szCs w:val="32"/>
          <w:highlight w:val="none"/>
        </w:rPr>
      </w:pPr>
      <w:r>
        <w:rPr>
          <w:rFonts w:hint="eastAsia"/>
          <w:b/>
          <w:color w:val="auto"/>
          <w:sz w:val="32"/>
          <w:szCs w:val="32"/>
          <w:highlight w:val="none"/>
        </w:rPr>
        <w:t>周口市政府采购合同融资政策告知函</w:t>
      </w:r>
    </w:p>
    <w:p>
      <w:pPr>
        <w:pStyle w:val="38"/>
        <w:ind w:firstLine="240"/>
        <w:rPr>
          <w:rFonts w:asciiTheme="minorEastAsia" w:hAnsiTheme="minorEastAsia" w:eastAsiaTheme="minorEastAsia"/>
          <w:color w:val="auto"/>
          <w:sz w:val="24"/>
          <w:highlight w:val="none"/>
        </w:rPr>
      </w:pPr>
    </w:p>
    <w:p>
      <w:pPr>
        <w:pStyle w:val="38"/>
        <w:ind w:firstLine="240"/>
        <w:rPr>
          <w:rFonts w:asciiTheme="minorEastAsia" w:hAnsiTheme="minorEastAsia" w:eastAsiaTheme="minorEastAsia"/>
          <w:color w:val="auto"/>
          <w:sz w:val="24"/>
          <w:highlight w:val="none"/>
        </w:rPr>
      </w:pPr>
    </w:p>
    <w:p>
      <w:pPr>
        <w:pStyle w:val="38"/>
        <w:ind w:firstLine="240"/>
        <w:rPr>
          <w:rFonts w:asciiTheme="minorEastAsia" w:hAnsiTheme="minorEastAsia" w:eastAsiaTheme="minorEastAsia"/>
          <w:color w:val="auto"/>
          <w:sz w:val="24"/>
          <w:highlight w:val="none"/>
        </w:rPr>
      </w:pPr>
    </w:p>
    <w:p>
      <w:pPr>
        <w:pStyle w:val="38"/>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pPr>
        <w:pStyle w:val="38"/>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pPr>
        <w:pStyle w:val="38"/>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8"/>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24"/>
        <w:spacing w:before="0" w:beforeAutospacing="0" w:after="0" w:afterAutospacing="0" w:line="330" w:lineRule="atLeast"/>
        <w:rPr>
          <w:rFonts w:cs="仿宋_GB2312"/>
          <w:b/>
          <w:bCs/>
          <w:color w:val="auto"/>
          <w:sz w:val="21"/>
          <w:szCs w:val="21"/>
          <w:highlight w:val="none"/>
        </w:rPr>
      </w:pPr>
    </w:p>
    <w:p>
      <w:pPr>
        <w:pStyle w:val="38"/>
        <w:ind w:firstLine="210"/>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roman"/>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Text Box 1026"/>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17"/>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Text Box 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4vdRNAAAAACAQAADwAAAAAAAAABACAAAAAiAAAAZHJzL2Rvd25yZXYueG1sUEsB&#10;AhQAFAAAAAgAh07iQC7Cigz9AQAAAwQAAA4AAAAAAAAAAQAgAAAAHwEAAGRycy9lMm9Eb2MueG1s&#10;UEsFBgAAAAAGAAYAWQEAAI4FAAAAAA==&#10;">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17"/>
                          </w:pPr>
                          <w:r>
                            <w:fldChar w:fldCharType="begin"/>
                          </w:r>
                          <w:r>
                            <w:instrText xml:space="preserve"> PAGE  \* MERGEFORMAT </w:instrText>
                          </w:r>
                          <w:r>
                            <w:fldChar w:fldCharType="separate"/>
                          </w:r>
                          <w:r>
                            <w:t>22</w:t>
                          </w:r>
                          <w:r>
                            <w:fldChar w:fldCharType="end"/>
                          </w:r>
                        </w:p>
                      </w:txbxContent>
                    </wps:txbx>
                    <wps:bodyPr rot="0" vert="horz" wrap="none" lIns="0" tIns="0" rIns="0" bIns="0" anchor="t" anchorCtr="0" upright="1">
                      <a:spAutoFit/>
                    </wps:bodyPr>
                  </wps:wsp>
                </a:graphicData>
              </a:graphic>
            </wp:anchor>
          </w:drawing>
        </mc:Choice>
        <mc:Fallback>
          <w:pict>
            <v:shape id="Text Box 1027"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D5X5J0AAAAAMBAAAPAAAAAAAAAAEAIAAAACIAAABkcnMvZG93bnJldi54bWxQSwEC&#10;FAAUAAAACACHTuJADOzysvwBAAAEBAAADgAAAAAAAAABACAAAAAfAQAAZHJzL2Uyb0RvYy54bWxQ&#10;SwUGAAAAAAYABgBZAQAAjQUAAAAA&#10;">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384D"/>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2169"/>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E5680"/>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C68E0"/>
    <w:rsid w:val="002D2A87"/>
    <w:rsid w:val="002D2DA6"/>
    <w:rsid w:val="002D6658"/>
    <w:rsid w:val="002D6811"/>
    <w:rsid w:val="002D7BB8"/>
    <w:rsid w:val="002E3325"/>
    <w:rsid w:val="002F3064"/>
    <w:rsid w:val="00300BC8"/>
    <w:rsid w:val="00304C09"/>
    <w:rsid w:val="00305A4B"/>
    <w:rsid w:val="00310CDB"/>
    <w:rsid w:val="00315AD3"/>
    <w:rsid w:val="00322F75"/>
    <w:rsid w:val="0032356A"/>
    <w:rsid w:val="003279A7"/>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6B2C"/>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458B"/>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1D20"/>
    <w:rsid w:val="005429D6"/>
    <w:rsid w:val="005507A4"/>
    <w:rsid w:val="0055617B"/>
    <w:rsid w:val="00556822"/>
    <w:rsid w:val="00557571"/>
    <w:rsid w:val="00570923"/>
    <w:rsid w:val="005745F5"/>
    <w:rsid w:val="00575B7A"/>
    <w:rsid w:val="00576301"/>
    <w:rsid w:val="005812D3"/>
    <w:rsid w:val="005839B0"/>
    <w:rsid w:val="00586720"/>
    <w:rsid w:val="0058696C"/>
    <w:rsid w:val="00595DDF"/>
    <w:rsid w:val="005A0AEF"/>
    <w:rsid w:val="005A1487"/>
    <w:rsid w:val="005A5948"/>
    <w:rsid w:val="005A60F7"/>
    <w:rsid w:val="005B0990"/>
    <w:rsid w:val="005B3A63"/>
    <w:rsid w:val="005B7620"/>
    <w:rsid w:val="005C1D65"/>
    <w:rsid w:val="005C3659"/>
    <w:rsid w:val="005C4554"/>
    <w:rsid w:val="005C627C"/>
    <w:rsid w:val="005D1CE5"/>
    <w:rsid w:val="005D40FE"/>
    <w:rsid w:val="005D69B1"/>
    <w:rsid w:val="005D6ACD"/>
    <w:rsid w:val="005D71B0"/>
    <w:rsid w:val="005E0004"/>
    <w:rsid w:val="005E260C"/>
    <w:rsid w:val="005E43B1"/>
    <w:rsid w:val="005F3DC5"/>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3A02"/>
    <w:rsid w:val="00664807"/>
    <w:rsid w:val="00665625"/>
    <w:rsid w:val="00666A24"/>
    <w:rsid w:val="00671CF7"/>
    <w:rsid w:val="00676B60"/>
    <w:rsid w:val="0067790A"/>
    <w:rsid w:val="006828EF"/>
    <w:rsid w:val="00683330"/>
    <w:rsid w:val="00685DDD"/>
    <w:rsid w:val="00690481"/>
    <w:rsid w:val="00690661"/>
    <w:rsid w:val="00692E2F"/>
    <w:rsid w:val="006A0D22"/>
    <w:rsid w:val="006A1EA6"/>
    <w:rsid w:val="006A3E62"/>
    <w:rsid w:val="006A4ACB"/>
    <w:rsid w:val="006B09AC"/>
    <w:rsid w:val="006B3C32"/>
    <w:rsid w:val="006B41DC"/>
    <w:rsid w:val="006B70D2"/>
    <w:rsid w:val="006C1791"/>
    <w:rsid w:val="006C631F"/>
    <w:rsid w:val="006D09EA"/>
    <w:rsid w:val="006E235F"/>
    <w:rsid w:val="006E3FE7"/>
    <w:rsid w:val="006E430F"/>
    <w:rsid w:val="006E6A04"/>
    <w:rsid w:val="006F3DCD"/>
    <w:rsid w:val="006F61CD"/>
    <w:rsid w:val="006F68AD"/>
    <w:rsid w:val="00702C0E"/>
    <w:rsid w:val="00706198"/>
    <w:rsid w:val="00711A4A"/>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0539"/>
    <w:rsid w:val="007A0E15"/>
    <w:rsid w:val="007A1F1A"/>
    <w:rsid w:val="007A6607"/>
    <w:rsid w:val="007B22A9"/>
    <w:rsid w:val="007B26AB"/>
    <w:rsid w:val="007B4523"/>
    <w:rsid w:val="007B6E12"/>
    <w:rsid w:val="007C2E93"/>
    <w:rsid w:val="007C4817"/>
    <w:rsid w:val="007C5B30"/>
    <w:rsid w:val="007C66B3"/>
    <w:rsid w:val="007D68B2"/>
    <w:rsid w:val="007E1DC9"/>
    <w:rsid w:val="007E360B"/>
    <w:rsid w:val="007E4794"/>
    <w:rsid w:val="007F0C7B"/>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3BB6"/>
    <w:rsid w:val="008D4262"/>
    <w:rsid w:val="008D565A"/>
    <w:rsid w:val="008D666A"/>
    <w:rsid w:val="008E0610"/>
    <w:rsid w:val="008E4432"/>
    <w:rsid w:val="008F025C"/>
    <w:rsid w:val="008F0C14"/>
    <w:rsid w:val="008F3065"/>
    <w:rsid w:val="008F3DC2"/>
    <w:rsid w:val="009002BC"/>
    <w:rsid w:val="00900C46"/>
    <w:rsid w:val="00905099"/>
    <w:rsid w:val="009141DA"/>
    <w:rsid w:val="0091594C"/>
    <w:rsid w:val="0091644E"/>
    <w:rsid w:val="009202CA"/>
    <w:rsid w:val="00923FD9"/>
    <w:rsid w:val="0092553D"/>
    <w:rsid w:val="00925D64"/>
    <w:rsid w:val="0093017D"/>
    <w:rsid w:val="00931C19"/>
    <w:rsid w:val="00933328"/>
    <w:rsid w:val="00933FF5"/>
    <w:rsid w:val="009357CD"/>
    <w:rsid w:val="0094012B"/>
    <w:rsid w:val="009405C8"/>
    <w:rsid w:val="00945398"/>
    <w:rsid w:val="00950DCC"/>
    <w:rsid w:val="009563B8"/>
    <w:rsid w:val="00960BF8"/>
    <w:rsid w:val="00965C62"/>
    <w:rsid w:val="0097211C"/>
    <w:rsid w:val="00973CCF"/>
    <w:rsid w:val="00973CFC"/>
    <w:rsid w:val="00981EA7"/>
    <w:rsid w:val="009826D9"/>
    <w:rsid w:val="009833E8"/>
    <w:rsid w:val="00985B87"/>
    <w:rsid w:val="00986993"/>
    <w:rsid w:val="00994E2B"/>
    <w:rsid w:val="009A5B59"/>
    <w:rsid w:val="009B640D"/>
    <w:rsid w:val="009C1641"/>
    <w:rsid w:val="009C1815"/>
    <w:rsid w:val="009C1E45"/>
    <w:rsid w:val="009C4A93"/>
    <w:rsid w:val="009D02F1"/>
    <w:rsid w:val="009D1DF4"/>
    <w:rsid w:val="009D26B5"/>
    <w:rsid w:val="009D2780"/>
    <w:rsid w:val="009D43AA"/>
    <w:rsid w:val="009D5101"/>
    <w:rsid w:val="009D53BE"/>
    <w:rsid w:val="009D7296"/>
    <w:rsid w:val="009D7626"/>
    <w:rsid w:val="009E2358"/>
    <w:rsid w:val="009F1033"/>
    <w:rsid w:val="009F2350"/>
    <w:rsid w:val="00A05FC7"/>
    <w:rsid w:val="00A11EE6"/>
    <w:rsid w:val="00A21FFC"/>
    <w:rsid w:val="00A248DE"/>
    <w:rsid w:val="00A325C7"/>
    <w:rsid w:val="00A37EC9"/>
    <w:rsid w:val="00A37FA9"/>
    <w:rsid w:val="00A431FC"/>
    <w:rsid w:val="00A51635"/>
    <w:rsid w:val="00A52293"/>
    <w:rsid w:val="00A54E30"/>
    <w:rsid w:val="00A71698"/>
    <w:rsid w:val="00A720FE"/>
    <w:rsid w:val="00A74266"/>
    <w:rsid w:val="00A82462"/>
    <w:rsid w:val="00A86E65"/>
    <w:rsid w:val="00A904CC"/>
    <w:rsid w:val="00A9111B"/>
    <w:rsid w:val="00A93518"/>
    <w:rsid w:val="00A96B4F"/>
    <w:rsid w:val="00AA5AED"/>
    <w:rsid w:val="00AA68A2"/>
    <w:rsid w:val="00AA7570"/>
    <w:rsid w:val="00AB1BAE"/>
    <w:rsid w:val="00AB3E61"/>
    <w:rsid w:val="00AB40DB"/>
    <w:rsid w:val="00AB7180"/>
    <w:rsid w:val="00AB7431"/>
    <w:rsid w:val="00AC28E3"/>
    <w:rsid w:val="00AC5FEA"/>
    <w:rsid w:val="00AC6461"/>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75AE2"/>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D3EFD"/>
    <w:rsid w:val="00BE1722"/>
    <w:rsid w:val="00BE48BE"/>
    <w:rsid w:val="00BF01C3"/>
    <w:rsid w:val="00BF02C3"/>
    <w:rsid w:val="00BF0FC6"/>
    <w:rsid w:val="00BF5086"/>
    <w:rsid w:val="00BF5F55"/>
    <w:rsid w:val="00BF7F74"/>
    <w:rsid w:val="00C060D6"/>
    <w:rsid w:val="00C11BA9"/>
    <w:rsid w:val="00C11CE1"/>
    <w:rsid w:val="00C15294"/>
    <w:rsid w:val="00C163FF"/>
    <w:rsid w:val="00C17683"/>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08B1"/>
    <w:rsid w:val="00CB2FB0"/>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15BA"/>
    <w:rsid w:val="00D02838"/>
    <w:rsid w:val="00D02BC5"/>
    <w:rsid w:val="00D03761"/>
    <w:rsid w:val="00D075D0"/>
    <w:rsid w:val="00D23640"/>
    <w:rsid w:val="00D26C7D"/>
    <w:rsid w:val="00D27725"/>
    <w:rsid w:val="00D27DEA"/>
    <w:rsid w:val="00D31B04"/>
    <w:rsid w:val="00D41EA3"/>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25113"/>
    <w:rsid w:val="00E34F1B"/>
    <w:rsid w:val="00E37B8C"/>
    <w:rsid w:val="00E41920"/>
    <w:rsid w:val="00E4462C"/>
    <w:rsid w:val="00E46EEB"/>
    <w:rsid w:val="00E47566"/>
    <w:rsid w:val="00E50376"/>
    <w:rsid w:val="00E525C0"/>
    <w:rsid w:val="00E6783E"/>
    <w:rsid w:val="00E70704"/>
    <w:rsid w:val="00E73041"/>
    <w:rsid w:val="00E774FE"/>
    <w:rsid w:val="00E838A3"/>
    <w:rsid w:val="00E83A11"/>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4569"/>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0F8A"/>
    <w:rsid w:val="00FD440F"/>
    <w:rsid w:val="00FD52EF"/>
    <w:rsid w:val="00FD7284"/>
    <w:rsid w:val="00FE0F29"/>
    <w:rsid w:val="00FE6ED6"/>
    <w:rsid w:val="00FE7F88"/>
    <w:rsid w:val="00FF26A5"/>
    <w:rsid w:val="00FF309F"/>
    <w:rsid w:val="00FF799C"/>
    <w:rsid w:val="015D2593"/>
    <w:rsid w:val="017C3055"/>
    <w:rsid w:val="021A62ED"/>
    <w:rsid w:val="021F6AE2"/>
    <w:rsid w:val="02B07FF7"/>
    <w:rsid w:val="02CA345F"/>
    <w:rsid w:val="02ED333D"/>
    <w:rsid w:val="03196F07"/>
    <w:rsid w:val="03733BDF"/>
    <w:rsid w:val="03A308DC"/>
    <w:rsid w:val="040532BA"/>
    <w:rsid w:val="04176582"/>
    <w:rsid w:val="048C3FC4"/>
    <w:rsid w:val="051259ED"/>
    <w:rsid w:val="051F0461"/>
    <w:rsid w:val="05252CCF"/>
    <w:rsid w:val="053718C6"/>
    <w:rsid w:val="05645491"/>
    <w:rsid w:val="05F504EE"/>
    <w:rsid w:val="064B1AAF"/>
    <w:rsid w:val="065D2B7B"/>
    <w:rsid w:val="0683737D"/>
    <w:rsid w:val="07041580"/>
    <w:rsid w:val="07932A4C"/>
    <w:rsid w:val="07B72711"/>
    <w:rsid w:val="07F876A6"/>
    <w:rsid w:val="08DB1CFF"/>
    <w:rsid w:val="09A92667"/>
    <w:rsid w:val="0A1D4749"/>
    <w:rsid w:val="0A6C0805"/>
    <w:rsid w:val="0A9E30AD"/>
    <w:rsid w:val="0AC736EC"/>
    <w:rsid w:val="0AEE2A27"/>
    <w:rsid w:val="0B083A0D"/>
    <w:rsid w:val="0B871E89"/>
    <w:rsid w:val="0BE35ECF"/>
    <w:rsid w:val="0BEB3B44"/>
    <w:rsid w:val="0C0644C0"/>
    <w:rsid w:val="0C505731"/>
    <w:rsid w:val="0C7B02EA"/>
    <w:rsid w:val="0CB8153E"/>
    <w:rsid w:val="0D417345"/>
    <w:rsid w:val="0DF4575C"/>
    <w:rsid w:val="0E3C1CFB"/>
    <w:rsid w:val="0F85207D"/>
    <w:rsid w:val="0F9F2542"/>
    <w:rsid w:val="0FDF5034"/>
    <w:rsid w:val="10855BDB"/>
    <w:rsid w:val="10D62AA4"/>
    <w:rsid w:val="10E90976"/>
    <w:rsid w:val="112F78F5"/>
    <w:rsid w:val="126A32DB"/>
    <w:rsid w:val="13552B79"/>
    <w:rsid w:val="13793DF7"/>
    <w:rsid w:val="141C4A83"/>
    <w:rsid w:val="14354A58"/>
    <w:rsid w:val="144E2788"/>
    <w:rsid w:val="14677422"/>
    <w:rsid w:val="14EB05C7"/>
    <w:rsid w:val="152E6B10"/>
    <w:rsid w:val="15311E8E"/>
    <w:rsid w:val="157C0F6F"/>
    <w:rsid w:val="157C1645"/>
    <w:rsid w:val="15BF1042"/>
    <w:rsid w:val="15D47D5A"/>
    <w:rsid w:val="16041350"/>
    <w:rsid w:val="161C0D90"/>
    <w:rsid w:val="1656732A"/>
    <w:rsid w:val="178A7F7B"/>
    <w:rsid w:val="17E10BD4"/>
    <w:rsid w:val="181939B9"/>
    <w:rsid w:val="18952734"/>
    <w:rsid w:val="18D74DC1"/>
    <w:rsid w:val="18EB2C9C"/>
    <w:rsid w:val="19ED659F"/>
    <w:rsid w:val="1A3A2285"/>
    <w:rsid w:val="1AE259D8"/>
    <w:rsid w:val="1AED58EF"/>
    <w:rsid w:val="1B960FA2"/>
    <w:rsid w:val="1C273FEB"/>
    <w:rsid w:val="1C940F54"/>
    <w:rsid w:val="1CA078F9"/>
    <w:rsid w:val="1CA76EDA"/>
    <w:rsid w:val="1CFA2F29"/>
    <w:rsid w:val="1D747E59"/>
    <w:rsid w:val="1DB01DBE"/>
    <w:rsid w:val="1E4034CE"/>
    <w:rsid w:val="1E430E84"/>
    <w:rsid w:val="1E4F7829"/>
    <w:rsid w:val="1E7159F1"/>
    <w:rsid w:val="1EF851E2"/>
    <w:rsid w:val="1EFC175F"/>
    <w:rsid w:val="1F1C595D"/>
    <w:rsid w:val="1F397F3B"/>
    <w:rsid w:val="1F3A0BB5"/>
    <w:rsid w:val="1F5A46D7"/>
    <w:rsid w:val="1FA92FCB"/>
    <w:rsid w:val="1FAB4B1F"/>
    <w:rsid w:val="1FC252A5"/>
    <w:rsid w:val="20193BC8"/>
    <w:rsid w:val="204F3B10"/>
    <w:rsid w:val="20601879"/>
    <w:rsid w:val="20981EA4"/>
    <w:rsid w:val="20A51947"/>
    <w:rsid w:val="20EC5803"/>
    <w:rsid w:val="21D77493"/>
    <w:rsid w:val="21EF55AB"/>
    <w:rsid w:val="220D398C"/>
    <w:rsid w:val="22EA32EC"/>
    <w:rsid w:val="22F4099F"/>
    <w:rsid w:val="2301566F"/>
    <w:rsid w:val="23162255"/>
    <w:rsid w:val="23242385"/>
    <w:rsid w:val="24165293"/>
    <w:rsid w:val="2466767A"/>
    <w:rsid w:val="2482721D"/>
    <w:rsid w:val="24A10BF5"/>
    <w:rsid w:val="24BD351D"/>
    <w:rsid w:val="24CF32FF"/>
    <w:rsid w:val="24D70B68"/>
    <w:rsid w:val="2519649B"/>
    <w:rsid w:val="25E46AA9"/>
    <w:rsid w:val="264E6012"/>
    <w:rsid w:val="26802C75"/>
    <w:rsid w:val="26AB07CC"/>
    <w:rsid w:val="26B13852"/>
    <w:rsid w:val="28593D52"/>
    <w:rsid w:val="287B63A6"/>
    <w:rsid w:val="292A336C"/>
    <w:rsid w:val="29613C02"/>
    <w:rsid w:val="2A111E36"/>
    <w:rsid w:val="2A397C18"/>
    <w:rsid w:val="2A5015D5"/>
    <w:rsid w:val="2AB949A8"/>
    <w:rsid w:val="2AE47EE8"/>
    <w:rsid w:val="2AF63392"/>
    <w:rsid w:val="2BA67492"/>
    <w:rsid w:val="2C66791C"/>
    <w:rsid w:val="2CE00E0B"/>
    <w:rsid w:val="2D221D01"/>
    <w:rsid w:val="2D360531"/>
    <w:rsid w:val="2D531028"/>
    <w:rsid w:val="2D676A80"/>
    <w:rsid w:val="2D7A3266"/>
    <w:rsid w:val="2DDB4C35"/>
    <w:rsid w:val="2DE53D06"/>
    <w:rsid w:val="2DF66D3B"/>
    <w:rsid w:val="2DFB7085"/>
    <w:rsid w:val="2E8E1A42"/>
    <w:rsid w:val="2EAA4B78"/>
    <w:rsid w:val="2EC95935"/>
    <w:rsid w:val="2EE13D56"/>
    <w:rsid w:val="2F5F2B72"/>
    <w:rsid w:val="2FC17E5A"/>
    <w:rsid w:val="312513B2"/>
    <w:rsid w:val="31B042BF"/>
    <w:rsid w:val="31EF16B4"/>
    <w:rsid w:val="31F12401"/>
    <w:rsid w:val="31F306A1"/>
    <w:rsid w:val="31FB7605"/>
    <w:rsid w:val="31FF5F72"/>
    <w:rsid w:val="32035D60"/>
    <w:rsid w:val="323F1C36"/>
    <w:rsid w:val="325154C6"/>
    <w:rsid w:val="326E6953"/>
    <w:rsid w:val="32C71C2C"/>
    <w:rsid w:val="33055DF4"/>
    <w:rsid w:val="33507C97"/>
    <w:rsid w:val="33523A32"/>
    <w:rsid w:val="344871F0"/>
    <w:rsid w:val="349A13A6"/>
    <w:rsid w:val="34B524C1"/>
    <w:rsid w:val="350A23BE"/>
    <w:rsid w:val="36D23A94"/>
    <w:rsid w:val="376940D0"/>
    <w:rsid w:val="37B370E4"/>
    <w:rsid w:val="38204506"/>
    <w:rsid w:val="384D48EA"/>
    <w:rsid w:val="38D642D1"/>
    <w:rsid w:val="38DC4FA1"/>
    <w:rsid w:val="38ED03A5"/>
    <w:rsid w:val="38FB1FB4"/>
    <w:rsid w:val="39321D68"/>
    <w:rsid w:val="396170BB"/>
    <w:rsid w:val="39AF1D30"/>
    <w:rsid w:val="3A777A93"/>
    <w:rsid w:val="3ACA2C02"/>
    <w:rsid w:val="3ACC4283"/>
    <w:rsid w:val="3AE80991"/>
    <w:rsid w:val="3B903503"/>
    <w:rsid w:val="3BAE6CD9"/>
    <w:rsid w:val="3BB84807"/>
    <w:rsid w:val="3C270B87"/>
    <w:rsid w:val="3C3000ED"/>
    <w:rsid w:val="3C371186"/>
    <w:rsid w:val="3CF25AF7"/>
    <w:rsid w:val="3D232399"/>
    <w:rsid w:val="3D2E2D19"/>
    <w:rsid w:val="3D31181A"/>
    <w:rsid w:val="3D6C0470"/>
    <w:rsid w:val="3DC8131E"/>
    <w:rsid w:val="3DC87CB2"/>
    <w:rsid w:val="3E285C74"/>
    <w:rsid w:val="3E9055C8"/>
    <w:rsid w:val="3EAD617A"/>
    <w:rsid w:val="3ECF7E9E"/>
    <w:rsid w:val="3F0B7544"/>
    <w:rsid w:val="3F1749BD"/>
    <w:rsid w:val="3F4F365B"/>
    <w:rsid w:val="3F9A5B70"/>
    <w:rsid w:val="40434E67"/>
    <w:rsid w:val="40517EBE"/>
    <w:rsid w:val="40D76032"/>
    <w:rsid w:val="41093759"/>
    <w:rsid w:val="41380196"/>
    <w:rsid w:val="41415EFF"/>
    <w:rsid w:val="41781267"/>
    <w:rsid w:val="418F6358"/>
    <w:rsid w:val="41D026B4"/>
    <w:rsid w:val="420A5691"/>
    <w:rsid w:val="425D589D"/>
    <w:rsid w:val="42935686"/>
    <w:rsid w:val="44F45243"/>
    <w:rsid w:val="452567EA"/>
    <w:rsid w:val="456B16B7"/>
    <w:rsid w:val="45B32FC8"/>
    <w:rsid w:val="465313B5"/>
    <w:rsid w:val="46886BA6"/>
    <w:rsid w:val="481132D5"/>
    <w:rsid w:val="48524AAD"/>
    <w:rsid w:val="48B942B6"/>
    <w:rsid w:val="490552AA"/>
    <w:rsid w:val="490F2CD5"/>
    <w:rsid w:val="4B7A4CDC"/>
    <w:rsid w:val="4B7C4E0E"/>
    <w:rsid w:val="4B8225F6"/>
    <w:rsid w:val="4BC000E1"/>
    <w:rsid w:val="4C935807"/>
    <w:rsid w:val="4CC72AFC"/>
    <w:rsid w:val="4CCD4987"/>
    <w:rsid w:val="4D7F33D7"/>
    <w:rsid w:val="4DA90454"/>
    <w:rsid w:val="4E8A2033"/>
    <w:rsid w:val="4ECF5C98"/>
    <w:rsid w:val="4FBC6ABC"/>
    <w:rsid w:val="4FBD2FD7"/>
    <w:rsid w:val="4FFA680C"/>
    <w:rsid w:val="50981A4B"/>
    <w:rsid w:val="50BD3AD5"/>
    <w:rsid w:val="50FF09C9"/>
    <w:rsid w:val="51677C44"/>
    <w:rsid w:val="5177586B"/>
    <w:rsid w:val="517C5B1F"/>
    <w:rsid w:val="521850C1"/>
    <w:rsid w:val="52390069"/>
    <w:rsid w:val="528D1696"/>
    <w:rsid w:val="52CB2821"/>
    <w:rsid w:val="53AE211E"/>
    <w:rsid w:val="53FD0BB2"/>
    <w:rsid w:val="53FF0DCE"/>
    <w:rsid w:val="540957A8"/>
    <w:rsid w:val="542F765C"/>
    <w:rsid w:val="546463D8"/>
    <w:rsid w:val="54813591"/>
    <w:rsid w:val="54914939"/>
    <w:rsid w:val="54D758A7"/>
    <w:rsid w:val="54EB5EC1"/>
    <w:rsid w:val="553D1BAE"/>
    <w:rsid w:val="554D13F6"/>
    <w:rsid w:val="56542E76"/>
    <w:rsid w:val="565F2A31"/>
    <w:rsid w:val="56B24C1F"/>
    <w:rsid w:val="570457DB"/>
    <w:rsid w:val="57454278"/>
    <w:rsid w:val="574649D4"/>
    <w:rsid w:val="57580486"/>
    <w:rsid w:val="57D63BF4"/>
    <w:rsid w:val="589A7317"/>
    <w:rsid w:val="59B52E52"/>
    <w:rsid w:val="59DA41E0"/>
    <w:rsid w:val="5A2424B3"/>
    <w:rsid w:val="5A3906A0"/>
    <w:rsid w:val="5A7B6CD4"/>
    <w:rsid w:val="5A9919E3"/>
    <w:rsid w:val="5B2A7B0A"/>
    <w:rsid w:val="5B411CCC"/>
    <w:rsid w:val="5B417B6B"/>
    <w:rsid w:val="5B54373E"/>
    <w:rsid w:val="5BC745F2"/>
    <w:rsid w:val="5CA161B2"/>
    <w:rsid w:val="5DA56542"/>
    <w:rsid w:val="5E670B24"/>
    <w:rsid w:val="5EE21916"/>
    <w:rsid w:val="5F0E295E"/>
    <w:rsid w:val="5F261B1F"/>
    <w:rsid w:val="5F2E7186"/>
    <w:rsid w:val="5F4417E0"/>
    <w:rsid w:val="5F88669E"/>
    <w:rsid w:val="5FF94923"/>
    <w:rsid w:val="606F72DB"/>
    <w:rsid w:val="60D72E82"/>
    <w:rsid w:val="60EB7F9D"/>
    <w:rsid w:val="60F035F8"/>
    <w:rsid w:val="61483DB4"/>
    <w:rsid w:val="61BA4B3B"/>
    <w:rsid w:val="622F04A1"/>
    <w:rsid w:val="62707B3A"/>
    <w:rsid w:val="63183EB0"/>
    <w:rsid w:val="63C86026"/>
    <w:rsid w:val="63F0603D"/>
    <w:rsid w:val="645C0879"/>
    <w:rsid w:val="646E2865"/>
    <w:rsid w:val="64741C1C"/>
    <w:rsid w:val="648C064A"/>
    <w:rsid w:val="656B3097"/>
    <w:rsid w:val="65A44D2D"/>
    <w:rsid w:val="65EF1521"/>
    <w:rsid w:val="6638708E"/>
    <w:rsid w:val="665C4848"/>
    <w:rsid w:val="669638CA"/>
    <w:rsid w:val="66AB4942"/>
    <w:rsid w:val="67303449"/>
    <w:rsid w:val="687951D6"/>
    <w:rsid w:val="68AB69AF"/>
    <w:rsid w:val="68D653C8"/>
    <w:rsid w:val="68D85250"/>
    <w:rsid w:val="696077C1"/>
    <w:rsid w:val="69767995"/>
    <w:rsid w:val="698D4180"/>
    <w:rsid w:val="69B51B3F"/>
    <w:rsid w:val="69DC01E8"/>
    <w:rsid w:val="6B182A49"/>
    <w:rsid w:val="6B6535FA"/>
    <w:rsid w:val="6BE9595D"/>
    <w:rsid w:val="6C3D3559"/>
    <w:rsid w:val="6D1F0B58"/>
    <w:rsid w:val="6D321474"/>
    <w:rsid w:val="6D3654A5"/>
    <w:rsid w:val="6D7052A6"/>
    <w:rsid w:val="6DB602F7"/>
    <w:rsid w:val="6E22598D"/>
    <w:rsid w:val="6E3B6A4F"/>
    <w:rsid w:val="6EB24C26"/>
    <w:rsid w:val="6F6306CE"/>
    <w:rsid w:val="6F751AEC"/>
    <w:rsid w:val="70D50A94"/>
    <w:rsid w:val="71FD0B25"/>
    <w:rsid w:val="72BE68BD"/>
    <w:rsid w:val="73030A43"/>
    <w:rsid w:val="73075151"/>
    <w:rsid w:val="739A5FC5"/>
    <w:rsid w:val="74170E85"/>
    <w:rsid w:val="74392095"/>
    <w:rsid w:val="7447614D"/>
    <w:rsid w:val="74975370"/>
    <w:rsid w:val="74B22513"/>
    <w:rsid w:val="74DE3871"/>
    <w:rsid w:val="751E6757"/>
    <w:rsid w:val="75DA08FB"/>
    <w:rsid w:val="75DC35E9"/>
    <w:rsid w:val="767F69B6"/>
    <w:rsid w:val="777D2805"/>
    <w:rsid w:val="77BE6726"/>
    <w:rsid w:val="77C17FC5"/>
    <w:rsid w:val="77ED2E5B"/>
    <w:rsid w:val="77FA11D3"/>
    <w:rsid w:val="77FD1797"/>
    <w:rsid w:val="78577F92"/>
    <w:rsid w:val="78961451"/>
    <w:rsid w:val="789E6834"/>
    <w:rsid w:val="794A5D98"/>
    <w:rsid w:val="79DD67E6"/>
    <w:rsid w:val="7A545120"/>
    <w:rsid w:val="7BCF79D9"/>
    <w:rsid w:val="7BDA1655"/>
    <w:rsid w:val="7C1A4C7A"/>
    <w:rsid w:val="7C2974E5"/>
    <w:rsid w:val="7C444892"/>
    <w:rsid w:val="7C8E5457"/>
    <w:rsid w:val="7C972AE2"/>
    <w:rsid w:val="7CAE7448"/>
    <w:rsid w:val="7CCD4D16"/>
    <w:rsid w:val="7D9D293A"/>
    <w:rsid w:val="7DF36BF7"/>
    <w:rsid w:val="7DF764EE"/>
    <w:rsid w:val="7E543E84"/>
    <w:rsid w:val="7EC90255"/>
    <w:rsid w:val="7F620EF8"/>
    <w:rsid w:val="7FCA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qFormat/>
    <w:uiPriority w:val="0"/>
    <w:pPr>
      <w:keepNext/>
      <w:keepLines/>
      <w:spacing w:before="340" w:after="330" w:line="578" w:lineRule="auto"/>
      <w:outlineLvl w:val="0"/>
    </w:pPr>
    <w:rPr>
      <w:b/>
      <w:bCs/>
      <w:kern w:val="44"/>
      <w:sz w:val="44"/>
      <w:szCs w:val="44"/>
    </w:rPr>
  </w:style>
  <w:style w:type="paragraph" w:styleId="4">
    <w:name w:val="heading 2"/>
    <w:basedOn w:val="1"/>
    <w:autoRedefine/>
    <w:qFormat/>
    <w:uiPriority w:val="0"/>
    <w:pPr>
      <w:spacing w:line="0" w:lineRule="atLeast"/>
      <w:jc w:val="center"/>
      <w:outlineLvl w:val="1"/>
    </w:pPr>
    <w:rPr>
      <w:kern w:val="0"/>
      <w:sz w:val="28"/>
    </w:rPr>
  </w:style>
  <w:style w:type="paragraph" w:styleId="5">
    <w:name w:val="heading 3"/>
    <w:basedOn w:val="1"/>
    <w:link w:val="42"/>
    <w:qFormat/>
    <w:uiPriority w:val="0"/>
    <w:pPr>
      <w:keepNext/>
      <w:keepLines/>
      <w:spacing w:before="260" w:after="260" w:line="416" w:lineRule="auto"/>
      <w:outlineLvl w:val="2"/>
    </w:pPr>
    <w:rPr>
      <w:b/>
      <w:bCs/>
      <w:sz w:val="32"/>
      <w:szCs w:val="32"/>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autoRedefine/>
    <w:qFormat/>
    <w:uiPriority w:val="0"/>
    <w:pPr>
      <w:spacing w:after="120" w:line="480" w:lineRule="auto"/>
      <w:ind w:left="420" w:leftChars="200"/>
    </w:pPr>
  </w:style>
  <w:style w:type="paragraph" w:styleId="6">
    <w:name w:val="caption"/>
    <w:basedOn w:val="1"/>
    <w:autoRedefine/>
    <w:qFormat/>
    <w:uiPriority w:val="0"/>
    <w:rPr>
      <w:rFonts w:ascii="Cambria" w:hAnsi="Cambria" w:eastAsia="黑体"/>
      <w:sz w:val="20"/>
    </w:rPr>
  </w:style>
  <w:style w:type="paragraph" w:styleId="7">
    <w:name w:val="Document Map"/>
    <w:basedOn w:val="1"/>
    <w:link w:val="50"/>
    <w:autoRedefine/>
    <w:qFormat/>
    <w:uiPriority w:val="0"/>
    <w:rPr>
      <w:rFonts w:ascii="宋体"/>
      <w:sz w:val="18"/>
      <w:szCs w:val="18"/>
    </w:rPr>
  </w:style>
  <w:style w:type="paragraph" w:styleId="8">
    <w:name w:val="annotation text"/>
    <w:basedOn w:val="1"/>
    <w:link w:val="49"/>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next w:val="11"/>
    <w:link w:val="47"/>
    <w:autoRedefine/>
    <w:qFormat/>
    <w:uiPriority w:val="99"/>
    <w:pPr>
      <w:spacing w:after="120"/>
    </w:pPr>
  </w:style>
  <w:style w:type="paragraph" w:customStyle="1" w:styleId="11">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
    <w:autoRedefine/>
    <w:qFormat/>
    <w:uiPriority w:val="0"/>
    <w:pPr>
      <w:ind w:firstLine="632" w:firstLineChars="200"/>
    </w:pPr>
    <w:rPr>
      <w:rFonts w:ascii="仿宋_GB2312" w:hAnsi="华文楷体" w:eastAsia="仿宋_GB2312"/>
      <w:sz w:val="32"/>
    </w:rPr>
  </w:style>
  <w:style w:type="paragraph" w:styleId="13">
    <w:name w:val="List 2"/>
    <w:basedOn w:val="1"/>
    <w:autoRedefine/>
    <w:qFormat/>
    <w:uiPriority w:val="0"/>
    <w:pPr>
      <w:ind w:left="400" w:leftChars="200" w:hanging="200" w:hangingChars="200"/>
    </w:pPr>
  </w:style>
  <w:style w:type="paragraph" w:styleId="14">
    <w:name w:val="Plain Text"/>
    <w:basedOn w:val="1"/>
    <w:link w:val="55"/>
    <w:autoRedefine/>
    <w:qFormat/>
    <w:uiPriority w:val="99"/>
    <w:rPr>
      <w:rFonts w:ascii="宋体" w:hAnsi="Courier New"/>
      <w:szCs w:val="20"/>
    </w:rPr>
  </w:style>
  <w:style w:type="paragraph" w:styleId="15">
    <w:name w:val="Date"/>
    <w:basedOn w:val="1"/>
    <w:link w:val="51"/>
    <w:autoRedefine/>
    <w:qFormat/>
    <w:uiPriority w:val="0"/>
    <w:pPr>
      <w:ind w:left="100" w:leftChars="2500"/>
    </w:pPr>
  </w:style>
  <w:style w:type="paragraph" w:styleId="16">
    <w:name w:val="Balloon Text"/>
    <w:basedOn w:val="1"/>
    <w:autoRedefine/>
    <w:qFormat/>
    <w:uiPriority w:val="0"/>
    <w:rPr>
      <w:sz w:val="18"/>
      <w:szCs w:val="18"/>
    </w:rPr>
  </w:style>
  <w:style w:type="paragraph" w:styleId="17">
    <w:name w:val="footer"/>
    <w:basedOn w:val="1"/>
    <w:link w:val="72"/>
    <w:autoRedefine/>
    <w:qFormat/>
    <w:uiPriority w:val="99"/>
    <w:pPr>
      <w:tabs>
        <w:tab w:val="center" w:pos="4153"/>
        <w:tab w:val="right" w:pos="8306"/>
      </w:tabs>
      <w:snapToGrid w:val="0"/>
      <w:jc w:val="left"/>
    </w:pPr>
    <w:rPr>
      <w:sz w:val="18"/>
      <w:szCs w:val="18"/>
    </w:rPr>
  </w:style>
  <w:style w:type="paragraph" w:styleId="18">
    <w:name w:val="envelope return"/>
    <w:basedOn w:val="1"/>
    <w:autoRedefine/>
    <w:qFormat/>
    <w:uiPriority w:val="99"/>
    <w:pPr>
      <w:snapToGrid w:val="0"/>
    </w:pPr>
    <w:rPr>
      <w:rFonts w:ascii="Arial" w:hAnsi="Arial"/>
    </w:rPr>
  </w:style>
  <w:style w:type="paragraph" w:styleId="19">
    <w:name w:val="header"/>
    <w:basedOn w:val="1"/>
    <w:link w:val="71"/>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Body Text 2"/>
    <w:basedOn w:val="1"/>
    <w:link w:val="69"/>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26"/>
    <w:link w:val="46"/>
    <w:autoRedefine/>
    <w:qFormat/>
    <w:uiPriority w:val="0"/>
    <w:pPr>
      <w:ind w:firstLine="420" w:firstLineChars="100"/>
    </w:pPr>
  </w:style>
  <w:style w:type="paragraph" w:styleId="26">
    <w:name w:val="Body Text First Indent 2"/>
    <w:basedOn w:val="12"/>
    <w:next w:val="1"/>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autoRedefine/>
    <w:qFormat/>
    <w:uiPriority w:val="22"/>
    <w:rPr>
      <w:b/>
      <w:bCs/>
    </w:rPr>
  </w:style>
  <w:style w:type="character" w:styleId="31">
    <w:name w:val="page number"/>
    <w:basedOn w:val="29"/>
    <w:autoRedefine/>
    <w:qFormat/>
    <w:uiPriority w:val="0"/>
  </w:style>
  <w:style w:type="character" w:styleId="32">
    <w:name w:val="FollowedHyperlink"/>
    <w:basedOn w:val="29"/>
    <w:autoRedefine/>
    <w:qFormat/>
    <w:uiPriority w:val="0"/>
    <w:rPr>
      <w:color w:val="000000"/>
      <w:u w:val="none"/>
    </w:rPr>
  </w:style>
  <w:style w:type="character" w:styleId="33">
    <w:name w:val="Hyperlink"/>
    <w:autoRedefine/>
    <w:qFormat/>
    <w:uiPriority w:val="0"/>
    <w:rPr>
      <w:color w:val="333333"/>
      <w:u w:val="none"/>
    </w:rPr>
  </w:style>
  <w:style w:type="character" w:styleId="34">
    <w:name w:val="annotation reference"/>
    <w:autoRedefine/>
    <w:qFormat/>
    <w:uiPriority w:val="99"/>
    <w:rPr>
      <w:sz w:val="21"/>
    </w:rPr>
  </w:style>
  <w:style w:type="paragraph" w:customStyle="1" w:styleId="35">
    <w:name w:val="Char Char10 Char Char Char Char"/>
    <w:basedOn w:val="1"/>
    <w:autoRedefine/>
    <w:qFormat/>
    <w:uiPriority w:val="0"/>
  </w:style>
  <w:style w:type="paragraph" w:customStyle="1" w:styleId="36">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37">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20"/>
    </w:rPr>
  </w:style>
  <w:style w:type="paragraph" w:customStyle="1" w:styleId="38">
    <w:name w:val="BodyText1I"/>
    <w:basedOn w:val="39"/>
    <w:autoRedefine/>
    <w:qFormat/>
    <w:uiPriority w:val="99"/>
    <w:pPr>
      <w:ind w:firstLine="420" w:firstLineChars="100"/>
    </w:pPr>
  </w:style>
  <w:style w:type="paragraph" w:customStyle="1" w:styleId="39">
    <w:name w:val="BodyText"/>
    <w:basedOn w:val="1"/>
    <w:next w:val="40"/>
    <w:autoRedefine/>
    <w:qFormat/>
    <w:uiPriority w:val="99"/>
    <w:pPr>
      <w:spacing w:after="120"/>
    </w:pPr>
  </w:style>
  <w:style w:type="paragraph" w:customStyle="1" w:styleId="40">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1">
    <w:name w:val="无间隔1"/>
    <w:autoRedefine/>
    <w:qFormat/>
    <w:uiPriority w:val="0"/>
    <w:pPr>
      <w:widowControl w:val="0"/>
      <w:jc w:val="center"/>
    </w:pPr>
    <w:rPr>
      <w:rFonts w:ascii="Calibri" w:hAnsi="Calibri" w:eastAsia="宋体" w:cs="Times New Roman"/>
      <w:kern w:val="2"/>
      <w:sz w:val="21"/>
      <w:szCs w:val="22"/>
      <w:lang w:val="en-US" w:eastAsia="zh-CN" w:bidi="ar-SA"/>
    </w:rPr>
  </w:style>
  <w:style w:type="character" w:customStyle="1" w:styleId="42">
    <w:name w:val="标题 3 Char"/>
    <w:link w:val="5"/>
    <w:autoRedefine/>
    <w:semiHidden/>
    <w:qFormat/>
    <w:uiPriority w:val="0"/>
    <w:rPr>
      <w:b/>
      <w:bCs/>
      <w:kern w:val="2"/>
      <w:sz w:val="32"/>
      <w:szCs w:val="32"/>
    </w:rPr>
  </w:style>
  <w:style w:type="character" w:customStyle="1" w:styleId="43">
    <w:name w:val="font231"/>
    <w:autoRedefine/>
    <w:qFormat/>
    <w:uiPriority w:val="0"/>
    <w:rPr>
      <w:rFonts w:hint="eastAsia" w:ascii="宋体" w:hAnsi="宋体" w:eastAsia="宋体" w:cs="宋体"/>
      <w:color w:val="000000"/>
      <w:sz w:val="22"/>
      <w:szCs w:val="22"/>
      <w:u w:val="none"/>
    </w:rPr>
  </w:style>
  <w:style w:type="character" w:customStyle="1" w:styleId="44">
    <w:name w:val="font11"/>
    <w:autoRedefine/>
    <w:qFormat/>
    <w:uiPriority w:val="0"/>
    <w:rPr>
      <w:rFonts w:hint="default" w:ascii="Times New Roman" w:hAnsi="Times New Roman" w:cs="Times New Roman"/>
      <w:color w:val="000000"/>
      <w:sz w:val="18"/>
      <w:szCs w:val="18"/>
      <w:u w:val="none"/>
    </w:rPr>
  </w:style>
  <w:style w:type="character" w:customStyle="1" w:styleId="45">
    <w:name w:val="font191"/>
    <w:autoRedefine/>
    <w:qFormat/>
    <w:uiPriority w:val="0"/>
    <w:rPr>
      <w:rFonts w:hint="default" w:ascii="Calibri" w:hAnsi="Calibri" w:cs="Calibri"/>
      <w:color w:val="000000"/>
      <w:sz w:val="22"/>
      <w:szCs w:val="22"/>
      <w:u w:val="none"/>
    </w:rPr>
  </w:style>
  <w:style w:type="character" w:customStyle="1" w:styleId="46">
    <w:name w:val="正文首行缩进 Char"/>
    <w:link w:val="25"/>
    <w:autoRedefine/>
    <w:qFormat/>
    <w:uiPriority w:val="0"/>
    <w:rPr>
      <w:kern w:val="2"/>
      <w:sz w:val="21"/>
      <w:szCs w:val="24"/>
    </w:rPr>
  </w:style>
  <w:style w:type="character" w:customStyle="1" w:styleId="47">
    <w:name w:val="正文文本 Char"/>
    <w:link w:val="10"/>
    <w:autoRedefine/>
    <w:qFormat/>
    <w:uiPriority w:val="99"/>
    <w:rPr>
      <w:kern w:val="2"/>
      <w:sz w:val="21"/>
      <w:szCs w:val="24"/>
    </w:rPr>
  </w:style>
  <w:style w:type="character" w:customStyle="1" w:styleId="48">
    <w:name w:val="font151"/>
    <w:autoRedefine/>
    <w:qFormat/>
    <w:uiPriority w:val="0"/>
    <w:rPr>
      <w:rFonts w:hint="default" w:ascii="Calibri" w:hAnsi="Calibri" w:cs="Calibri"/>
      <w:color w:val="000000"/>
      <w:sz w:val="22"/>
      <w:szCs w:val="22"/>
      <w:u w:val="none"/>
    </w:rPr>
  </w:style>
  <w:style w:type="character" w:customStyle="1" w:styleId="49">
    <w:name w:val="批注文字 Char"/>
    <w:link w:val="8"/>
    <w:autoRedefine/>
    <w:qFormat/>
    <w:uiPriority w:val="0"/>
    <w:rPr>
      <w:kern w:val="2"/>
      <w:sz w:val="21"/>
      <w:szCs w:val="24"/>
    </w:rPr>
  </w:style>
  <w:style w:type="character" w:customStyle="1" w:styleId="50">
    <w:name w:val="文档结构图 Char"/>
    <w:link w:val="7"/>
    <w:autoRedefine/>
    <w:qFormat/>
    <w:uiPriority w:val="0"/>
    <w:rPr>
      <w:rFonts w:ascii="宋体"/>
      <w:kern w:val="2"/>
      <w:sz w:val="18"/>
      <w:szCs w:val="18"/>
    </w:rPr>
  </w:style>
  <w:style w:type="character" w:customStyle="1" w:styleId="51">
    <w:name w:val="日期 Char"/>
    <w:link w:val="15"/>
    <w:autoRedefine/>
    <w:qFormat/>
    <w:uiPriority w:val="0"/>
    <w:rPr>
      <w:kern w:val="2"/>
      <w:sz w:val="21"/>
      <w:szCs w:val="24"/>
    </w:rPr>
  </w:style>
  <w:style w:type="character" w:customStyle="1" w:styleId="52">
    <w:name w:val="font221"/>
    <w:autoRedefine/>
    <w:qFormat/>
    <w:uiPriority w:val="0"/>
    <w:rPr>
      <w:rFonts w:hint="eastAsia" w:ascii="宋体" w:hAnsi="宋体" w:eastAsia="宋体" w:cs="宋体"/>
      <w:color w:val="000000"/>
      <w:sz w:val="20"/>
      <w:szCs w:val="20"/>
      <w:u w:val="none"/>
    </w:rPr>
  </w:style>
  <w:style w:type="character" w:customStyle="1" w:styleId="53">
    <w:name w:val="font61"/>
    <w:autoRedefine/>
    <w:qFormat/>
    <w:uiPriority w:val="0"/>
    <w:rPr>
      <w:rFonts w:hint="eastAsia" w:ascii="宋体" w:hAnsi="宋体" w:eastAsia="宋体" w:cs="宋体"/>
      <w:color w:val="FF0000"/>
      <w:sz w:val="22"/>
      <w:szCs w:val="22"/>
      <w:u w:val="none"/>
    </w:rPr>
  </w:style>
  <w:style w:type="character" w:customStyle="1" w:styleId="54">
    <w:name w:val="font31"/>
    <w:autoRedefine/>
    <w:qFormat/>
    <w:uiPriority w:val="0"/>
    <w:rPr>
      <w:rFonts w:hint="eastAsia" w:ascii="宋体" w:hAnsi="宋体" w:eastAsia="宋体" w:cs="宋体"/>
      <w:color w:val="000000"/>
      <w:sz w:val="18"/>
      <w:szCs w:val="18"/>
      <w:u w:val="none"/>
    </w:rPr>
  </w:style>
  <w:style w:type="character" w:customStyle="1" w:styleId="55">
    <w:name w:val="纯文本 Char"/>
    <w:link w:val="14"/>
    <w:autoRedefine/>
    <w:qFormat/>
    <w:uiPriority w:val="99"/>
    <w:rPr>
      <w:rFonts w:ascii="宋体" w:hAnsi="Courier New"/>
      <w:kern w:val="2"/>
      <w:sz w:val="21"/>
    </w:rPr>
  </w:style>
  <w:style w:type="character" w:customStyle="1" w:styleId="56">
    <w:name w:val="访问过的超链接1"/>
    <w:autoRedefine/>
    <w:qFormat/>
    <w:uiPriority w:val="0"/>
    <w:rPr>
      <w:color w:val="333333"/>
      <w:u w:val="none"/>
    </w:rPr>
  </w:style>
  <w:style w:type="character" w:customStyle="1" w:styleId="57">
    <w:name w:val="font01"/>
    <w:autoRedefine/>
    <w:qFormat/>
    <w:uiPriority w:val="0"/>
    <w:rPr>
      <w:rFonts w:hint="eastAsia" w:ascii="宋体" w:hAnsi="宋体" w:eastAsia="宋体" w:cs="宋体"/>
      <w:color w:val="000000"/>
      <w:sz w:val="22"/>
      <w:szCs w:val="22"/>
      <w:u w:val="none"/>
    </w:rPr>
  </w:style>
  <w:style w:type="character" w:customStyle="1" w:styleId="58">
    <w:name w:val="font21"/>
    <w:autoRedefine/>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autoRedefine/>
    <w:qFormat/>
    <w:uiPriority w:val="0"/>
    <w:pPr>
      <w:ind w:firstLine="420" w:firstLineChars="200"/>
    </w:pPr>
  </w:style>
  <w:style w:type="paragraph" w:customStyle="1" w:styleId="61">
    <w:name w:val="样式1"/>
    <w:basedOn w:val="1"/>
    <w:qFormat/>
    <w:uiPriority w:val="0"/>
    <w:pPr>
      <w:tabs>
        <w:tab w:val="left" w:pos="709"/>
      </w:tabs>
      <w:adjustRightInd w:val="0"/>
      <w:ind w:left="709" w:hanging="709"/>
    </w:pPr>
    <w:rPr>
      <w:rFonts w:ascii="宋体" w:hAnsi="宋体"/>
      <w:kern w:val="0"/>
    </w:rPr>
  </w:style>
  <w:style w:type="paragraph" w:customStyle="1" w:styleId="62">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3">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autoRedefine/>
    <w:qFormat/>
    <w:uiPriority w:val="0"/>
    <w:rPr>
      <w:rFonts w:ascii="Tahoma" w:hAnsi="Tahoma"/>
      <w:sz w:val="24"/>
      <w:szCs w:val="20"/>
    </w:rPr>
  </w:style>
  <w:style w:type="paragraph" w:styleId="65">
    <w:name w:val="List Paragraph"/>
    <w:basedOn w:val="1"/>
    <w:autoRedefine/>
    <w:qFormat/>
    <w:uiPriority w:val="34"/>
    <w:pPr>
      <w:ind w:firstLine="420" w:firstLineChars="200"/>
    </w:pPr>
  </w:style>
  <w:style w:type="paragraph" w:customStyle="1" w:styleId="66">
    <w:name w:val="Char Char Char1 Char"/>
    <w:basedOn w:val="1"/>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autoRedefine/>
    <w:qFormat/>
    <w:uiPriority w:val="0"/>
    <w:pPr>
      <w:tabs>
        <w:tab w:val="right" w:pos="-2120"/>
      </w:tabs>
      <w:snapToGrid w:val="0"/>
    </w:pPr>
  </w:style>
  <w:style w:type="character" w:customStyle="1" w:styleId="68">
    <w:name w:val="generalinfo-address-text"/>
    <w:basedOn w:val="29"/>
    <w:qFormat/>
    <w:uiPriority w:val="0"/>
  </w:style>
  <w:style w:type="character" w:customStyle="1" w:styleId="69">
    <w:name w:val="正文文本 2 Char"/>
    <w:link w:val="22"/>
    <w:autoRedefine/>
    <w:qFormat/>
    <w:uiPriority w:val="0"/>
    <w:rPr>
      <w:kern w:val="2"/>
      <w:sz w:val="21"/>
      <w:szCs w:val="24"/>
    </w:rPr>
  </w:style>
  <w:style w:type="character" w:customStyle="1" w:styleId="70">
    <w:name w:val="NormalCharacter"/>
    <w:autoRedefine/>
    <w:qFormat/>
    <w:uiPriority w:val="0"/>
  </w:style>
  <w:style w:type="character" w:customStyle="1" w:styleId="71">
    <w:name w:val="页眉 Char"/>
    <w:link w:val="19"/>
    <w:qFormat/>
    <w:uiPriority w:val="99"/>
    <w:rPr>
      <w:kern w:val="2"/>
      <w:sz w:val="18"/>
      <w:szCs w:val="18"/>
    </w:rPr>
  </w:style>
  <w:style w:type="character" w:customStyle="1" w:styleId="72">
    <w:name w:val="页脚 Char"/>
    <w:link w:val="17"/>
    <w:autoRedefine/>
    <w:qFormat/>
    <w:uiPriority w:val="99"/>
    <w:rPr>
      <w:kern w:val="2"/>
      <w:sz w:val="18"/>
      <w:szCs w:val="18"/>
    </w:rPr>
  </w:style>
  <w:style w:type="paragraph" w:customStyle="1" w:styleId="7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4">
    <w:name w:val="contentlabel"/>
    <w:autoRedefine/>
    <w:qFormat/>
    <w:uiPriority w:val="0"/>
  </w:style>
  <w:style w:type="paragraph" w:customStyle="1" w:styleId="75">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19"/>
    <w:autoRedefine/>
    <w:qFormat/>
    <w:uiPriority w:val="0"/>
    <w:pPr>
      <w:pBdr>
        <w:bottom w:val="thinThickSmallGap" w:color="auto" w:sz="18" w:space="1"/>
      </w:pBdr>
      <w:adjustRightInd w:val="0"/>
      <w:snapToGrid/>
      <w:spacing w:line="240" w:lineRule="atLeast"/>
    </w:pPr>
    <w:rPr>
      <w:kern w:val="0"/>
      <w:sz w:val="24"/>
    </w:rPr>
  </w:style>
  <w:style w:type="character" w:customStyle="1" w:styleId="77">
    <w:name w:val="icon_gys"/>
    <w:basedOn w:val="29"/>
    <w:autoRedefine/>
    <w:qFormat/>
    <w:uiPriority w:val="0"/>
    <w:rPr>
      <w:sz w:val="21"/>
      <w:szCs w:val="21"/>
    </w:rPr>
  </w:style>
  <w:style w:type="character" w:customStyle="1" w:styleId="78">
    <w:name w:val="first-child"/>
    <w:basedOn w:val="29"/>
    <w:qFormat/>
    <w:uiPriority w:val="0"/>
    <w:rPr>
      <w:color w:val="1F3149"/>
      <w:sz w:val="24"/>
      <w:szCs w:val="24"/>
    </w:rPr>
  </w:style>
  <w:style w:type="character" w:customStyle="1" w:styleId="79">
    <w:name w:val="first-child1"/>
    <w:basedOn w:val="29"/>
    <w:autoRedefine/>
    <w:qFormat/>
    <w:uiPriority w:val="0"/>
    <w:rPr>
      <w:color w:val="1F3149"/>
      <w:sz w:val="24"/>
      <w:szCs w:val="24"/>
    </w:rPr>
  </w:style>
  <w:style w:type="character" w:customStyle="1" w:styleId="80">
    <w:name w:val="xiadan"/>
    <w:basedOn w:val="29"/>
    <w:autoRedefine/>
    <w:qFormat/>
    <w:uiPriority w:val="0"/>
    <w:rPr>
      <w:shd w:val="clear" w:color="auto" w:fill="E4393C"/>
    </w:rPr>
  </w:style>
  <w:style w:type="character" w:customStyle="1" w:styleId="81">
    <w:name w:val="fr"/>
    <w:basedOn w:val="29"/>
    <w:autoRedefine/>
    <w:qFormat/>
    <w:uiPriority w:val="0"/>
  </w:style>
  <w:style w:type="character" w:customStyle="1" w:styleId="82">
    <w:name w:val="icon_ds"/>
    <w:basedOn w:val="29"/>
    <w:autoRedefine/>
    <w:qFormat/>
    <w:uiPriority w:val="0"/>
  </w:style>
  <w:style w:type="paragraph" w:customStyle="1" w:styleId="83">
    <w:name w:val="正文1"/>
    <w:basedOn w:val="1"/>
    <w:autoRedefine/>
    <w:qFormat/>
    <w:uiPriority w:val="0"/>
    <w:pPr>
      <w:widowControl/>
      <w:topLinePunct/>
      <w:spacing w:beforeLines="50" w:afterLines="50" w:line="300" w:lineRule="auto"/>
      <w:ind w:left="420"/>
    </w:pPr>
  </w:style>
  <w:style w:type="table" w:customStyle="1" w:styleId="84">
    <w:name w:val="Table Normal"/>
    <w:basedOn w:val="27"/>
    <w:autoRedefine/>
    <w:semiHidden/>
    <w:qFormat/>
    <w:uiPriority w:val="0"/>
    <w:tblPr>
      <w:tblCellMar>
        <w:left w:w="0" w:type="dxa"/>
        <w:right w:w="0" w:type="dxa"/>
      </w:tblCellMar>
    </w:tblPr>
  </w:style>
  <w:style w:type="paragraph" w:customStyle="1" w:styleId="85">
    <w:name w:val="前附表"/>
    <w:basedOn w:val="86"/>
    <w:autoRedefine/>
    <w:qFormat/>
    <w:uiPriority w:val="0"/>
    <w:pPr>
      <w:spacing w:line="440" w:lineRule="exact"/>
      <w:ind w:left="50" w:leftChars="50" w:right="50" w:rightChars="50"/>
      <w:jc w:val="left"/>
    </w:pPr>
    <w:rPr>
      <w:rFonts w:cs="宋体"/>
      <w:color w:val="000000"/>
      <w:kern w:val="0"/>
      <w:szCs w:val="21"/>
    </w:rPr>
  </w:style>
  <w:style w:type="paragraph" w:customStyle="1" w:styleId="86">
    <w:name w:val="正文样式"/>
    <w:basedOn w:val="1"/>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46</Pages>
  <Words>19808</Words>
  <Characters>20879</Characters>
  <Lines>161</Lines>
  <Paragraphs>45</Paragraphs>
  <TotalTime>4</TotalTime>
  <ScaleCrop>false</ScaleCrop>
  <LinksUpToDate>false</LinksUpToDate>
  <CharactersWithSpaces>21585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2024-03-12T01:38:00Z</dcterms:created>
  <dc:creator>gg1</dc:creator>
  <cp:lastModifiedBy>张光</cp:lastModifiedBy>
  <dcterms:modified xsi:type="dcterms:W3CDTF">2024-05-28T07:53:45Z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B59EA675DE0540E39F8E5611CB6401CB_13</vt:lpwstr>
  </property>
</Properties>
</file>