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420"/>
        </w:tabs>
        <w:spacing w:line="1700" w:lineRule="auto"/>
        <w:jc w:val="center"/>
        <w:rPr>
          <w:rFonts w:ascii="Arial Black" w:hAnsi="Arial Black" w:eastAsia="Arial Black" w:cs="Arial Black"/>
          <w:b/>
          <w:color w:val="auto"/>
          <w:spacing w:val="36"/>
          <w:sz w:val="52"/>
        </w:rPr>
      </w:pPr>
      <w:r>
        <w:rPr>
          <w:rFonts w:ascii="宋体" w:hAnsi="宋体" w:eastAsia="宋体" w:cs="宋体"/>
          <w:b/>
          <w:color w:val="auto"/>
          <w:spacing w:val="36"/>
          <w:sz w:val="52"/>
        </w:rPr>
        <w:t>周口市公共资源交易中心</w:t>
      </w:r>
    </w:p>
    <w:p>
      <w:pPr>
        <w:tabs>
          <w:tab w:val="left" w:pos="315"/>
          <w:tab w:val="left" w:pos="8820"/>
        </w:tabs>
        <w:spacing w:line="500" w:lineRule="auto"/>
        <w:ind w:right="267"/>
        <w:jc w:val="center"/>
        <w:rPr>
          <w:rFonts w:ascii="仿宋_GB2312" w:hAnsi="仿宋_GB2312" w:eastAsia="仿宋_GB2312" w:cs="仿宋_GB2312"/>
          <w:b/>
          <w:color w:val="auto"/>
          <w:sz w:val="48"/>
        </w:rPr>
      </w:pPr>
    </w:p>
    <w:p>
      <w:pPr>
        <w:pStyle w:val="12"/>
        <w:rPr>
          <w:rFonts w:ascii="仿宋_GB2312" w:hAnsi="仿宋_GB2312" w:eastAsia="仿宋_GB2312" w:cs="仿宋_GB2312"/>
          <w:b/>
          <w:color w:val="auto"/>
          <w:sz w:val="48"/>
        </w:rPr>
      </w:pPr>
    </w:p>
    <w:p>
      <w:pPr>
        <w:pStyle w:val="6"/>
        <w:rPr>
          <w:rFonts w:ascii="仿宋_GB2312" w:hAnsi="仿宋_GB2312" w:eastAsia="仿宋_GB2312" w:cs="仿宋_GB2312"/>
          <w:b/>
          <w:color w:val="auto"/>
          <w:sz w:val="48"/>
        </w:rPr>
      </w:pPr>
    </w:p>
    <w:p>
      <w:pPr>
        <w:pStyle w:val="6"/>
        <w:rPr>
          <w:rFonts w:ascii="仿宋_GB2312" w:hAnsi="仿宋_GB2312" w:eastAsia="仿宋_GB2312" w:cs="仿宋_GB2312"/>
          <w:b/>
          <w:color w:val="auto"/>
          <w:sz w:val="48"/>
        </w:rPr>
      </w:pPr>
    </w:p>
    <w:p>
      <w:pPr>
        <w:tabs>
          <w:tab w:val="left" w:pos="315"/>
          <w:tab w:val="left" w:pos="8820"/>
        </w:tabs>
        <w:spacing w:line="500" w:lineRule="auto"/>
        <w:ind w:right="267"/>
        <w:jc w:val="center"/>
        <w:rPr>
          <w:rFonts w:ascii="微软简标宋" w:hAnsi="微软简标宋" w:eastAsia="微软简标宋" w:cs="微软简标宋"/>
          <w:b/>
          <w:color w:val="auto"/>
          <w:sz w:val="52"/>
        </w:rPr>
      </w:pPr>
      <w:r>
        <w:rPr>
          <w:rFonts w:ascii="宋体" w:hAnsi="宋体" w:eastAsia="宋体" w:cs="宋体"/>
          <w:b/>
          <w:color w:val="auto"/>
          <w:sz w:val="52"/>
        </w:rPr>
        <w:t>竞争性磋商文件</w:t>
      </w:r>
    </w:p>
    <w:p>
      <w:pPr>
        <w:tabs>
          <w:tab w:val="left" w:pos="315"/>
          <w:tab w:val="left" w:pos="8820"/>
        </w:tabs>
        <w:spacing w:line="500" w:lineRule="auto"/>
        <w:ind w:right="267"/>
        <w:jc w:val="center"/>
        <w:rPr>
          <w:rFonts w:ascii="仿宋_GB2312" w:hAnsi="仿宋_GB2312" w:eastAsia="仿宋_GB2312" w:cs="仿宋_GB2312"/>
          <w:color w:val="auto"/>
          <w:sz w:val="44"/>
        </w:rPr>
      </w:pPr>
    </w:p>
    <w:p>
      <w:pPr>
        <w:tabs>
          <w:tab w:val="left" w:pos="315"/>
          <w:tab w:val="left" w:pos="8820"/>
        </w:tabs>
        <w:ind w:right="267"/>
        <w:rPr>
          <w:rFonts w:ascii="仿宋_GB2312" w:hAnsi="仿宋_GB2312" w:eastAsia="仿宋_GB2312" w:cs="仿宋_GB2312"/>
          <w:color w:val="auto"/>
          <w:sz w:val="44"/>
        </w:rPr>
      </w:pPr>
    </w:p>
    <w:p>
      <w:pPr>
        <w:tabs>
          <w:tab w:val="left" w:pos="315"/>
          <w:tab w:val="left" w:pos="8820"/>
        </w:tabs>
        <w:spacing w:line="500" w:lineRule="auto"/>
        <w:ind w:right="267"/>
        <w:rPr>
          <w:rFonts w:ascii="仿宋_GB2312" w:hAnsi="仿宋_GB2312" w:eastAsia="仿宋_GB2312" w:cs="仿宋_GB2312"/>
          <w:b/>
          <w:color w:val="auto"/>
          <w:sz w:val="36"/>
        </w:rPr>
      </w:pPr>
    </w:p>
    <w:p>
      <w:pPr>
        <w:pStyle w:val="2"/>
        <w:rPr>
          <w:color w:val="auto"/>
        </w:rPr>
      </w:pPr>
    </w:p>
    <w:p>
      <w:pPr>
        <w:tabs>
          <w:tab w:val="left" w:pos="315"/>
          <w:tab w:val="left" w:pos="8820"/>
        </w:tabs>
        <w:spacing w:line="500" w:lineRule="auto"/>
        <w:ind w:right="267"/>
        <w:rPr>
          <w:rFonts w:ascii="仿宋_GB2312" w:hAnsi="仿宋_GB2312" w:eastAsia="仿宋_GB2312" w:cs="仿宋_GB2312"/>
          <w:b/>
          <w:color w:val="auto"/>
          <w:sz w:val="36"/>
        </w:rPr>
      </w:pPr>
    </w:p>
    <w:p>
      <w:pPr>
        <w:pStyle w:val="12"/>
        <w:rPr>
          <w:color w:val="auto"/>
        </w:rPr>
      </w:pPr>
    </w:p>
    <w:p>
      <w:pPr>
        <w:spacing w:after="120"/>
        <w:rPr>
          <w:rFonts w:ascii="宋体" w:hAnsi="宋体" w:eastAsia="宋体" w:cs="宋体"/>
          <w:b/>
          <w:color w:val="auto"/>
          <w:sz w:val="40"/>
          <w:szCs w:val="21"/>
        </w:rPr>
      </w:pPr>
      <w:r>
        <w:rPr>
          <w:rFonts w:ascii="宋体" w:hAnsi="宋体" w:eastAsia="宋体" w:cs="宋体"/>
          <w:b/>
          <w:color w:val="auto"/>
          <w:sz w:val="40"/>
          <w:szCs w:val="21"/>
        </w:rPr>
        <w:t xml:space="preserve">目名称: </w:t>
      </w:r>
      <w:r>
        <w:rPr>
          <w:rFonts w:hint="eastAsia" w:ascii="宋体" w:hAnsi="宋体" w:eastAsia="宋体" w:cs="宋体"/>
          <w:b/>
          <w:color w:val="auto"/>
          <w:sz w:val="40"/>
          <w:szCs w:val="21"/>
        </w:rPr>
        <w:t>郸城县疾病预防控制中心一体化医院污水处理设备采购项目</w:t>
      </w:r>
    </w:p>
    <w:p>
      <w:pPr>
        <w:spacing w:after="120"/>
        <w:rPr>
          <w:rFonts w:hint="eastAsia" w:ascii="微软简标宋" w:hAnsi="微软简标宋" w:eastAsia="宋体" w:cs="微软简标宋"/>
          <w:b/>
          <w:color w:val="auto"/>
          <w:sz w:val="48"/>
          <w:szCs w:val="21"/>
        </w:rPr>
      </w:pPr>
      <w:r>
        <w:rPr>
          <w:rFonts w:ascii="宋体" w:hAnsi="宋体" w:eastAsia="宋体" w:cs="宋体"/>
          <w:b/>
          <w:color w:val="auto"/>
          <w:sz w:val="40"/>
          <w:szCs w:val="21"/>
        </w:rPr>
        <w:t>项目编号:</w:t>
      </w:r>
      <w:r>
        <w:rPr>
          <w:rFonts w:hint="eastAsia" w:ascii="宋体" w:hAnsi="宋体" w:eastAsia="宋体" w:cs="宋体"/>
          <w:b/>
          <w:color w:val="auto"/>
          <w:sz w:val="40"/>
          <w:szCs w:val="21"/>
        </w:rPr>
        <w:t>郸财磋商采购-2024-31</w:t>
      </w:r>
    </w:p>
    <w:p>
      <w:pPr>
        <w:spacing w:after="120"/>
        <w:rPr>
          <w:rFonts w:ascii="宋体" w:hAnsi="宋体" w:eastAsia="宋体" w:cs="宋体"/>
          <w:b/>
          <w:color w:val="auto"/>
          <w:sz w:val="32"/>
        </w:rPr>
      </w:pPr>
    </w:p>
    <w:p>
      <w:pPr>
        <w:spacing w:after="120"/>
        <w:rPr>
          <w:rFonts w:ascii="宋体" w:hAnsi="宋体" w:eastAsia="宋体" w:cs="宋体"/>
          <w:b/>
          <w:color w:val="auto"/>
          <w:sz w:val="32"/>
        </w:rPr>
      </w:pPr>
    </w:p>
    <w:p>
      <w:pPr>
        <w:spacing w:after="120"/>
        <w:jc w:val="center"/>
        <w:rPr>
          <w:rFonts w:ascii="宋体" w:hAnsi="宋体" w:eastAsia="宋体" w:cs="宋体"/>
          <w:b/>
          <w:color w:val="auto"/>
          <w:sz w:val="32"/>
        </w:rPr>
      </w:pPr>
      <w:r>
        <w:rPr>
          <w:rFonts w:ascii="宋体" w:hAnsi="宋体" w:eastAsia="宋体" w:cs="宋体"/>
          <w:color w:val="auto"/>
          <w:sz w:val="20"/>
        </w:rPr>
        <w:t>******</w:t>
      </w:r>
      <w:r>
        <w:rPr>
          <w:rFonts w:ascii="宋体" w:hAnsi="宋体" w:eastAsia="宋体" w:cs="宋体"/>
          <w:b/>
          <w:color w:val="auto"/>
          <w:sz w:val="32"/>
        </w:rPr>
        <w:t>年</w:t>
      </w:r>
      <w:r>
        <w:rPr>
          <w:rFonts w:ascii="宋体" w:hAnsi="宋体" w:eastAsia="宋体" w:cs="宋体"/>
          <w:color w:val="auto"/>
          <w:sz w:val="20"/>
        </w:rPr>
        <w:t>******</w:t>
      </w:r>
      <w:r>
        <w:rPr>
          <w:rFonts w:ascii="宋体" w:hAnsi="宋体" w:eastAsia="宋体" w:cs="宋体"/>
          <w:b/>
          <w:color w:val="auto"/>
          <w:sz w:val="32"/>
        </w:rPr>
        <w:t>月</w:t>
      </w:r>
      <w:r>
        <w:rPr>
          <w:rFonts w:ascii="宋体" w:hAnsi="宋体" w:eastAsia="宋体" w:cs="宋体"/>
          <w:color w:val="auto"/>
          <w:sz w:val="20"/>
        </w:rPr>
        <w:t>******</w:t>
      </w:r>
      <w:r>
        <w:rPr>
          <w:rFonts w:ascii="宋体" w:hAnsi="宋体" w:eastAsia="宋体" w:cs="宋体"/>
          <w:b/>
          <w:color w:val="auto"/>
          <w:sz w:val="32"/>
        </w:rPr>
        <w:t>日</w:t>
      </w:r>
    </w:p>
    <w:p>
      <w:pPr>
        <w:spacing w:after="120"/>
        <w:jc w:val="center"/>
        <w:rPr>
          <w:rFonts w:ascii="宋体" w:hAnsi="宋体" w:eastAsia="宋体" w:cs="宋体"/>
          <w:b/>
          <w:color w:val="auto"/>
          <w:sz w:val="32"/>
        </w:rPr>
      </w:pPr>
    </w:p>
    <w:p>
      <w:pPr>
        <w:rPr>
          <w:rFonts w:ascii="仿宋_GB2312" w:hAnsi="仿宋_GB2312" w:eastAsia="仿宋_GB2312" w:cs="仿宋_GB2312"/>
          <w:b/>
          <w:color w:val="auto"/>
          <w:sz w:val="30"/>
        </w:rPr>
      </w:pPr>
    </w:p>
    <w:p>
      <w:pPr>
        <w:ind w:firstLine="210"/>
        <w:jc w:val="left"/>
        <w:rPr>
          <w:rFonts w:ascii="Times New Roman" w:hAnsi="Times New Roman" w:eastAsia="Times New Roman" w:cs="Times New Roman"/>
          <w:color w:val="auto"/>
          <w:sz w:val="22"/>
        </w:rPr>
      </w:pPr>
    </w:p>
    <w:p>
      <w:pPr>
        <w:ind w:firstLine="210"/>
        <w:jc w:val="left"/>
        <w:rPr>
          <w:rFonts w:ascii="Times New Roman" w:hAnsi="Times New Roman" w:eastAsia="Times New Roman" w:cs="Times New Roman"/>
          <w:color w:val="auto"/>
          <w:sz w:val="22"/>
        </w:rPr>
      </w:pPr>
    </w:p>
    <w:p>
      <w:pPr>
        <w:ind w:firstLine="210"/>
        <w:jc w:val="left"/>
        <w:rPr>
          <w:rFonts w:ascii="Times New Roman" w:hAnsi="Times New Roman" w:eastAsia="Times New Roman" w:cs="Times New Roman"/>
          <w:color w:val="auto"/>
          <w:sz w:val="22"/>
        </w:rPr>
      </w:pPr>
    </w:p>
    <w:p>
      <w:pPr>
        <w:spacing w:line="560" w:lineRule="auto"/>
        <w:jc w:val="center"/>
        <w:rPr>
          <w:rFonts w:ascii="宋体" w:hAnsi="宋体" w:eastAsia="宋体" w:cs="宋体"/>
          <w:b/>
          <w:color w:val="auto"/>
          <w:sz w:val="32"/>
        </w:rPr>
      </w:pPr>
      <w:r>
        <w:rPr>
          <w:rFonts w:ascii="宋体" w:hAnsi="宋体" w:eastAsia="宋体" w:cs="宋体"/>
          <w:b/>
          <w:color w:val="auto"/>
          <w:sz w:val="32"/>
        </w:rPr>
        <w:t>目     录</w:t>
      </w:r>
    </w:p>
    <w:p>
      <w:pPr>
        <w:rPr>
          <w:rFonts w:ascii="宋体" w:hAnsi="宋体" w:eastAsia="宋体" w:cs="宋体"/>
          <w:b/>
          <w:color w:val="auto"/>
          <w:sz w:val="32"/>
        </w:rPr>
      </w:pPr>
    </w:p>
    <w:p>
      <w:pPr>
        <w:spacing w:line="800" w:lineRule="auto"/>
        <w:rPr>
          <w:rFonts w:ascii="宋体" w:hAnsi="宋体" w:eastAsia="宋体" w:cs="宋体"/>
          <w:b/>
          <w:color w:val="auto"/>
          <w:sz w:val="32"/>
        </w:rPr>
      </w:pPr>
      <w:r>
        <w:rPr>
          <w:rFonts w:ascii="宋体" w:hAnsi="宋体" w:eastAsia="宋体" w:cs="宋体"/>
          <w:b/>
          <w:color w:val="auto"/>
          <w:sz w:val="32"/>
        </w:rPr>
        <w:t>第一章  竞争性磋商邀请函 .........................3</w:t>
      </w:r>
    </w:p>
    <w:p>
      <w:pPr>
        <w:spacing w:line="800" w:lineRule="auto"/>
        <w:rPr>
          <w:rFonts w:ascii="宋体" w:hAnsi="宋体" w:eastAsia="宋体" w:cs="宋体"/>
          <w:b/>
          <w:color w:val="auto"/>
          <w:sz w:val="32"/>
        </w:rPr>
      </w:pPr>
      <w:r>
        <w:rPr>
          <w:rFonts w:ascii="宋体" w:hAnsi="宋体" w:eastAsia="宋体" w:cs="宋体"/>
          <w:b/>
          <w:color w:val="auto"/>
          <w:sz w:val="32"/>
        </w:rPr>
        <w:t>第二章  供应商须知 ...............................6</w:t>
      </w:r>
    </w:p>
    <w:p>
      <w:pPr>
        <w:spacing w:line="800" w:lineRule="auto"/>
        <w:rPr>
          <w:rFonts w:ascii="宋体" w:hAnsi="宋体" w:eastAsia="宋体" w:cs="宋体"/>
          <w:b/>
          <w:color w:val="auto"/>
          <w:sz w:val="32"/>
        </w:rPr>
      </w:pPr>
      <w:r>
        <w:rPr>
          <w:rFonts w:ascii="宋体" w:hAnsi="宋体" w:eastAsia="宋体" w:cs="宋体"/>
          <w:b/>
          <w:color w:val="auto"/>
          <w:sz w:val="32"/>
        </w:rPr>
        <w:t>第三章  采购需求.................................2</w:t>
      </w:r>
      <w:r>
        <w:rPr>
          <w:rFonts w:hint="eastAsia" w:ascii="宋体" w:hAnsi="宋体" w:eastAsia="宋体" w:cs="宋体"/>
          <w:b/>
          <w:color w:val="auto"/>
          <w:sz w:val="32"/>
        </w:rPr>
        <w:t>8</w:t>
      </w:r>
    </w:p>
    <w:p>
      <w:pPr>
        <w:spacing w:line="800" w:lineRule="auto"/>
        <w:rPr>
          <w:rFonts w:ascii="宋体" w:hAnsi="宋体" w:eastAsia="宋体" w:cs="宋体"/>
          <w:b/>
          <w:color w:val="auto"/>
          <w:sz w:val="32"/>
        </w:rPr>
      </w:pPr>
      <w:r>
        <w:rPr>
          <w:rFonts w:ascii="宋体" w:hAnsi="宋体" w:eastAsia="宋体" w:cs="宋体"/>
          <w:b/>
          <w:color w:val="auto"/>
          <w:sz w:val="32"/>
        </w:rPr>
        <w:t>第四章  响应性文件内容及格式.....................</w:t>
      </w:r>
      <w:r>
        <w:rPr>
          <w:rFonts w:hint="eastAsia" w:ascii="宋体" w:hAnsi="宋体" w:eastAsia="宋体" w:cs="宋体"/>
          <w:b/>
          <w:color w:val="auto"/>
          <w:sz w:val="32"/>
        </w:rPr>
        <w:t>30</w:t>
      </w:r>
    </w:p>
    <w:p>
      <w:pPr>
        <w:spacing w:line="800" w:lineRule="auto"/>
        <w:rPr>
          <w:rFonts w:ascii="宋体" w:hAnsi="宋体" w:eastAsia="宋体" w:cs="宋体"/>
          <w:b/>
          <w:color w:val="auto"/>
          <w:sz w:val="32"/>
        </w:rPr>
      </w:pPr>
      <w:r>
        <w:rPr>
          <w:rFonts w:ascii="宋体" w:hAnsi="宋体" w:eastAsia="宋体" w:cs="宋体"/>
          <w:b/>
          <w:color w:val="auto"/>
          <w:sz w:val="32"/>
        </w:rPr>
        <w:t>第五章  合同主要条款 合同签订指引、供应商履约验收指引4</w:t>
      </w:r>
      <w:r>
        <w:rPr>
          <w:rFonts w:hint="eastAsia" w:ascii="宋体" w:hAnsi="宋体" w:eastAsia="宋体" w:cs="宋体"/>
          <w:b/>
          <w:color w:val="auto"/>
          <w:sz w:val="32"/>
        </w:rPr>
        <w:t>0</w:t>
      </w:r>
    </w:p>
    <w:p>
      <w:pPr>
        <w:spacing w:line="800" w:lineRule="auto"/>
        <w:rPr>
          <w:rFonts w:ascii="宋体" w:hAnsi="宋体" w:eastAsia="宋体" w:cs="宋体"/>
          <w:b/>
          <w:color w:val="auto"/>
          <w:sz w:val="32"/>
        </w:rPr>
      </w:pPr>
    </w:p>
    <w:p>
      <w:pPr>
        <w:spacing w:line="800" w:lineRule="auto"/>
        <w:rPr>
          <w:rFonts w:ascii="宋体" w:hAnsi="宋体" w:eastAsia="宋体" w:cs="宋体"/>
          <w:b/>
          <w:color w:val="auto"/>
          <w:sz w:val="32"/>
        </w:rPr>
      </w:pPr>
    </w:p>
    <w:p>
      <w:pPr>
        <w:spacing w:line="800" w:lineRule="auto"/>
        <w:rPr>
          <w:rFonts w:ascii="宋体" w:hAnsi="宋体" w:eastAsia="宋体" w:cs="宋体"/>
          <w:b/>
          <w:color w:val="auto"/>
          <w:sz w:val="32"/>
        </w:rPr>
      </w:pPr>
    </w:p>
    <w:p>
      <w:pPr>
        <w:spacing w:line="800" w:lineRule="auto"/>
        <w:ind w:firstLine="2249"/>
        <w:rPr>
          <w:rFonts w:ascii="宋体" w:hAnsi="宋体" w:eastAsia="宋体" w:cs="宋体"/>
          <w:b/>
          <w:color w:val="auto"/>
          <w:sz w:val="32"/>
        </w:rPr>
      </w:pPr>
      <w:r>
        <w:rPr>
          <w:rFonts w:ascii="宋体" w:hAnsi="宋体" w:eastAsia="宋体" w:cs="宋体"/>
          <w:b/>
          <w:color w:val="auto"/>
          <w:sz w:val="32"/>
        </w:rPr>
        <w:t xml:space="preserve">     </w:t>
      </w:r>
    </w:p>
    <w:p>
      <w:pPr>
        <w:spacing w:line="800" w:lineRule="auto"/>
        <w:ind w:firstLine="2249"/>
        <w:rPr>
          <w:rFonts w:ascii="宋体" w:hAnsi="宋体" w:eastAsia="宋体" w:cs="宋体"/>
          <w:b/>
          <w:color w:val="auto"/>
          <w:sz w:val="32"/>
        </w:rPr>
      </w:pPr>
      <w:r>
        <w:rPr>
          <w:rFonts w:ascii="宋体" w:hAnsi="宋体" w:eastAsia="宋体" w:cs="宋体"/>
          <w:b/>
          <w:color w:val="auto"/>
          <w:sz w:val="32"/>
        </w:rPr>
        <w:br w:type="page"/>
      </w:r>
      <w:r>
        <w:rPr>
          <w:rFonts w:ascii="宋体" w:hAnsi="宋体" w:eastAsia="宋体" w:cs="宋体"/>
          <w:b/>
          <w:color w:val="auto"/>
          <w:sz w:val="32"/>
        </w:rPr>
        <w:t>第一章    竞争性磋商邀请函</w:t>
      </w:r>
    </w:p>
    <w:p>
      <w:pPr>
        <w:spacing w:line="360" w:lineRule="auto"/>
        <w:ind w:firstLine="480"/>
        <w:rPr>
          <w:rFonts w:hint="eastAsia" w:ascii="宋体" w:hAnsi="宋体" w:eastAsia="宋体" w:cs="宋体"/>
          <w:color w:val="auto"/>
          <w:sz w:val="24"/>
        </w:rPr>
      </w:pPr>
      <w:r>
        <w:rPr>
          <w:rFonts w:hint="eastAsia" w:ascii="宋体" w:hAnsi="宋体" w:eastAsia="宋体" w:cs="宋体"/>
          <w:color w:val="auto"/>
          <w:sz w:val="24"/>
        </w:rPr>
        <w:t>项目概况</w:t>
      </w:r>
    </w:p>
    <w:p>
      <w:pPr>
        <w:spacing w:line="360" w:lineRule="auto"/>
        <w:ind w:firstLine="480"/>
        <w:rPr>
          <w:rFonts w:hint="eastAsia" w:ascii="宋体" w:hAnsi="宋体" w:eastAsia="宋体" w:cs="宋体"/>
          <w:color w:val="auto"/>
          <w:sz w:val="24"/>
          <w:lang w:val="en-US"/>
        </w:rPr>
      </w:pPr>
      <w:r>
        <w:rPr>
          <w:rFonts w:hint="eastAsia" w:ascii="宋体" w:hAnsi="宋体" w:eastAsia="宋体" w:cs="宋体"/>
          <w:color w:val="auto"/>
          <w:sz w:val="24"/>
        </w:rPr>
        <w:t>郸城县疾病预防控制中心一体化医院污水处理设备采购项目的潜在供应商应在周口市公共资源交易中心网获取采购文件，并于</w:t>
      </w:r>
      <w:r>
        <w:rPr>
          <w:rFonts w:hint="eastAsia" w:ascii="宋体" w:hAnsi="宋体" w:eastAsia="宋体" w:cs="宋体"/>
          <w:color w:val="auto"/>
          <w:sz w:val="24"/>
          <w:lang w:val="en-US" w:eastAsia="zh-CN"/>
        </w:rPr>
        <w:t>2024</w:t>
      </w:r>
      <w:r>
        <w:rPr>
          <w:rFonts w:hint="eastAsia" w:ascii="宋体" w:hAnsi="宋体" w:eastAsia="宋体" w:cs="宋体"/>
          <w:color w:val="auto"/>
          <w:sz w:val="24"/>
        </w:rPr>
        <w:t>年</w:t>
      </w:r>
      <w:r>
        <w:rPr>
          <w:rFonts w:hint="eastAsia" w:ascii="宋体" w:hAnsi="宋体" w:eastAsia="宋体" w:cs="宋体"/>
          <w:color w:val="auto"/>
          <w:sz w:val="24"/>
          <w:lang w:val="en-US" w:eastAsia="zh-CN"/>
        </w:rPr>
        <w:t>6</w:t>
      </w:r>
      <w:r>
        <w:rPr>
          <w:rFonts w:hint="eastAsia" w:ascii="宋体" w:hAnsi="宋体" w:eastAsia="宋体" w:cs="宋体"/>
          <w:color w:val="auto"/>
          <w:sz w:val="24"/>
        </w:rPr>
        <w:t>月</w:t>
      </w:r>
      <w:r>
        <w:rPr>
          <w:rFonts w:hint="eastAsia" w:ascii="宋体" w:hAnsi="宋体" w:eastAsia="宋体" w:cs="宋体"/>
          <w:color w:val="auto"/>
          <w:sz w:val="24"/>
          <w:lang w:val="en-US" w:eastAsia="zh-CN"/>
        </w:rPr>
        <w:t>13</w:t>
      </w:r>
      <w:r>
        <w:rPr>
          <w:rFonts w:hint="eastAsia" w:ascii="宋体" w:hAnsi="宋体" w:eastAsia="宋体" w:cs="宋体"/>
          <w:color w:val="auto"/>
          <w:sz w:val="24"/>
        </w:rPr>
        <w:t>日</w:t>
      </w:r>
      <w:r>
        <w:rPr>
          <w:rFonts w:hint="eastAsia" w:ascii="宋体" w:hAnsi="宋体" w:eastAsia="宋体" w:cs="宋体"/>
          <w:color w:val="auto"/>
          <w:sz w:val="24"/>
          <w:lang w:val="en-US" w:eastAsia="zh-CN"/>
        </w:rPr>
        <w:t>10</w:t>
      </w:r>
      <w:r>
        <w:rPr>
          <w:rFonts w:hint="eastAsia" w:ascii="宋体" w:hAnsi="宋体" w:eastAsia="宋体" w:cs="宋体"/>
          <w:color w:val="auto"/>
          <w:sz w:val="24"/>
        </w:rPr>
        <w:t xml:space="preserve"> 点</w:t>
      </w:r>
      <w:r>
        <w:rPr>
          <w:rFonts w:hint="eastAsia" w:ascii="宋体" w:hAnsi="宋体" w:eastAsia="宋体" w:cs="宋体"/>
          <w:color w:val="auto"/>
          <w:sz w:val="24"/>
          <w:lang w:val="en-US" w:eastAsia="zh-CN"/>
        </w:rPr>
        <w:t>00</w:t>
      </w:r>
      <w:r>
        <w:rPr>
          <w:rFonts w:hint="eastAsia" w:ascii="宋体" w:hAnsi="宋体" w:eastAsia="宋体" w:cs="宋体"/>
          <w:color w:val="auto"/>
          <w:sz w:val="24"/>
          <w:lang w:val="en-US"/>
        </w:rPr>
        <w:t>（北京时间）前递交投标文件。</w:t>
      </w:r>
    </w:p>
    <w:p>
      <w:pPr>
        <w:ind w:firstLine="480"/>
        <w:rPr>
          <w:rFonts w:ascii="Times New Roman" w:hAnsi="Times New Roman" w:eastAsia="Times New Roman" w:cs="Times New Roman"/>
          <w:color w:val="auto"/>
          <w:sz w:val="24"/>
        </w:rPr>
      </w:pPr>
      <w:r>
        <w:rPr>
          <w:rFonts w:ascii="宋体" w:hAnsi="宋体" w:eastAsia="宋体" w:cs="宋体"/>
          <w:color w:val="auto"/>
          <w:sz w:val="24"/>
        </w:rPr>
        <w:t>一、项目基本情况</w:t>
      </w:r>
    </w:p>
    <w:p>
      <w:pPr>
        <w:spacing w:line="360" w:lineRule="auto"/>
        <w:ind w:firstLine="480"/>
        <w:rPr>
          <w:rFonts w:ascii="宋体" w:hAnsi="宋体" w:eastAsia="宋体" w:cs="宋体"/>
          <w:color w:val="auto"/>
          <w:sz w:val="24"/>
        </w:rPr>
      </w:pPr>
      <w:r>
        <w:rPr>
          <w:rFonts w:ascii="宋体" w:hAnsi="宋体" w:eastAsia="宋体" w:cs="宋体"/>
          <w:color w:val="auto"/>
          <w:sz w:val="24"/>
        </w:rPr>
        <w:t>项目编号：</w:t>
      </w:r>
      <w:r>
        <w:rPr>
          <w:rFonts w:hint="eastAsia" w:ascii="宋体" w:hAnsi="宋体" w:eastAsia="宋体" w:cs="宋体"/>
          <w:color w:val="auto"/>
          <w:sz w:val="24"/>
        </w:rPr>
        <w:t>郸财磋商采购-2024-31</w:t>
      </w:r>
    </w:p>
    <w:p>
      <w:pPr>
        <w:spacing w:line="360" w:lineRule="auto"/>
        <w:ind w:firstLine="480"/>
        <w:rPr>
          <w:rFonts w:ascii="Times New Roman" w:hAnsi="Times New Roman" w:eastAsia="Times New Roman" w:cs="Times New Roman"/>
          <w:color w:val="auto"/>
          <w:sz w:val="24"/>
        </w:rPr>
      </w:pPr>
      <w:r>
        <w:rPr>
          <w:rFonts w:ascii="宋体" w:hAnsi="宋体" w:eastAsia="宋体" w:cs="宋体"/>
          <w:color w:val="auto"/>
          <w:sz w:val="24"/>
        </w:rPr>
        <w:t>项目名称：</w:t>
      </w:r>
      <w:r>
        <w:rPr>
          <w:rFonts w:hint="eastAsia" w:ascii="Times New Roman" w:hAnsi="Times New Roman" w:eastAsia="Times New Roman" w:cs="Times New Roman"/>
          <w:color w:val="auto"/>
          <w:sz w:val="24"/>
        </w:rPr>
        <w:t>郸城县疾病预防控制中心一体化医院污水处理设备采购项目</w:t>
      </w:r>
    </w:p>
    <w:p>
      <w:pPr>
        <w:spacing w:line="360" w:lineRule="auto"/>
        <w:ind w:firstLine="480"/>
        <w:rPr>
          <w:rFonts w:ascii="Times New Roman" w:hAnsi="Times New Roman" w:eastAsia="Times New Roman" w:cs="Times New Roman"/>
          <w:color w:val="auto"/>
          <w:sz w:val="24"/>
        </w:rPr>
      </w:pPr>
      <w:r>
        <w:rPr>
          <w:rFonts w:ascii="宋体" w:hAnsi="宋体" w:eastAsia="宋体" w:cs="宋体"/>
          <w:color w:val="auto"/>
          <w:sz w:val="24"/>
        </w:rPr>
        <w:t>采购方式：竞争性磋商</w:t>
      </w:r>
    </w:p>
    <w:p>
      <w:pPr>
        <w:spacing w:line="360" w:lineRule="auto"/>
        <w:ind w:firstLine="480"/>
        <w:rPr>
          <w:rFonts w:ascii="Times New Roman" w:hAnsi="Times New Roman" w:eastAsia="宋体" w:cs="Times New Roman"/>
          <w:color w:val="auto"/>
          <w:sz w:val="24"/>
        </w:rPr>
      </w:pPr>
      <w:r>
        <w:rPr>
          <w:rFonts w:ascii="宋体" w:hAnsi="宋体" w:eastAsia="宋体" w:cs="宋体"/>
          <w:color w:val="auto"/>
          <w:sz w:val="24"/>
        </w:rPr>
        <w:t>预算金额：</w:t>
      </w:r>
      <w:r>
        <w:rPr>
          <w:rFonts w:hint="eastAsia" w:ascii="宋体" w:hAnsi="宋体" w:eastAsia="宋体" w:cs="宋体"/>
          <w:color w:val="auto"/>
          <w:sz w:val="24"/>
        </w:rPr>
        <w:t>58.6万元</w:t>
      </w:r>
    </w:p>
    <w:p>
      <w:pPr>
        <w:spacing w:line="360" w:lineRule="auto"/>
        <w:ind w:firstLine="480"/>
        <w:rPr>
          <w:rFonts w:ascii="Times New Roman" w:hAnsi="Times New Roman" w:eastAsia="Times New Roman" w:cs="Times New Roman"/>
          <w:color w:val="auto"/>
          <w:sz w:val="24"/>
        </w:rPr>
      </w:pPr>
      <w:r>
        <w:rPr>
          <w:rFonts w:ascii="宋体" w:hAnsi="宋体" w:eastAsia="宋体" w:cs="宋体"/>
          <w:color w:val="auto"/>
          <w:sz w:val="24"/>
        </w:rPr>
        <w:t>最高限价：</w:t>
      </w:r>
      <w:r>
        <w:rPr>
          <w:rFonts w:hint="eastAsia" w:ascii="宋体" w:hAnsi="宋体" w:eastAsia="宋体" w:cs="宋体"/>
          <w:color w:val="auto"/>
          <w:sz w:val="24"/>
        </w:rPr>
        <w:t>58.6万元</w:t>
      </w:r>
    </w:p>
    <w:p>
      <w:pPr>
        <w:spacing w:line="360" w:lineRule="auto"/>
        <w:ind w:firstLine="480"/>
        <w:rPr>
          <w:rFonts w:ascii="宋体" w:hAnsi="宋体" w:eastAsia="宋体" w:cs="宋体"/>
          <w:color w:val="auto"/>
          <w:sz w:val="24"/>
        </w:rPr>
      </w:pPr>
      <w:r>
        <w:rPr>
          <w:rFonts w:ascii="宋体" w:hAnsi="宋体" w:eastAsia="宋体" w:cs="宋体"/>
          <w:color w:val="auto"/>
          <w:sz w:val="24"/>
        </w:rPr>
        <w:t>包划分：</w:t>
      </w:r>
      <w:r>
        <w:rPr>
          <w:rFonts w:hint="eastAsia" w:ascii="宋体" w:hAnsi="宋体" w:eastAsia="宋体" w:cs="宋体"/>
          <w:color w:val="auto"/>
          <w:sz w:val="24"/>
        </w:rPr>
        <w:t>1</w:t>
      </w:r>
      <w:r>
        <w:rPr>
          <w:rFonts w:ascii="宋体" w:hAnsi="宋体" w:eastAsia="宋体" w:cs="宋体"/>
          <w:color w:val="auto"/>
          <w:sz w:val="24"/>
        </w:rPr>
        <w:t>个包</w:t>
      </w:r>
    </w:p>
    <w:tbl>
      <w:tblPr>
        <w:tblStyle w:val="8"/>
        <w:tblW w:w="0" w:type="auto"/>
        <w:tblInd w:w="0" w:type="dxa"/>
        <w:tblLayout w:type="autofit"/>
        <w:tblCellMar>
          <w:top w:w="0" w:type="dxa"/>
          <w:left w:w="10" w:type="dxa"/>
          <w:bottom w:w="0" w:type="dxa"/>
          <w:right w:w="10" w:type="dxa"/>
        </w:tblCellMar>
      </w:tblPr>
      <w:tblGrid>
        <w:gridCol w:w="2604"/>
        <w:gridCol w:w="2626"/>
        <w:gridCol w:w="2628"/>
      </w:tblGrid>
      <w:tr>
        <w:tblPrEx>
          <w:tblCellMar>
            <w:top w:w="0" w:type="dxa"/>
            <w:left w:w="10" w:type="dxa"/>
            <w:bottom w:w="0" w:type="dxa"/>
            <w:right w:w="10" w:type="dxa"/>
          </w:tblCellMar>
        </w:tblPrEx>
        <w:trPr>
          <w:trHeight w:val="1" w:hRule="atLeast"/>
        </w:trPr>
        <w:tc>
          <w:tcPr>
            <w:tcW w:w="260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jc w:val="center"/>
              <w:rPr>
                <w:rFonts w:ascii="宋体" w:hAnsi="宋体" w:eastAsia="宋体" w:cs="宋体"/>
                <w:color w:val="auto"/>
              </w:rPr>
            </w:pPr>
            <w:r>
              <w:rPr>
                <w:rFonts w:ascii="宋体" w:hAnsi="宋体" w:eastAsia="宋体" w:cs="宋体"/>
                <w:color w:val="auto"/>
                <w:sz w:val="24"/>
                <w:shd w:val="clear" w:color="auto" w:fill="FFFFFF"/>
              </w:rPr>
              <w:t>包号</w:t>
            </w:r>
          </w:p>
        </w:tc>
        <w:tc>
          <w:tcPr>
            <w:tcW w:w="262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jc w:val="center"/>
              <w:rPr>
                <w:rFonts w:ascii="宋体" w:hAnsi="宋体" w:eastAsia="宋体" w:cs="宋体"/>
                <w:color w:val="auto"/>
              </w:rPr>
            </w:pPr>
            <w:r>
              <w:rPr>
                <w:rFonts w:ascii="宋体" w:hAnsi="宋体" w:eastAsia="宋体" w:cs="宋体"/>
                <w:color w:val="auto"/>
                <w:sz w:val="24"/>
                <w:shd w:val="clear" w:color="auto" w:fill="FFFFFF"/>
              </w:rPr>
              <w:t>包名称</w:t>
            </w:r>
          </w:p>
        </w:tc>
        <w:tc>
          <w:tcPr>
            <w:tcW w:w="262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jc w:val="center"/>
              <w:rPr>
                <w:rFonts w:ascii="宋体" w:hAnsi="宋体" w:eastAsia="宋体" w:cs="宋体"/>
                <w:color w:val="auto"/>
              </w:rPr>
            </w:pPr>
            <w:r>
              <w:rPr>
                <w:rFonts w:ascii="宋体" w:hAnsi="宋体" w:eastAsia="宋体" w:cs="宋体"/>
                <w:color w:val="auto"/>
                <w:sz w:val="24"/>
                <w:shd w:val="clear" w:color="auto" w:fill="FFFFFF"/>
              </w:rPr>
              <w:t>包最高限价万元</w:t>
            </w:r>
          </w:p>
        </w:tc>
      </w:tr>
      <w:tr>
        <w:tblPrEx>
          <w:tblCellMar>
            <w:top w:w="0" w:type="dxa"/>
            <w:left w:w="10" w:type="dxa"/>
            <w:bottom w:w="0" w:type="dxa"/>
            <w:right w:w="10" w:type="dxa"/>
          </w:tblCellMar>
        </w:tblPrEx>
        <w:tc>
          <w:tcPr>
            <w:tcW w:w="260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jc w:val="center"/>
              <w:rPr>
                <w:rFonts w:ascii="宋体" w:hAnsi="宋体" w:eastAsia="宋体" w:cs="宋体"/>
                <w:color w:val="auto"/>
              </w:rPr>
            </w:pPr>
            <w:r>
              <w:rPr>
                <w:rFonts w:ascii="宋体" w:hAnsi="宋体" w:eastAsia="宋体" w:cs="宋体"/>
                <w:color w:val="auto"/>
                <w:sz w:val="24"/>
                <w:shd w:val="clear" w:color="auto" w:fill="FFFFFF"/>
              </w:rPr>
              <w:t>1</w:t>
            </w:r>
          </w:p>
        </w:tc>
        <w:tc>
          <w:tcPr>
            <w:tcW w:w="262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rPr>
                <w:color w:val="auto"/>
              </w:rPr>
            </w:pPr>
            <w:r>
              <w:rPr>
                <w:rFonts w:hint="eastAsia" w:ascii="宋体" w:hAnsi="宋体" w:eastAsia="宋体" w:cs="宋体"/>
                <w:color w:val="auto"/>
                <w:sz w:val="24"/>
              </w:rPr>
              <w:t>郸城县疾病预防控制中心一体化医院污水处理设备采购项目</w:t>
            </w:r>
          </w:p>
        </w:tc>
        <w:tc>
          <w:tcPr>
            <w:tcW w:w="262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firstLine="960" w:firstLineChars="400"/>
              <w:rPr>
                <w:color w:val="auto"/>
              </w:rPr>
            </w:pPr>
            <w:r>
              <w:rPr>
                <w:rFonts w:hint="eastAsia" w:ascii="宋体" w:hAnsi="宋体" w:eastAsia="宋体" w:cs="宋体"/>
                <w:color w:val="auto"/>
                <w:sz w:val="24"/>
                <w:shd w:val="clear" w:color="auto" w:fill="FFFFFF"/>
              </w:rPr>
              <w:t>58.6</w:t>
            </w:r>
          </w:p>
        </w:tc>
      </w:tr>
    </w:tbl>
    <w:p>
      <w:pPr>
        <w:spacing w:line="360" w:lineRule="auto"/>
        <w:ind w:firstLine="480"/>
        <w:rPr>
          <w:rFonts w:ascii="Times New Roman" w:hAnsi="Times New Roman" w:eastAsia="宋体" w:cs="Times New Roman"/>
          <w:color w:val="auto"/>
          <w:sz w:val="24"/>
        </w:rPr>
      </w:pPr>
      <w:r>
        <w:rPr>
          <w:rFonts w:ascii="宋体" w:hAnsi="宋体" w:eastAsia="宋体" w:cs="宋体"/>
          <w:color w:val="auto"/>
          <w:sz w:val="24"/>
        </w:rPr>
        <w:t>采购需求：（包括但不限于标的的名称、数量、简要技术需求或服务要求等）</w:t>
      </w:r>
      <w:r>
        <w:rPr>
          <w:rFonts w:hint="eastAsia" w:ascii="宋体" w:hAnsi="宋体" w:eastAsia="宋体" w:cs="宋体"/>
          <w:color w:val="auto"/>
          <w:sz w:val="24"/>
        </w:rPr>
        <w:t>一体化医院污水处理设备</w:t>
      </w:r>
    </w:p>
    <w:p>
      <w:pPr>
        <w:spacing w:line="360" w:lineRule="auto"/>
        <w:ind w:firstLine="480"/>
        <w:rPr>
          <w:rFonts w:asciiTheme="minorEastAsia" w:hAnsiTheme="minorEastAsia" w:cstheme="minorEastAsia"/>
          <w:color w:val="auto"/>
          <w:sz w:val="24"/>
        </w:rPr>
      </w:pPr>
      <w:r>
        <w:rPr>
          <w:rFonts w:hint="eastAsia" w:asciiTheme="minorEastAsia" w:hAnsiTheme="minorEastAsia" w:cstheme="minorEastAsia"/>
          <w:color w:val="auto"/>
          <w:sz w:val="24"/>
        </w:rPr>
        <w:t>合同履行期限：30日历天</w:t>
      </w:r>
    </w:p>
    <w:p>
      <w:pPr>
        <w:spacing w:line="360" w:lineRule="auto"/>
        <w:ind w:firstLine="480" w:firstLineChars="200"/>
        <w:jc w:val="left"/>
        <w:rPr>
          <w:rFonts w:asciiTheme="minorEastAsia" w:hAnsiTheme="minorEastAsia" w:cstheme="minorEastAsia"/>
          <w:color w:val="auto"/>
          <w:sz w:val="24"/>
          <w:szCs w:val="24"/>
        </w:rPr>
      </w:pPr>
      <w:r>
        <w:rPr>
          <w:rFonts w:hint="eastAsia" w:asciiTheme="minorEastAsia" w:hAnsiTheme="minorEastAsia" w:cstheme="minorEastAsia"/>
          <w:color w:val="auto"/>
          <w:sz w:val="24"/>
          <w:szCs w:val="24"/>
        </w:rPr>
        <w:t>是否接受进口产品：否</w:t>
      </w:r>
    </w:p>
    <w:p>
      <w:pPr>
        <w:spacing w:line="360" w:lineRule="auto"/>
        <w:ind w:firstLine="480" w:firstLineChars="200"/>
        <w:jc w:val="left"/>
        <w:rPr>
          <w:rFonts w:asciiTheme="minorEastAsia" w:hAnsiTheme="minorEastAsia" w:cstheme="minorEastAsia"/>
          <w:color w:val="auto"/>
          <w:sz w:val="24"/>
          <w:szCs w:val="24"/>
        </w:rPr>
      </w:pPr>
      <w:r>
        <w:rPr>
          <w:rFonts w:hint="eastAsia" w:asciiTheme="minorEastAsia" w:hAnsiTheme="minorEastAsia" w:cstheme="minorEastAsia"/>
          <w:color w:val="auto"/>
          <w:sz w:val="24"/>
          <w:szCs w:val="24"/>
        </w:rPr>
        <w:t>本项目是否接受联合体投标：否</w:t>
      </w:r>
    </w:p>
    <w:p>
      <w:pPr>
        <w:spacing w:line="360" w:lineRule="auto"/>
        <w:ind w:left="479" w:leftChars="228"/>
        <w:jc w:val="left"/>
        <w:rPr>
          <w:rFonts w:asciiTheme="minorEastAsia" w:hAnsiTheme="minorEastAsia" w:cstheme="minorEastAsia"/>
          <w:color w:val="auto"/>
          <w:sz w:val="24"/>
          <w:szCs w:val="24"/>
        </w:rPr>
      </w:pPr>
      <w:r>
        <w:rPr>
          <w:rFonts w:hint="eastAsia" w:asciiTheme="minorEastAsia" w:hAnsiTheme="minorEastAsia" w:cstheme="minorEastAsia"/>
          <w:color w:val="auto"/>
          <w:sz w:val="24"/>
          <w:szCs w:val="24"/>
        </w:rPr>
        <w:t>本项目是否为只面向中小企业采购：是，采购预留金额（</w:t>
      </w:r>
      <w:r>
        <w:rPr>
          <w:rFonts w:hint="eastAsia" w:ascii="宋体" w:hAnsi="宋体" w:eastAsia="宋体" w:cs="宋体"/>
          <w:color w:val="auto"/>
          <w:sz w:val="24"/>
          <w:shd w:val="clear" w:color="auto" w:fill="FFFFFF"/>
        </w:rPr>
        <w:t>58.6</w:t>
      </w:r>
      <w:r>
        <w:rPr>
          <w:rFonts w:hint="eastAsia" w:asciiTheme="minorEastAsia" w:hAnsiTheme="minorEastAsia" w:cstheme="minorEastAsia"/>
          <w:color w:val="auto"/>
          <w:sz w:val="24"/>
          <w:szCs w:val="24"/>
        </w:rPr>
        <w:t>万元）</w:t>
      </w:r>
      <w:r>
        <w:rPr>
          <w:rFonts w:hint="eastAsia" w:asciiTheme="minorEastAsia" w:hAnsiTheme="minorEastAsia" w:cstheme="minorEastAsia"/>
          <w:color w:val="auto"/>
          <w:sz w:val="24"/>
          <w:szCs w:val="24"/>
          <w:u w:val="single"/>
        </w:rPr>
        <w:t xml:space="preserve">       </w:t>
      </w:r>
      <w:r>
        <w:rPr>
          <w:rFonts w:hint="eastAsia" w:asciiTheme="minorEastAsia" w:hAnsiTheme="minorEastAsia" w:cstheme="minorEastAsia"/>
          <w:color w:val="auto"/>
          <w:sz w:val="24"/>
          <w:szCs w:val="24"/>
        </w:rPr>
        <w:t xml:space="preserve"> 必须提供中小企业声明函。</w:t>
      </w:r>
    </w:p>
    <w:p>
      <w:pPr>
        <w:spacing w:line="360" w:lineRule="auto"/>
        <w:jc w:val="left"/>
        <w:rPr>
          <w:rFonts w:ascii="Times New Roman" w:hAnsi="Times New Roman" w:eastAsia="Times New Roman" w:cs="Times New Roman"/>
          <w:color w:val="auto"/>
          <w:sz w:val="24"/>
        </w:rPr>
      </w:pPr>
      <w:r>
        <w:rPr>
          <w:rFonts w:ascii="宋体" w:hAnsi="宋体" w:eastAsia="宋体" w:cs="宋体"/>
          <w:color w:val="auto"/>
          <w:sz w:val="24"/>
        </w:rPr>
        <w:t>二、申请人的资格要求：</w:t>
      </w:r>
    </w:p>
    <w:p>
      <w:pPr>
        <w:spacing w:line="360" w:lineRule="auto"/>
        <w:ind w:firstLine="540"/>
        <w:rPr>
          <w:rFonts w:ascii="Times New Roman" w:hAnsi="Times New Roman" w:eastAsia="Times New Roman" w:cs="Times New Roman"/>
          <w:color w:val="auto"/>
          <w:sz w:val="24"/>
        </w:rPr>
      </w:pPr>
      <w:r>
        <w:rPr>
          <w:rFonts w:ascii="Times New Roman" w:hAnsi="Times New Roman" w:eastAsia="Times New Roman" w:cs="Times New Roman"/>
          <w:color w:val="auto"/>
          <w:sz w:val="24"/>
        </w:rPr>
        <w:t>1.</w:t>
      </w:r>
      <w:r>
        <w:rPr>
          <w:rFonts w:ascii="宋体" w:hAnsi="宋体" w:eastAsia="宋体" w:cs="宋体"/>
          <w:color w:val="auto"/>
          <w:sz w:val="24"/>
        </w:rPr>
        <w:t>满足《中华人民共和国政府采购法》第二十二条规定；</w:t>
      </w:r>
    </w:p>
    <w:p>
      <w:pPr>
        <w:spacing w:line="360" w:lineRule="auto"/>
        <w:ind w:firstLine="480"/>
        <w:rPr>
          <w:rFonts w:ascii="Times New Roman" w:hAnsi="Times New Roman" w:eastAsia="Times New Roman" w:cs="Times New Roman"/>
          <w:color w:val="auto"/>
          <w:sz w:val="24"/>
        </w:rPr>
      </w:pPr>
      <w:r>
        <w:rPr>
          <w:rFonts w:ascii="宋体" w:hAnsi="宋体" w:eastAsia="宋体" w:cs="宋体"/>
          <w:color w:val="auto"/>
          <w:sz w:val="24"/>
        </w:rPr>
        <w:t>（</w:t>
      </w:r>
      <w:r>
        <w:rPr>
          <w:rFonts w:ascii="Times New Roman" w:hAnsi="Times New Roman" w:eastAsia="Times New Roman" w:cs="Times New Roman"/>
          <w:color w:val="auto"/>
          <w:sz w:val="24"/>
        </w:rPr>
        <w:t>1</w:t>
      </w:r>
      <w:r>
        <w:rPr>
          <w:rFonts w:ascii="宋体" w:hAnsi="宋体" w:eastAsia="宋体" w:cs="宋体"/>
          <w:color w:val="auto"/>
          <w:sz w:val="24"/>
        </w:rPr>
        <w:t>）具有独立承担民事责任的能力；</w:t>
      </w:r>
      <w:r>
        <w:rPr>
          <w:rFonts w:ascii="Times New Roman" w:hAnsi="Times New Roman" w:eastAsia="Times New Roman" w:cs="Times New Roman"/>
          <w:color w:val="auto"/>
          <w:sz w:val="24"/>
        </w:rPr>
        <w:t xml:space="preserve"> </w:t>
      </w:r>
    </w:p>
    <w:p>
      <w:pPr>
        <w:spacing w:line="360" w:lineRule="auto"/>
        <w:ind w:firstLine="480"/>
        <w:rPr>
          <w:rFonts w:ascii="Times New Roman" w:hAnsi="Times New Roman" w:eastAsia="Times New Roman" w:cs="Times New Roman"/>
          <w:color w:val="auto"/>
          <w:sz w:val="24"/>
        </w:rPr>
      </w:pPr>
      <w:r>
        <w:rPr>
          <w:rFonts w:ascii="宋体" w:hAnsi="宋体" w:eastAsia="宋体" w:cs="宋体"/>
          <w:color w:val="auto"/>
          <w:sz w:val="24"/>
        </w:rPr>
        <w:t>（</w:t>
      </w:r>
      <w:r>
        <w:rPr>
          <w:rFonts w:ascii="Times New Roman" w:hAnsi="Times New Roman" w:eastAsia="Times New Roman" w:cs="Times New Roman"/>
          <w:color w:val="auto"/>
          <w:sz w:val="24"/>
        </w:rPr>
        <w:t>2</w:t>
      </w:r>
      <w:r>
        <w:rPr>
          <w:rFonts w:ascii="宋体" w:hAnsi="宋体" w:eastAsia="宋体" w:cs="宋体"/>
          <w:color w:val="auto"/>
          <w:sz w:val="24"/>
        </w:rPr>
        <w:t>）具有良好的商业信誉和健全的财务会计制度；</w:t>
      </w:r>
      <w:r>
        <w:rPr>
          <w:rFonts w:ascii="Times New Roman" w:hAnsi="Times New Roman" w:eastAsia="Times New Roman" w:cs="Times New Roman"/>
          <w:color w:val="auto"/>
          <w:sz w:val="24"/>
        </w:rPr>
        <w:t xml:space="preserve"> </w:t>
      </w:r>
    </w:p>
    <w:p>
      <w:pPr>
        <w:spacing w:line="360" w:lineRule="auto"/>
        <w:ind w:firstLine="480"/>
        <w:rPr>
          <w:rFonts w:ascii="Times New Roman" w:hAnsi="Times New Roman" w:eastAsia="Times New Roman" w:cs="Times New Roman"/>
          <w:color w:val="auto"/>
          <w:sz w:val="24"/>
        </w:rPr>
      </w:pPr>
      <w:r>
        <w:rPr>
          <w:rFonts w:ascii="宋体" w:hAnsi="宋体" w:eastAsia="宋体" w:cs="宋体"/>
          <w:color w:val="auto"/>
          <w:sz w:val="24"/>
        </w:rPr>
        <w:t>（</w:t>
      </w:r>
      <w:r>
        <w:rPr>
          <w:rFonts w:ascii="Times New Roman" w:hAnsi="Times New Roman" w:eastAsia="Times New Roman" w:cs="Times New Roman"/>
          <w:color w:val="auto"/>
          <w:sz w:val="24"/>
        </w:rPr>
        <w:t>3</w:t>
      </w:r>
      <w:r>
        <w:rPr>
          <w:rFonts w:ascii="宋体" w:hAnsi="宋体" w:eastAsia="宋体" w:cs="宋体"/>
          <w:color w:val="auto"/>
          <w:sz w:val="24"/>
        </w:rPr>
        <w:t>）具有履行合同所必需的设备和专业技术能力；</w:t>
      </w:r>
      <w:r>
        <w:rPr>
          <w:rFonts w:ascii="Times New Roman" w:hAnsi="Times New Roman" w:eastAsia="Times New Roman" w:cs="Times New Roman"/>
          <w:color w:val="auto"/>
          <w:sz w:val="24"/>
        </w:rPr>
        <w:t xml:space="preserve"> </w:t>
      </w:r>
    </w:p>
    <w:p>
      <w:pPr>
        <w:spacing w:line="360" w:lineRule="auto"/>
        <w:ind w:firstLine="480"/>
        <w:rPr>
          <w:rFonts w:ascii="Times New Roman" w:hAnsi="Times New Roman" w:eastAsia="Times New Roman" w:cs="Times New Roman"/>
          <w:color w:val="auto"/>
          <w:sz w:val="24"/>
        </w:rPr>
      </w:pPr>
      <w:r>
        <w:rPr>
          <w:rFonts w:ascii="宋体" w:hAnsi="宋体" w:eastAsia="宋体" w:cs="宋体"/>
          <w:color w:val="auto"/>
          <w:sz w:val="24"/>
        </w:rPr>
        <w:t>（</w:t>
      </w:r>
      <w:r>
        <w:rPr>
          <w:rFonts w:ascii="Times New Roman" w:hAnsi="Times New Roman" w:eastAsia="Times New Roman" w:cs="Times New Roman"/>
          <w:color w:val="auto"/>
          <w:sz w:val="24"/>
        </w:rPr>
        <w:t>4</w:t>
      </w:r>
      <w:r>
        <w:rPr>
          <w:rFonts w:ascii="宋体" w:hAnsi="宋体" w:eastAsia="宋体" w:cs="宋体"/>
          <w:color w:val="auto"/>
          <w:sz w:val="24"/>
        </w:rPr>
        <w:t>）有依法缴纳税收和社会保障资金的良好记录；</w:t>
      </w:r>
      <w:r>
        <w:rPr>
          <w:rFonts w:ascii="Times New Roman" w:hAnsi="Times New Roman" w:eastAsia="Times New Roman" w:cs="Times New Roman"/>
          <w:color w:val="auto"/>
          <w:sz w:val="24"/>
        </w:rPr>
        <w:t xml:space="preserve"> </w:t>
      </w:r>
    </w:p>
    <w:p>
      <w:pPr>
        <w:spacing w:line="360" w:lineRule="auto"/>
        <w:ind w:firstLine="480"/>
        <w:rPr>
          <w:rFonts w:ascii="Times New Roman" w:hAnsi="Times New Roman" w:eastAsia="Times New Roman" w:cs="Times New Roman"/>
          <w:color w:val="auto"/>
          <w:sz w:val="24"/>
        </w:rPr>
      </w:pPr>
      <w:r>
        <w:rPr>
          <w:rFonts w:ascii="宋体" w:hAnsi="宋体" w:eastAsia="宋体" w:cs="宋体"/>
          <w:color w:val="auto"/>
          <w:sz w:val="24"/>
        </w:rPr>
        <w:t>（</w:t>
      </w:r>
      <w:r>
        <w:rPr>
          <w:rFonts w:ascii="Times New Roman" w:hAnsi="Times New Roman" w:eastAsia="Times New Roman" w:cs="Times New Roman"/>
          <w:color w:val="auto"/>
          <w:sz w:val="24"/>
        </w:rPr>
        <w:t>5</w:t>
      </w:r>
      <w:r>
        <w:rPr>
          <w:rFonts w:ascii="宋体" w:hAnsi="宋体" w:eastAsia="宋体" w:cs="宋体"/>
          <w:color w:val="auto"/>
          <w:sz w:val="24"/>
        </w:rPr>
        <w:t>）参加政府采购活动前三年内，在经营活动中没有重大违法记录；</w:t>
      </w:r>
      <w:r>
        <w:rPr>
          <w:rFonts w:ascii="Times New Roman" w:hAnsi="Times New Roman" w:eastAsia="Times New Roman" w:cs="Times New Roman"/>
          <w:color w:val="auto"/>
          <w:sz w:val="24"/>
        </w:rPr>
        <w:t xml:space="preserve"> </w:t>
      </w:r>
    </w:p>
    <w:p>
      <w:pPr>
        <w:spacing w:line="360" w:lineRule="auto"/>
        <w:ind w:firstLine="480"/>
        <w:rPr>
          <w:rFonts w:ascii="Times New Roman" w:hAnsi="Times New Roman" w:eastAsia="Times New Roman" w:cs="Times New Roman"/>
          <w:color w:val="auto"/>
        </w:rPr>
      </w:pPr>
      <w:r>
        <w:rPr>
          <w:rFonts w:ascii="宋体" w:hAnsi="宋体" w:eastAsia="宋体" w:cs="宋体"/>
          <w:color w:val="auto"/>
          <w:sz w:val="24"/>
        </w:rPr>
        <w:t>（</w:t>
      </w:r>
      <w:r>
        <w:rPr>
          <w:rFonts w:ascii="Times New Roman" w:hAnsi="Times New Roman" w:eastAsia="Times New Roman" w:cs="Times New Roman"/>
          <w:color w:val="auto"/>
          <w:sz w:val="24"/>
        </w:rPr>
        <w:t>6</w:t>
      </w:r>
      <w:r>
        <w:rPr>
          <w:rFonts w:ascii="宋体" w:hAnsi="宋体" w:eastAsia="宋体" w:cs="宋体"/>
          <w:color w:val="auto"/>
          <w:sz w:val="24"/>
        </w:rPr>
        <w:t>）法律、行政法规规定的其他条件。</w:t>
      </w:r>
      <w:r>
        <w:rPr>
          <w:rFonts w:ascii="Times New Roman" w:hAnsi="Times New Roman" w:eastAsia="Times New Roman" w:cs="Times New Roman"/>
          <w:color w:val="auto"/>
          <w:sz w:val="24"/>
        </w:rPr>
        <w:t xml:space="preserve"> </w:t>
      </w:r>
    </w:p>
    <w:p>
      <w:pPr>
        <w:spacing w:line="360" w:lineRule="auto"/>
        <w:ind w:firstLine="540"/>
        <w:rPr>
          <w:rFonts w:ascii="Times New Roman" w:hAnsi="Times New Roman" w:eastAsia="Times New Roman" w:cs="Times New Roman"/>
          <w:color w:val="auto"/>
          <w:sz w:val="24"/>
        </w:rPr>
      </w:pPr>
      <w:r>
        <w:rPr>
          <w:rFonts w:ascii="Times New Roman" w:hAnsi="Times New Roman" w:eastAsia="Times New Roman" w:cs="Times New Roman"/>
          <w:color w:val="auto"/>
          <w:sz w:val="24"/>
        </w:rPr>
        <w:t>2.</w:t>
      </w:r>
      <w:r>
        <w:rPr>
          <w:rFonts w:ascii="宋体" w:hAnsi="宋体" w:eastAsia="宋体" w:cs="宋体"/>
          <w:color w:val="auto"/>
          <w:sz w:val="24"/>
        </w:rPr>
        <w:t>落实政府采购政策需满足的资格要求：促进中小企业和监狱企业发展扶持政策、政府强制采购节能产品强制采购、节能产品及环境标志产品优先采购、促进残疾人就业政府采购政策。</w:t>
      </w:r>
      <w:r>
        <w:rPr>
          <w:rFonts w:ascii="Times New Roman" w:hAnsi="Times New Roman" w:eastAsia="Times New Roman" w:cs="Times New Roman"/>
          <w:color w:val="auto"/>
          <w:sz w:val="24"/>
        </w:rPr>
        <w:t xml:space="preserve"> </w:t>
      </w:r>
    </w:p>
    <w:p>
      <w:pPr>
        <w:spacing w:line="360" w:lineRule="auto"/>
        <w:ind w:firstLine="480" w:firstLineChars="200"/>
        <w:jc w:val="left"/>
        <w:rPr>
          <w:rFonts w:ascii="宋体" w:hAnsi="宋体" w:eastAsia="宋体" w:cs="宋体"/>
          <w:color w:val="auto"/>
          <w:sz w:val="24"/>
          <w:szCs w:val="24"/>
        </w:rPr>
      </w:pPr>
      <w:r>
        <w:rPr>
          <w:rFonts w:ascii="Times New Roman" w:hAnsi="Times New Roman" w:eastAsia="Times New Roman" w:cs="Times New Roman"/>
          <w:color w:val="auto"/>
          <w:sz w:val="24"/>
        </w:rPr>
        <w:t>3.</w:t>
      </w:r>
      <w:r>
        <w:rPr>
          <w:rFonts w:ascii="宋体" w:hAnsi="宋体" w:eastAsia="宋体" w:cs="宋体"/>
          <w:color w:val="auto"/>
          <w:sz w:val="24"/>
        </w:rPr>
        <w:t>本项目的特定资格要求：</w:t>
      </w:r>
      <w:r>
        <w:rPr>
          <w:rFonts w:hint="eastAsia" w:ascii="宋体" w:hAnsi="宋体" w:eastAsia="宋体" w:cs="宋体"/>
          <w:color w:val="auto"/>
          <w:sz w:val="24"/>
          <w:szCs w:val="24"/>
        </w:rPr>
        <w:t>（1）根据《关于在政府采购活动中查询及使用信用记录有关问题的通知》(财库[2016]125号)和豫财购【2016】15号的规定，对列入“信用中国”网站（</w:t>
      </w:r>
      <w:r>
        <w:rPr>
          <w:color w:val="auto"/>
        </w:rPr>
        <w:fldChar w:fldCharType="begin"/>
      </w:r>
      <w:r>
        <w:rPr>
          <w:color w:val="auto"/>
        </w:rPr>
        <w:instrText xml:space="preserve"> HYPERLINK "http://www.creditchina.gov.cn/" </w:instrText>
      </w:r>
      <w:r>
        <w:rPr>
          <w:color w:val="auto"/>
        </w:rPr>
        <w:fldChar w:fldCharType="separate"/>
      </w:r>
      <w:r>
        <w:rPr>
          <w:rFonts w:hint="eastAsia" w:ascii="宋体" w:hAnsi="宋体" w:eastAsia="宋体" w:cs="宋体"/>
          <w:color w:val="auto"/>
          <w:sz w:val="24"/>
          <w:szCs w:val="24"/>
        </w:rPr>
        <w:t>www.creditchina.gov.cn</w:t>
      </w:r>
      <w:r>
        <w:rPr>
          <w:rFonts w:hint="eastAsia" w:ascii="宋体" w:hAnsi="宋体" w:eastAsia="宋体" w:cs="宋体"/>
          <w:color w:val="auto"/>
          <w:sz w:val="24"/>
          <w:szCs w:val="24"/>
        </w:rPr>
        <w:fldChar w:fldCharType="end"/>
      </w:r>
      <w:r>
        <w:rPr>
          <w:rFonts w:hint="eastAsia" w:ascii="宋体" w:hAnsi="宋体" w:eastAsia="宋体" w:cs="宋体"/>
          <w:color w:val="auto"/>
          <w:sz w:val="24"/>
          <w:szCs w:val="24"/>
        </w:rPr>
        <w:t>）的“重大税收违法失信主体”、“失信被执行人”和“中国政府采购”网站(</w:t>
      </w:r>
      <w:r>
        <w:rPr>
          <w:color w:val="auto"/>
        </w:rPr>
        <w:fldChar w:fldCharType="begin"/>
      </w:r>
      <w:r>
        <w:rPr>
          <w:color w:val="auto"/>
        </w:rPr>
        <w:instrText xml:space="preserve"> HYPERLINK "http://www.ccgp.gov.cn/" </w:instrText>
      </w:r>
      <w:r>
        <w:rPr>
          <w:color w:val="auto"/>
        </w:rPr>
        <w:fldChar w:fldCharType="separate"/>
      </w:r>
      <w:r>
        <w:rPr>
          <w:rFonts w:hint="eastAsia" w:ascii="宋体" w:hAnsi="宋体" w:eastAsia="宋体" w:cs="宋体"/>
          <w:color w:val="auto"/>
          <w:sz w:val="24"/>
          <w:szCs w:val="24"/>
        </w:rPr>
        <w:t>www.ccgp.gov.cn</w:t>
      </w:r>
      <w:r>
        <w:rPr>
          <w:rFonts w:hint="eastAsia" w:ascii="宋体" w:hAnsi="宋体" w:eastAsia="宋体" w:cs="宋体"/>
          <w:color w:val="auto"/>
          <w:sz w:val="24"/>
          <w:szCs w:val="24"/>
        </w:rPr>
        <w:fldChar w:fldCharType="end"/>
      </w:r>
      <w:r>
        <w:rPr>
          <w:rFonts w:hint="eastAsia" w:ascii="宋体" w:hAnsi="宋体" w:eastAsia="宋体" w:cs="宋体"/>
          <w:color w:val="auto"/>
          <w:sz w:val="24"/>
          <w:szCs w:val="24"/>
        </w:rPr>
        <w:t>)的“政府采购严重违法失信行为记录名单”的供应商，将拒绝其参加政府采购活动；在标书中附的网页查询截图，查询日期为公告发布之日起至投标截止之日止。</w:t>
      </w:r>
    </w:p>
    <w:p>
      <w:pPr>
        <w:spacing w:line="360" w:lineRule="auto"/>
        <w:jc w:val="left"/>
        <w:rPr>
          <w:rFonts w:ascii="Times New Roman" w:hAnsi="Times New Roman" w:eastAsia="Times New Roman" w:cs="Times New Roman"/>
          <w:color w:val="auto"/>
          <w:sz w:val="24"/>
        </w:rPr>
      </w:pPr>
      <w:r>
        <w:rPr>
          <w:rFonts w:ascii="宋体" w:hAnsi="宋体" w:eastAsia="宋体" w:cs="宋体"/>
          <w:color w:val="auto"/>
          <w:sz w:val="24"/>
        </w:rPr>
        <w:t>三、获取采购文件</w:t>
      </w:r>
    </w:p>
    <w:p>
      <w:pPr>
        <w:spacing w:line="360" w:lineRule="auto"/>
        <w:ind w:firstLine="540"/>
        <w:rPr>
          <w:rFonts w:ascii="Times New Roman" w:hAnsi="Times New Roman" w:eastAsia="Times New Roman" w:cs="Times New Roman"/>
          <w:color w:val="auto"/>
          <w:sz w:val="24"/>
        </w:rPr>
      </w:pPr>
      <w:r>
        <w:rPr>
          <w:rFonts w:ascii="宋体" w:hAnsi="宋体" w:eastAsia="宋体" w:cs="宋体"/>
          <w:color w:val="auto"/>
          <w:sz w:val="24"/>
        </w:rPr>
        <w:t>时间：</w:t>
      </w:r>
      <w:r>
        <w:rPr>
          <w:rFonts w:hint="eastAsia" w:ascii="宋体" w:hAnsi="宋体" w:eastAsia="宋体" w:cs="宋体"/>
          <w:color w:val="auto"/>
          <w:sz w:val="24"/>
          <w:u w:val="single"/>
          <w:lang w:val="en-US" w:eastAsia="zh-CN"/>
        </w:rPr>
        <w:t>2024</w:t>
      </w:r>
      <w:r>
        <w:rPr>
          <w:rFonts w:ascii="宋体" w:hAnsi="宋体" w:eastAsia="宋体" w:cs="宋体"/>
          <w:color w:val="auto"/>
          <w:sz w:val="24"/>
          <w:u w:val="single"/>
        </w:rPr>
        <w:t>年</w:t>
      </w:r>
      <w:r>
        <w:rPr>
          <w:rFonts w:hint="eastAsia" w:ascii="Times New Roman" w:hAnsi="Times New Roman" w:eastAsia="宋体" w:cs="Times New Roman"/>
          <w:color w:val="auto"/>
          <w:sz w:val="24"/>
          <w:u w:val="single"/>
          <w:lang w:val="en-US" w:eastAsia="zh-CN"/>
        </w:rPr>
        <w:t>6</w:t>
      </w:r>
      <w:r>
        <w:rPr>
          <w:rFonts w:ascii="宋体" w:hAnsi="宋体" w:eastAsia="宋体" w:cs="宋体"/>
          <w:color w:val="auto"/>
          <w:sz w:val="24"/>
          <w:u w:val="single"/>
        </w:rPr>
        <w:t>月</w:t>
      </w:r>
      <w:r>
        <w:rPr>
          <w:rFonts w:hint="eastAsia" w:ascii="Times New Roman" w:hAnsi="Times New Roman" w:eastAsia="宋体" w:cs="Times New Roman"/>
          <w:color w:val="auto"/>
          <w:sz w:val="24"/>
          <w:u w:val="single"/>
          <w:lang w:val="en-US" w:eastAsia="zh-CN"/>
        </w:rPr>
        <w:t>3</w:t>
      </w:r>
      <w:r>
        <w:rPr>
          <w:rFonts w:ascii="宋体" w:hAnsi="宋体" w:eastAsia="宋体" w:cs="宋体"/>
          <w:color w:val="auto"/>
          <w:sz w:val="24"/>
          <w:u w:val="single"/>
        </w:rPr>
        <w:t>日</w:t>
      </w:r>
      <w:r>
        <w:rPr>
          <w:rFonts w:ascii="宋体" w:hAnsi="宋体" w:eastAsia="宋体" w:cs="宋体"/>
          <w:color w:val="auto"/>
          <w:sz w:val="24"/>
        </w:rPr>
        <w:t>至</w:t>
      </w:r>
      <w:r>
        <w:rPr>
          <w:rFonts w:hint="eastAsia" w:ascii="Times New Roman" w:hAnsi="Times New Roman" w:eastAsia="宋体" w:cs="Times New Roman"/>
          <w:color w:val="auto"/>
          <w:sz w:val="24"/>
          <w:u w:val="single"/>
          <w:lang w:val="en-US" w:eastAsia="zh-CN"/>
        </w:rPr>
        <w:t>2024</w:t>
      </w:r>
      <w:r>
        <w:rPr>
          <w:rFonts w:ascii="宋体" w:hAnsi="宋体" w:eastAsia="宋体" w:cs="宋体"/>
          <w:color w:val="auto"/>
          <w:sz w:val="24"/>
          <w:u w:val="single"/>
        </w:rPr>
        <w:t>年</w:t>
      </w:r>
      <w:r>
        <w:rPr>
          <w:rFonts w:hint="eastAsia" w:ascii="Times New Roman" w:hAnsi="Times New Roman" w:eastAsia="宋体" w:cs="Times New Roman"/>
          <w:color w:val="auto"/>
          <w:sz w:val="24"/>
          <w:u w:val="single"/>
          <w:lang w:val="en-US" w:eastAsia="zh-CN"/>
        </w:rPr>
        <w:t>6</w:t>
      </w:r>
      <w:r>
        <w:rPr>
          <w:rFonts w:ascii="Times New Roman" w:hAnsi="Times New Roman" w:eastAsia="Times New Roman" w:cs="Times New Roman"/>
          <w:color w:val="auto"/>
          <w:sz w:val="24"/>
          <w:u w:val="single"/>
        </w:rPr>
        <w:t xml:space="preserve"> </w:t>
      </w:r>
      <w:r>
        <w:rPr>
          <w:rFonts w:ascii="宋体" w:hAnsi="宋体" w:eastAsia="宋体" w:cs="宋体"/>
          <w:color w:val="auto"/>
          <w:sz w:val="24"/>
          <w:u w:val="single"/>
        </w:rPr>
        <w:t>月</w:t>
      </w:r>
      <w:r>
        <w:rPr>
          <w:rFonts w:hint="eastAsia" w:ascii="Times New Roman" w:hAnsi="Times New Roman" w:eastAsia="宋体" w:cs="Times New Roman"/>
          <w:color w:val="auto"/>
          <w:sz w:val="24"/>
          <w:u w:val="single"/>
          <w:lang w:val="en-US" w:eastAsia="zh-CN"/>
        </w:rPr>
        <w:t>11</w:t>
      </w:r>
      <w:r>
        <w:rPr>
          <w:rFonts w:ascii="宋体" w:hAnsi="宋体" w:eastAsia="宋体" w:cs="宋体"/>
          <w:color w:val="auto"/>
          <w:sz w:val="24"/>
          <w:u w:val="single"/>
        </w:rPr>
        <w:t>日</w:t>
      </w:r>
      <w:r>
        <w:rPr>
          <w:rFonts w:ascii="宋体" w:hAnsi="宋体" w:eastAsia="宋体" w:cs="宋体"/>
          <w:color w:val="auto"/>
          <w:sz w:val="24"/>
        </w:rPr>
        <w:t>（北京时间，法定节假日除外</w:t>
      </w:r>
      <w:r>
        <w:rPr>
          <w:rFonts w:ascii="Times New Roman" w:hAnsi="Times New Roman" w:eastAsia="Times New Roman" w:cs="Times New Roman"/>
          <w:color w:val="auto"/>
          <w:sz w:val="24"/>
        </w:rPr>
        <w:t xml:space="preserve"> </w:t>
      </w:r>
      <w:r>
        <w:rPr>
          <w:rFonts w:ascii="宋体" w:hAnsi="宋体" w:eastAsia="宋体" w:cs="宋体"/>
          <w:color w:val="auto"/>
          <w:sz w:val="24"/>
        </w:rPr>
        <w:t>）</w:t>
      </w:r>
    </w:p>
    <w:p>
      <w:pPr>
        <w:spacing w:line="360" w:lineRule="auto"/>
        <w:ind w:firstLine="480"/>
        <w:jc w:val="left"/>
        <w:rPr>
          <w:rFonts w:ascii="宋体" w:hAnsi="宋体" w:eastAsia="宋体" w:cs="宋体"/>
          <w:color w:val="auto"/>
          <w:sz w:val="24"/>
        </w:rPr>
      </w:pPr>
      <w:r>
        <w:rPr>
          <w:rFonts w:ascii="宋体" w:hAnsi="宋体" w:eastAsia="宋体" w:cs="宋体"/>
          <w:color w:val="auto"/>
          <w:sz w:val="24"/>
        </w:rPr>
        <w:t>地点：周口市公共资源交易中心网（http://jyzx.zhoukou.gov.cn）</w:t>
      </w:r>
    </w:p>
    <w:p>
      <w:pPr>
        <w:spacing w:line="360" w:lineRule="auto"/>
        <w:ind w:firstLine="480"/>
        <w:jc w:val="left"/>
        <w:rPr>
          <w:rFonts w:ascii="宋体" w:hAnsi="宋体" w:eastAsia="宋体" w:cs="宋体"/>
          <w:color w:val="auto"/>
          <w:sz w:val="24"/>
        </w:rPr>
      </w:pPr>
      <w:r>
        <w:rPr>
          <w:rFonts w:ascii="宋体" w:hAnsi="宋体" w:eastAsia="宋体" w:cs="宋体"/>
          <w:color w:val="auto"/>
          <w:sz w:val="24"/>
        </w:rPr>
        <w:t>方式：供应商请在网站自主注册后下载采购文件（zkzf格式）及资料，需办理CA数字证书后方可提交响应文件，具体办理事宜请查阅周口市公共资源交易中心网站。</w:t>
      </w:r>
    </w:p>
    <w:p>
      <w:pPr>
        <w:spacing w:line="360" w:lineRule="auto"/>
        <w:ind w:firstLine="540"/>
        <w:rPr>
          <w:rFonts w:ascii="Times New Roman" w:hAnsi="Times New Roman" w:eastAsia="Times New Roman" w:cs="Times New Roman"/>
          <w:color w:val="auto"/>
          <w:sz w:val="24"/>
        </w:rPr>
      </w:pPr>
      <w:r>
        <w:rPr>
          <w:rFonts w:ascii="宋体" w:hAnsi="宋体" w:eastAsia="宋体" w:cs="宋体"/>
          <w:color w:val="auto"/>
          <w:sz w:val="24"/>
        </w:rPr>
        <w:t>售价：</w:t>
      </w:r>
      <w:r>
        <w:rPr>
          <w:rFonts w:ascii="Times New Roman" w:hAnsi="Times New Roman" w:eastAsia="Times New Roman" w:cs="Times New Roman"/>
          <w:color w:val="auto"/>
          <w:sz w:val="24"/>
        </w:rPr>
        <w:t>0</w:t>
      </w:r>
    </w:p>
    <w:p>
      <w:pPr>
        <w:spacing w:line="360" w:lineRule="auto"/>
        <w:jc w:val="left"/>
        <w:rPr>
          <w:rFonts w:ascii="Times New Roman" w:hAnsi="Times New Roman" w:eastAsia="Times New Roman" w:cs="Times New Roman"/>
          <w:color w:val="auto"/>
          <w:sz w:val="24"/>
        </w:rPr>
      </w:pPr>
      <w:r>
        <w:rPr>
          <w:rFonts w:ascii="宋体" w:hAnsi="宋体" w:eastAsia="宋体" w:cs="宋体"/>
          <w:color w:val="auto"/>
          <w:sz w:val="24"/>
        </w:rPr>
        <w:t>四、响应文件提交</w:t>
      </w:r>
    </w:p>
    <w:p>
      <w:pPr>
        <w:spacing w:line="360" w:lineRule="auto"/>
        <w:ind w:firstLine="480"/>
        <w:rPr>
          <w:rFonts w:ascii="Times New Roman" w:hAnsi="Times New Roman" w:eastAsia="Times New Roman" w:cs="Times New Roman"/>
          <w:color w:val="auto"/>
          <w:sz w:val="24"/>
          <w:u w:val="single"/>
        </w:rPr>
      </w:pPr>
      <w:r>
        <w:rPr>
          <w:rFonts w:ascii="宋体" w:hAnsi="宋体" w:eastAsia="宋体" w:cs="宋体"/>
          <w:color w:val="auto"/>
          <w:sz w:val="24"/>
        </w:rPr>
        <w:t>截止时间：</w:t>
      </w:r>
      <w:r>
        <w:rPr>
          <w:rFonts w:hint="eastAsia" w:ascii="宋体" w:hAnsi="宋体" w:eastAsia="宋体" w:cs="宋体"/>
          <w:color w:val="auto"/>
          <w:sz w:val="24"/>
          <w:lang w:val="en-US" w:eastAsia="zh-CN"/>
        </w:rPr>
        <w:t>2024</w:t>
      </w:r>
      <w:r>
        <w:rPr>
          <w:rFonts w:hint="eastAsia" w:ascii="宋体" w:hAnsi="宋体" w:eastAsia="宋体" w:cs="宋体"/>
          <w:color w:val="auto"/>
          <w:sz w:val="24"/>
        </w:rPr>
        <w:t>年</w:t>
      </w:r>
      <w:r>
        <w:rPr>
          <w:rFonts w:hint="eastAsia" w:ascii="宋体" w:hAnsi="宋体" w:eastAsia="宋体" w:cs="宋体"/>
          <w:color w:val="auto"/>
          <w:sz w:val="24"/>
          <w:lang w:val="en-US" w:eastAsia="zh-CN"/>
        </w:rPr>
        <w:t>6</w:t>
      </w:r>
      <w:r>
        <w:rPr>
          <w:rFonts w:hint="eastAsia" w:ascii="宋体" w:hAnsi="宋体" w:eastAsia="宋体" w:cs="宋体"/>
          <w:color w:val="auto"/>
          <w:sz w:val="24"/>
        </w:rPr>
        <w:t>月</w:t>
      </w:r>
      <w:r>
        <w:rPr>
          <w:rFonts w:hint="eastAsia" w:ascii="宋体" w:hAnsi="宋体" w:eastAsia="宋体" w:cs="宋体"/>
          <w:color w:val="auto"/>
          <w:sz w:val="24"/>
          <w:lang w:val="en-US" w:eastAsia="zh-CN"/>
        </w:rPr>
        <w:t>13</w:t>
      </w:r>
      <w:r>
        <w:rPr>
          <w:rFonts w:hint="eastAsia" w:ascii="宋体" w:hAnsi="宋体" w:eastAsia="宋体" w:cs="宋体"/>
          <w:color w:val="auto"/>
          <w:sz w:val="24"/>
        </w:rPr>
        <w:t>日</w:t>
      </w:r>
      <w:r>
        <w:rPr>
          <w:rFonts w:hint="eastAsia" w:ascii="宋体" w:hAnsi="宋体" w:eastAsia="宋体" w:cs="宋体"/>
          <w:color w:val="auto"/>
          <w:sz w:val="24"/>
          <w:lang w:val="en-US" w:eastAsia="zh-CN"/>
        </w:rPr>
        <w:t>10</w:t>
      </w:r>
      <w:r>
        <w:rPr>
          <w:rFonts w:hint="eastAsia" w:ascii="宋体" w:hAnsi="宋体" w:eastAsia="宋体" w:cs="宋体"/>
          <w:color w:val="auto"/>
          <w:sz w:val="24"/>
        </w:rPr>
        <w:t xml:space="preserve"> 点</w:t>
      </w:r>
      <w:r>
        <w:rPr>
          <w:rFonts w:hint="eastAsia" w:ascii="宋体" w:hAnsi="宋体" w:eastAsia="宋体" w:cs="宋体"/>
          <w:color w:val="auto"/>
          <w:sz w:val="24"/>
          <w:lang w:val="en-US" w:eastAsia="zh-CN"/>
        </w:rPr>
        <w:t>00</w:t>
      </w:r>
      <w:r>
        <w:rPr>
          <w:rFonts w:ascii="宋体" w:hAnsi="宋体" w:eastAsia="宋体" w:cs="宋体"/>
          <w:color w:val="auto"/>
          <w:sz w:val="24"/>
        </w:rPr>
        <w:t>（北京时间）</w:t>
      </w:r>
    </w:p>
    <w:p>
      <w:pPr>
        <w:spacing w:line="360" w:lineRule="auto"/>
        <w:ind w:firstLine="480"/>
        <w:rPr>
          <w:rFonts w:ascii="Times New Roman" w:hAnsi="Times New Roman" w:eastAsia="Times New Roman" w:cs="Times New Roman"/>
          <w:color w:val="auto"/>
          <w:sz w:val="24"/>
          <w:u w:val="single"/>
        </w:rPr>
      </w:pPr>
      <w:r>
        <w:rPr>
          <w:rFonts w:ascii="宋体" w:hAnsi="宋体" w:eastAsia="宋体" w:cs="宋体"/>
          <w:color w:val="auto"/>
          <w:sz w:val="24"/>
        </w:rPr>
        <w:t>地点：加密电子响应文件须在投标截止时间前通过</w:t>
      </w:r>
      <w:r>
        <w:rPr>
          <w:rFonts w:ascii="宋体" w:hAnsi="宋体" w:eastAsia="宋体" w:cs="宋体"/>
          <w:color w:val="auto"/>
          <w:spacing w:val="-6"/>
          <w:sz w:val="24"/>
        </w:rPr>
        <w:t>周口市公共资源交易中心网</w:t>
      </w:r>
      <w:r>
        <w:rPr>
          <w:rFonts w:ascii="宋体" w:hAnsi="宋体" w:eastAsia="宋体" w:cs="宋体"/>
          <w:color w:val="auto"/>
          <w:sz w:val="24"/>
        </w:rPr>
        <w:t>（网址</w:t>
      </w:r>
      <w:r>
        <w:rPr>
          <w:color w:val="auto"/>
        </w:rPr>
        <w:fldChar w:fldCharType="begin"/>
      </w:r>
      <w:r>
        <w:rPr>
          <w:color w:val="auto"/>
        </w:rPr>
        <w:instrText xml:space="preserve"> HYPERLINK "http://jyzx.zhoukou.gov.cn/" \h </w:instrText>
      </w:r>
      <w:r>
        <w:rPr>
          <w:color w:val="auto"/>
        </w:rPr>
        <w:fldChar w:fldCharType="separate"/>
      </w:r>
      <w:r>
        <w:rPr>
          <w:rFonts w:ascii="Times New Roman" w:hAnsi="Times New Roman" w:eastAsia="Times New Roman" w:cs="Times New Roman"/>
          <w:color w:val="auto"/>
          <w:sz w:val="24"/>
          <w:u w:val="single"/>
        </w:rPr>
        <w:t>http://jyzx.zhoukou.gov.cn</w:t>
      </w:r>
      <w:r>
        <w:rPr>
          <w:rFonts w:ascii="Times New Roman" w:hAnsi="Times New Roman" w:eastAsia="Times New Roman" w:cs="Times New Roman"/>
          <w:color w:val="auto"/>
          <w:sz w:val="24"/>
          <w:u w:val="single"/>
        </w:rPr>
        <w:fldChar w:fldCharType="end"/>
      </w:r>
      <w:r>
        <w:rPr>
          <w:rFonts w:ascii="宋体" w:hAnsi="宋体" w:eastAsia="宋体" w:cs="宋体"/>
          <w:color w:val="auto"/>
          <w:sz w:val="24"/>
        </w:rPr>
        <w:t>）。</w:t>
      </w:r>
    </w:p>
    <w:p>
      <w:pPr>
        <w:spacing w:line="360" w:lineRule="auto"/>
        <w:jc w:val="left"/>
        <w:rPr>
          <w:rFonts w:ascii="Times New Roman" w:hAnsi="Times New Roman" w:eastAsia="Times New Roman" w:cs="Times New Roman"/>
          <w:color w:val="auto"/>
          <w:sz w:val="24"/>
        </w:rPr>
      </w:pPr>
      <w:r>
        <w:rPr>
          <w:rFonts w:ascii="宋体" w:hAnsi="宋体" w:eastAsia="宋体" w:cs="宋体"/>
          <w:color w:val="auto"/>
          <w:sz w:val="24"/>
        </w:rPr>
        <w:t>五、开启（竞争性磋商方式必须填写）</w:t>
      </w:r>
    </w:p>
    <w:p>
      <w:pPr>
        <w:spacing w:line="360" w:lineRule="auto"/>
        <w:ind w:firstLine="480"/>
        <w:rPr>
          <w:rFonts w:ascii="Times New Roman" w:hAnsi="Times New Roman" w:eastAsia="Times New Roman" w:cs="Times New Roman"/>
          <w:color w:val="auto"/>
          <w:sz w:val="24"/>
          <w:u w:val="single"/>
        </w:rPr>
      </w:pPr>
      <w:r>
        <w:rPr>
          <w:rFonts w:ascii="宋体" w:hAnsi="宋体" w:eastAsia="宋体" w:cs="宋体"/>
          <w:color w:val="auto"/>
          <w:sz w:val="24"/>
        </w:rPr>
        <w:t>时间：</w:t>
      </w:r>
      <w:r>
        <w:rPr>
          <w:rFonts w:hint="eastAsia" w:ascii="宋体" w:hAnsi="宋体" w:eastAsia="宋体" w:cs="宋体"/>
          <w:color w:val="auto"/>
          <w:sz w:val="24"/>
          <w:lang w:val="en-US" w:eastAsia="zh-CN"/>
        </w:rPr>
        <w:t>2024</w:t>
      </w:r>
      <w:r>
        <w:rPr>
          <w:rFonts w:hint="eastAsia" w:ascii="宋体" w:hAnsi="宋体" w:eastAsia="宋体" w:cs="宋体"/>
          <w:color w:val="auto"/>
          <w:sz w:val="24"/>
        </w:rPr>
        <w:t>年</w:t>
      </w:r>
      <w:r>
        <w:rPr>
          <w:rFonts w:hint="eastAsia" w:ascii="宋体" w:hAnsi="宋体" w:eastAsia="宋体" w:cs="宋体"/>
          <w:color w:val="auto"/>
          <w:sz w:val="24"/>
          <w:lang w:val="en-US" w:eastAsia="zh-CN"/>
        </w:rPr>
        <w:t>6</w:t>
      </w:r>
      <w:r>
        <w:rPr>
          <w:rFonts w:hint="eastAsia" w:ascii="宋体" w:hAnsi="宋体" w:eastAsia="宋体" w:cs="宋体"/>
          <w:color w:val="auto"/>
          <w:sz w:val="24"/>
        </w:rPr>
        <w:t>月</w:t>
      </w:r>
      <w:r>
        <w:rPr>
          <w:rFonts w:hint="eastAsia" w:ascii="宋体" w:hAnsi="宋体" w:eastAsia="宋体" w:cs="宋体"/>
          <w:color w:val="auto"/>
          <w:sz w:val="24"/>
          <w:lang w:val="en-US" w:eastAsia="zh-CN"/>
        </w:rPr>
        <w:t>13</w:t>
      </w:r>
      <w:r>
        <w:rPr>
          <w:rFonts w:hint="eastAsia" w:ascii="宋体" w:hAnsi="宋体" w:eastAsia="宋体" w:cs="宋体"/>
          <w:color w:val="auto"/>
          <w:sz w:val="24"/>
        </w:rPr>
        <w:t>日</w:t>
      </w:r>
      <w:r>
        <w:rPr>
          <w:rFonts w:hint="eastAsia" w:ascii="宋体" w:hAnsi="宋体" w:eastAsia="宋体" w:cs="宋体"/>
          <w:color w:val="auto"/>
          <w:sz w:val="24"/>
          <w:lang w:val="en-US" w:eastAsia="zh-CN"/>
        </w:rPr>
        <w:t>10</w:t>
      </w:r>
      <w:r>
        <w:rPr>
          <w:rFonts w:hint="eastAsia" w:ascii="宋体" w:hAnsi="宋体" w:eastAsia="宋体" w:cs="宋体"/>
          <w:color w:val="auto"/>
          <w:sz w:val="24"/>
        </w:rPr>
        <w:t xml:space="preserve"> 点</w:t>
      </w:r>
      <w:r>
        <w:rPr>
          <w:rFonts w:hint="eastAsia" w:ascii="宋体" w:hAnsi="宋体" w:eastAsia="宋体" w:cs="宋体"/>
          <w:color w:val="auto"/>
          <w:sz w:val="24"/>
          <w:lang w:val="en-US" w:eastAsia="zh-CN"/>
        </w:rPr>
        <w:t>00</w:t>
      </w:r>
      <w:r>
        <w:rPr>
          <w:rFonts w:ascii="宋体" w:hAnsi="宋体" w:eastAsia="宋体" w:cs="宋体"/>
          <w:color w:val="auto"/>
          <w:sz w:val="24"/>
        </w:rPr>
        <w:t>（北京时间）</w:t>
      </w:r>
    </w:p>
    <w:p>
      <w:pPr>
        <w:spacing w:line="360" w:lineRule="auto"/>
        <w:ind w:firstLine="480"/>
        <w:jc w:val="left"/>
        <w:rPr>
          <w:rFonts w:ascii="Times New Roman" w:hAnsi="Times New Roman" w:eastAsia="Times New Roman" w:cs="Times New Roman"/>
          <w:color w:val="auto"/>
          <w:sz w:val="24"/>
          <w:u w:val="single"/>
        </w:rPr>
      </w:pPr>
      <w:r>
        <w:rPr>
          <w:rFonts w:ascii="宋体" w:hAnsi="宋体" w:eastAsia="宋体" w:cs="宋体"/>
          <w:color w:val="auto"/>
          <w:sz w:val="24"/>
        </w:rPr>
        <w:t>地点：周口市公共资源交易中心开标室</w:t>
      </w:r>
    </w:p>
    <w:p>
      <w:pPr>
        <w:spacing w:line="360" w:lineRule="auto"/>
        <w:jc w:val="left"/>
        <w:rPr>
          <w:rFonts w:ascii="Times New Roman" w:hAnsi="Times New Roman" w:eastAsia="Times New Roman" w:cs="Times New Roman"/>
          <w:color w:val="auto"/>
          <w:sz w:val="24"/>
        </w:rPr>
      </w:pPr>
      <w:r>
        <w:rPr>
          <w:rFonts w:ascii="宋体" w:hAnsi="宋体" w:eastAsia="宋体" w:cs="宋体"/>
          <w:color w:val="auto"/>
          <w:sz w:val="24"/>
        </w:rPr>
        <w:t>六、公告期限</w:t>
      </w:r>
    </w:p>
    <w:p>
      <w:pPr>
        <w:spacing w:line="360" w:lineRule="auto"/>
        <w:ind w:firstLine="480"/>
        <w:rPr>
          <w:rFonts w:ascii="Times New Roman" w:hAnsi="Times New Roman" w:eastAsia="Times New Roman" w:cs="Times New Roman"/>
          <w:color w:val="auto"/>
          <w:sz w:val="24"/>
        </w:rPr>
      </w:pPr>
      <w:r>
        <w:rPr>
          <w:rFonts w:ascii="宋体" w:hAnsi="宋体" w:eastAsia="宋体" w:cs="宋体"/>
          <w:color w:val="auto"/>
          <w:sz w:val="24"/>
        </w:rPr>
        <w:t>自本公告发布之日起</w:t>
      </w:r>
      <w:r>
        <w:rPr>
          <w:rFonts w:ascii="Times New Roman" w:hAnsi="Times New Roman" w:eastAsia="Times New Roman" w:cs="Times New Roman"/>
          <w:color w:val="auto"/>
          <w:sz w:val="24"/>
        </w:rPr>
        <w:t>3</w:t>
      </w:r>
      <w:r>
        <w:rPr>
          <w:rFonts w:ascii="宋体" w:hAnsi="宋体" w:eastAsia="宋体" w:cs="宋体"/>
          <w:color w:val="auto"/>
          <w:sz w:val="24"/>
        </w:rPr>
        <w:t>个工作日。</w:t>
      </w:r>
    </w:p>
    <w:p>
      <w:pPr>
        <w:spacing w:line="360" w:lineRule="auto"/>
        <w:jc w:val="left"/>
        <w:rPr>
          <w:rFonts w:ascii="Times New Roman" w:hAnsi="Times New Roman" w:eastAsia="Times New Roman" w:cs="Times New Roman"/>
          <w:color w:val="auto"/>
          <w:sz w:val="24"/>
        </w:rPr>
      </w:pPr>
      <w:r>
        <w:rPr>
          <w:rFonts w:ascii="宋体" w:hAnsi="宋体" w:eastAsia="宋体" w:cs="宋体"/>
          <w:color w:val="auto"/>
          <w:sz w:val="24"/>
        </w:rPr>
        <w:t>七、其他补充事宜</w:t>
      </w:r>
    </w:p>
    <w:p>
      <w:pPr>
        <w:spacing w:line="360" w:lineRule="auto"/>
        <w:jc w:val="left"/>
        <w:rPr>
          <w:rFonts w:ascii="Times New Roman" w:hAnsi="Times New Roman" w:eastAsia="Times New Roman" w:cs="Times New Roman"/>
          <w:color w:val="auto"/>
          <w:sz w:val="24"/>
        </w:rPr>
      </w:pPr>
      <w:r>
        <w:rPr>
          <w:rFonts w:ascii="宋体" w:hAnsi="宋体" w:eastAsia="宋体" w:cs="宋体"/>
          <w:color w:val="auto"/>
          <w:sz w:val="24"/>
        </w:rPr>
        <w:t>八、凡对本次采购提出询问，请按以下方式联系。</w:t>
      </w:r>
    </w:p>
    <w:p>
      <w:pPr>
        <w:spacing w:line="360" w:lineRule="auto"/>
        <w:ind w:firstLine="480"/>
        <w:jc w:val="left"/>
        <w:rPr>
          <w:rFonts w:ascii="宋体" w:hAnsi="宋体" w:eastAsia="宋体" w:cs="宋体"/>
          <w:color w:val="auto"/>
          <w:sz w:val="24"/>
        </w:rPr>
      </w:pPr>
      <w:r>
        <w:rPr>
          <w:rFonts w:ascii="宋体" w:hAnsi="宋体" w:eastAsia="宋体" w:cs="宋体"/>
          <w:color w:val="auto"/>
          <w:sz w:val="24"/>
        </w:rPr>
        <w:t>1.采购人信息</w:t>
      </w:r>
    </w:p>
    <w:p>
      <w:pPr>
        <w:spacing w:line="360" w:lineRule="auto"/>
        <w:ind w:firstLine="480"/>
        <w:jc w:val="left"/>
        <w:rPr>
          <w:rFonts w:ascii="宋体" w:hAnsi="宋体" w:eastAsia="宋体" w:cs="宋体"/>
          <w:color w:val="auto"/>
          <w:sz w:val="24"/>
        </w:rPr>
      </w:pPr>
      <w:r>
        <w:rPr>
          <w:rFonts w:ascii="宋体" w:hAnsi="宋体" w:eastAsia="宋体" w:cs="宋体"/>
          <w:color w:val="auto"/>
          <w:sz w:val="24"/>
        </w:rPr>
        <w:t>名 称：</w:t>
      </w:r>
      <w:r>
        <w:rPr>
          <w:rFonts w:hint="eastAsia" w:ascii="宋体" w:hAnsi="宋体" w:eastAsia="宋体" w:cs="宋体"/>
          <w:color w:val="auto"/>
          <w:sz w:val="24"/>
        </w:rPr>
        <w:t>郸城县疾病预防控制中心</w:t>
      </w:r>
      <w:r>
        <w:rPr>
          <w:rFonts w:ascii="宋体" w:hAnsi="宋体" w:eastAsia="宋体" w:cs="宋体"/>
          <w:color w:val="auto"/>
          <w:sz w:val="24"/>
        </w:rPr>
        <w:t>　　　　　　　</w:t>
      </w:r>
    </w:p>
    <w:p>
      <w:pPr>
        <w:spacing w:line="360" w:lineRule="auto"/>
        <w:ind w:firstLine="480"/>
        <w:jc w:val="left"/>
        <w:rPr>
          <w:rFonts w:ascii="宋体" w:hAnsi="宋体" w:eastAsia="宋体" w:cs="宋体"/>
          <w:color w:val="auto"/>
          <w:sz w:val="24"/>
        </w:rPr>
      </w:pPr>
      <w:r>
        <w:rPr>
          <w:rFonts w:ascii="宋体" w:hAnsi="宋体" w:eastAsia="宋体" w:cs="宋体"/>
          <w:color w:val="auto"/>
          <w:sz w:val="24"/>
        </w:rPr>
        <w:t>地址：</w:t>
      </w:r>
      <w:r>
        <w:rPr>
          <w:rFonts w:hint="eastAsia" w:ascii="宋体" w:hAnsi="宋体" w:eastAsia="宋体" w:cs="宋体"/>
          <w:color w:val="auto"/>
          <w:sz w:val="24"/>
        </w:rPr>
        <w:t>郸城县</w:t>
      </w:r>
      <w:r>
        <w:rPr>
          <w:rFonts w:ascii="宋体" w:hAnsi="宋体" w:eastAsia="宋体" w:cs="宋体"/>
          <w:color w:val="auto"/>
          <w:sz w:val="24"/>
        </w:rPr>
        <w:t>　　　　　　　　　　　</w:t>
      </w:r>
    </w:p>
    <w:p>
      <w:pPr>
        <w:spacing w:line="360" w:lineRule="auto"/>
        <w:ind w:firstLine="480"/>
        <w:jc w:val="left"/>
        <w:rPr>
          <w:rFonts w:ascii="宋体" w:hAnsi="宋体" w:eastAsia="宋体" w:cs="宋体"/>
          <w:color w:val="auto"/>
          <w:sz w:val="24"/>
        </w:rPr>
      </w:pPr>
      <w:r>
        <w:rPr>
          <w:rFonts w:ascii="宋体" w:hAnsi="宋体" w:eastAsia="宋体" w:cs="宋体"/>
          <w:color w:val="auto"/>
          <w:sz w:val="24"/>
        </w:rPr>
        <w:t>项目联系人：</w:t>
      </w:r>
      <w:r>
        <w:rPr>
          <w:rFonts w:hint="eastAsia" w:ascii="宋体" w:hAnsi="宋体" w:eastAsia="宋体" w:cs="宋体"/>
          <w:color w:val="auto"/>
          <w:sz w:val="24"/>
        </w:rPr>
        <w:t>梁金伟</w:t>
      </w:r>
      <w:r>
        <w:rPr>
          <w:rFonts w:ascii="宋体" w:hAnsi="宋体" w:eastAsia="宋体" w:cs="宋体"/>
          <w:color w:val="auto"/>
          <w:sz w:val="24"/>
        </w:rPr>
        <w:t xml:space="preserve">    联系方式：</w:t>
      </w:r>
      <w:r>
        <w:rPr>
          <w:rFonts w:hint="eastAsia" w:ascii="宋体" w:hAnsi="宋体" w:eastAsia="宋体" w:cs="宋体"/>
          <w:color w:val="auto"/>
          <w:sz w:val="24"/>
        </w:rPr>
        <w:t>13592287796</w:t>
      </w:r>
      <w:r>
        <w:rPr>
          <w:rFonts w:ascii="宋体" w:hAnsi="宋体" w:eastAsia="宋体" w:cs="宋体"/>
          <w:color w:val="auto"/>
          <w:sz w:val="24"/>
        </w:rPr>
        <w:t xml:space="preserve">　　　　　　　　　　 </w:t>
      </w:r>
    </w:p>
    <w:p>
      <w:pPr>
        <w:spacing w:line="360" w:lineRule="auto"/>
        <w:ind w:firstLine="480"/>
        <w:jc w:val="left"/>
        <w:rPr>
          <w:rFonts w:ascii="宋体" w:hAnsi="宋体" w:eastAsia="宋体" w:cs="宋体"/>
          <w:color w:val="auto"/>
          <w:sz w:val="24"/>
        </w:rPr>
      </w:pPr>
      <w:r>
        <w:rPr>
          <w:rFonts w:ascii="宋体" w:hAnsi="宋体" w:eastAsia="宋体" w:cs="宋体"/>
          <w:color w:val="auto"/>
          <w:sz w:val="24"/>
        </w:rPr>
        <w:t>2.采购代理机构信息</w:t>
      </w:r>
    </w:p>
    <w:p>
      <w:pPr>
        <w:spacing w:line="360" w:lineRule="auto"/>
        <w:ind w:firstLine="480"/>
        <w:jc w:val="left"/>
        <w:rPr>
          <w:rFonts w:ascii="宋体" w:hAnsi="宋体" w:eastAsia="宋体" w:cs="宋体"/>
          <w:color w:val="auto"/>
          <w:sz w:val="24"/>
        </w:rPr>
      </w:pPr>
      <w:r>
        <w:rPr>
          <w:rFonts w:ascii="宋体" w:hAnsi="宋体" w:eastAsia="宋体" w:cs="宋体"/>
          <w:color w:val="auto"/>
          <w:sz w:val="24"/>
        </w:rPr>
        <w:t>名 称：周口市公共资源交易中心政府采购中心　　　　　　　　　　　　</w:t>
      </w:r>
    </w:p>
    <w:p>
      <w:pPr>
        <w:spacing w:line="360" w:lineRule="auto"/>
        <w:ind w:firstLine="480"/>
        <w:jc w:val="left"/>
        <w:rPr>
          <w:rFonts w:ascii="宋体" w:hAnsi="宋体" w:eastAsia="宋体" w:cs="宋体"/>
          <w:color w:val="auto"/>
          <w:sz w:val="24"/>
        </w:rPr>
      </w:pPr>
      <w:r>
        <w:rPr>
          <w:rFonts w:ascii="宋体" w:hAnsi="宋体" w:eastAsia="宋体" w:cs="宋体"/>
          <w:color w:val="auto"/>
          <w:sz w:val="24"/>
        </w:rPr>
        <w:t>地　址：周口市光明路与政通路交叉口向北100米路东</w:t>
      </w:r>
    </w:p>
    <w:p>
      <w:pPr>
        <w:spacing w:line="360" w:lineRule="auto"/>
        <w:ind w:firstLine="480"/>
        <w:jc w:val="left"/>
        <w:rPr>
          <w:rFonts w:ascii="宋体" w:hAnsi="宋体" w:eastAsia="宋体" w:cs="宋体"/>
          <w:color w:val="auto"/>
          <w:sz w:val="24"/>
        </w:rPr>
      </w:pPr>
      <w:r>
        <w:rPr>
          <w:rFonts w:ascii="宋体" w:hAnsi="宋体" w:eastAsia="宋体" w:cs="宋体"/>
          <w:color w:val="auto"/>
          <w:sz w:val="24"/>
        </w:rPr>
        <w:t>项目联系人：</w:t>
      </w:r>
      <w:r>
        <w:rPr>
          <w:rFonts w:hint="eastAsia" w:ascii="宋体" w:hAnsi="宋体" w:eastAsia="宋体" w:cs="宋体"/>
          <w:color w:val="auto"/>
          <w:sz w:val="24"/>
          <w:lang w:val="en-US" w:eastAsia="zh-CN"/>
        </w:rPr>
        <w:t>张光</w:t>
      </w:r>
      <w:r>
        <w:rPr>
          <w:rFonts w:ascii="宋体" w:hAnsi="宋体" w:eastAsia="宋体" w:cs="宋体"/>
          <w:color w:val="auto"/>
          <w:sz w:val="24"/>
        </w:rPr>
        <w:t xml:space="preserve">   联系方式：</w:t>
      </w:r>
      <w:r>
        <w:rPr>
          <w:rFonts w:hint="eastAsia" w:ascii="宋体" w:hAnsi="宋体" w:eastAsia="宋体" w:cs="宋体"/>
          <w:color w:val="auto"/>
          <w:sz w:val="24"/>
          <w:lang w:val="en-US" w:eastAsia="zh-CN"/>
        </w:rPr>
        <w:t>0394-8106517</w:t>
      </w:r>
      <w:r>
        <w:rPr>
          <w:rFonts w:ascii="宋体" w:hAnsi="宋体" w:eastAsia="宋体" w:cs="宋体"/>
          <w:color w:val="auto"/>
          <w:sz w:val="24"/>
        </w:rPr>
        <w:t>　　　　　　　　</w:t>
      </w:r>
    </w:p>
    <w:p>
      <w:pPr>
        <w:spacing w:line="360" w:lineRule="auto"/>
        <w:ind w:firstLine="480"/>
        <w:jc w:val="left"/>
        <w:rPr>
          <w:rFonts w:ascii="宋体" w:hAnsi="宋体" w:eastAsia="宋体" w:cs="宋体"/>
          <w:color w:val="auto"/>
          <w:sz w:val="24"/>
        </w:rPr>
      </w:pPr>
      <w:r>
        <w:rPr>
          <w:rFonts w:ascii="宋体" w:hAnsi="宋体" w:eastAsia="宋体" w:cs="宋体"/>
          <w:color w:val="auto"/>
          <w:sz w:val="24"/>
        </w:rPr>
        <w:t>3.</w:t>
      </w:r>
      <w:r>
        <w:rPr>
          <w:rFonts w:hint="eastAsia" w:ascii="宋体" w:hAnsi="宋体" w:eastAsia="宋体" w:cs="宋体"/>
          <w:color w:val="auto"/>
          <w:sz w:val="24"/>
        </w:rPr>
        <w:t>监督单位：郸城县政府采购办</w:t>
      </w:r>
    </w:p>
    <w:p>
      <w:pPr>
        <w:spacing w:line="360" w:lineRule="auto"/>
        <w:ind w:firstLine="787" w:firstLineChars="328"/>
        <w:jc w:val="left"/>
        <w:rPr>
          <w:rFonts w:ascii="宋体" w:hAnsi="宋体" w:eastAsia="宋体" w:cs="宋体"/>
          <w:color w:val="auto"/>
          <w:sz w:val="24"/>
        </w:rPr>
      </w:pPr>
      <w:r>
        <w:rPr>
          <w:rFonts w:hint="eastAsia" w:ascii="宋体" w:hAnsi="宋体" w:eastAsia="宋体" w:cs="宋体"/>
          <w:color w:val="auto"/>
          <w:sz w:val="24"/>
        </w:rPr>
        <w:t xml:space="preserve">联系方式：0394-3298829 </w:t>
      </w:r>
    </w:p>
    <w:p>
      <w:pPr>
        <w:spacing w:after="120" w:line="360" w:lineRule="auto"/>
        <w:ind w:firstLine="2040"/>
        <w:rPr>
          <w:rFonts w:ascii="宋体" w:hAnsi="宋体" w:eastAsia="宋体" w:cs="宋体"/>
          <w:color w:val="auto"/>
          <w:sz w:val="24"/>
        </w:rPr>
      </w:pPr>
    </w:p>
    <w:p>
      <w:pPr>
        <w:spacing w:after="120" w:line="360" w:lineRule="auto"/>
        <w:ind w:firstLine="2570" w:firstLineChars="1071"/>
        <w:rPr>
          <w:rFonts w:ascii="宋体" w:hAnsi="宋体" w:eastAsia="宋体" w:cs="宋体"/>
          <w:color w:val="auto"/>
          <w:sz w:val="24"/>
        </w:rPr>
      </w:pPr>
      <w:r>
        <w:rPr>
          <w:rFonts w:ascii="宋体" w:hAnsi="宋体" w:eastAsia="宋体" w:cs="宋体"/>
          <w:color w:val="auto"/>
          <w:sz w:val="24"/>
        </w:rPr>
        <w:t>周口市公共资源交易中心政府采购中心</w:t>
      </w:r>
    </w:p>
    <w:p>
      <w:pPr>
        <w:tabs>
          <w:tab w:val="left" w:pos="0"/>
          <w:tab w:val="left" w:pos="993"/>
          <w:tab w:val="left" w:pos="1134"/>
        </w:tabs>
        <w:ind w:firstLine="3600"/>
        <w:rPr>
          <w:rFonts w:ascii="宋体" w:hAnsi="宋体" w:eastAsia="宋体" w:cs="宋体"/>
          <w:color w:val="auto"/>
          <w:sz w:val="24"/>
        </w:rPr>
      </w:pPr>
      <w:r>
        <w:rPr>
          <w:rFonts w:hint="eastAsia" w:ascii="宋体" w:hAnsi="宋体" w:eastAsia="宋体" w:cs="宋体"/>
          <w:color w:val="auto"/>
          <w:sz w:val="24"/>
        </w:rPr>
        <w:t>2024</w:t>
      </w:r>
      <w:r>
        <w:rPr>
          <w:rFonts w:ascii="宋体" w:hAnsi="宋体" w:eastAsia="宋体" w:cs="宋体"/>
          <w:color w:val="auto"/>
          <w:sz w:val="24"/>
        </w:rPr>
        <w:t xml:space="preserve">年 </w:t>
      </w:r>
      <w:r>
        <w:rPr>
          <w:rFonts w:hint="eastAsia" w:ascii="宋体" w:hAnsi="宋体" w:eastAsia="宋体" w:cs="宋体"/>
          <w:color w:val="auto"/>
          <w:sz w:val="24"/>
          <w:lang w:val="en-US" w:eastAsia="zh-CN"/>
        </w:rPr>
        <w:t>6</w:t>
      </w:r>
      <w:r>
        <w:rPr>
          <w:rFonts w:ascii="宋体" w:hAnsi="宋体" w:eastAsia="宋体" w:cs="宋体"/>
          <w:color w:val="auto"/>
          <w:sz w:val="24"/>
        </w:rPr>
        <w:t>月</w:t>
      </w:r>
      <w:r>
        <w:rPr>
          <w:rFonts w:hint="eastAsia" w:ascii="宋体" w:hAnsi="宋体" w:eastAsia="宋体" w:cs="宋体"/>
          <w:color w:val="auto"/>
          <w:sz w:val="24"/>
          <w:lang w:val="en-US" w:eastAsia="zh-CN"/>
        </w:rPr>
        <w:t>3</w:t>
      </w:r>
      <w:r>
        <w:rPr>
          <w:rFonts w:ascii="宋体" w:hAnsi="宋体" w:eastAsia="宋体" w:cs="宋体"/>
          <w:color w:val="auto"/>
          <w:sz w:val="24"/>
        </w:rPr>
        <w:t>日</w:t>
      </w:r>
    </w:p>
    <w:p>
      <w:pPr>
        <w:tabs>
          <w:tab w:val="left" w:pos="0"/>
          <w:tab w:val="left" w:pos="993"/>
          <w:tab w:val="left" w:pos="1134"/>
        </w:tabs>
        <w:ind w:firstLine="3600"/>
        <w:rPr>
          <w:rFonts w:ascii="宋体" w:hAnsi="宋体" w:eastAsia="宋体" w:cs="宋体"/>
          <w:b/>
          <w:color w:val="auto"/>
          <w:sz w:val="24"/>
        </w:rPr>
      </w:pPr>
      <w:r>
        <w:rPr>
          <w:rFonts w:ascii="宋体" w:hAnsi="宋体" w:eastAsia="宋体" w:cs="宋体"/>
          <w:color w:val="auto"/>
          <w:sz w:val="24"/>
        </w:rPr>
        <w:br w:type="page"/>
      </w:r>
      <w:r>
        <w:rPr>
          <w:rFonts w:ascii="宋体" w:hAnsi="宋体" w:eastAsia="宋体" w:cs="宋体"/>
          <w:b/>
          <w:color w:val="auto"/>
          <w:sz w:val="24"/>
        </w:rPr>
        <w:t xml:space="preserve"> </w:t>
      </w:r>
    </w:p>
    <w:p>
      <w:pPr>
        <w:jc w:val="center"/>
        <w:rPr>
          <w:rFonts w:ascii="宋体" w:hAnsi="宋体" w:eastAsia="宋体" w:cs="宋体"/>
          <w:b/>
          <w:color w:val="auto"/>
          <w:sz w:val="24"/>
        </w:rPr>
      </w:pPr>
      <w:r>
        <w:rPr>
          <w:rFonts w:ascii="宋体" w:hAnsi="宋体" w:eastAsia="宋体" w:cs="宋体"/>
          <w:b/>
          <w:color w:val="auto"/>
          <w:sz w:val="24"/>
        </w:rPr>
        <w:t>第二章    供应商须知</w:t>
      </w:r>
    </w:p>
    <w:tbl>
      <w:tblPr>
        <w:tblStyle w:val="8"/>
        <w:tblW w:w="8838" w:type="dxa"/>
        <w:tblInd w:w="108" w:type="dxa"/>
        <w:tblLayout w:type="autofit"/>
        <w:tblCellMar>
          <w:top w:w="0" w:type="dxa"/>
          <w:left w:w="10" w:type="dxa"/>
          <w:bottom w:w="0" w:type="dxa"/>
          <w:right w:w="10" w:type="dxa"/>
        </w:tblCellMar>
      </w:tblPr>
      <w:tblGrid>
        <w:gridCol w:w="856"/>
        <w:gridCol w:w="1644"/>
        <w:gridCol w:w="6338"/>
      </w:tblGrid>
      <w:tr>
        <w:tblPrEx>
          <w:tblCellMar>
            <w:top w:w="0" w:type="dxa"/>
            <w:left w:w="10" w:type="dxa"/>
            <w:bottom w:w="0" w:type="dxa"/>
            <w:right w:w="10" w:type="dxa"/>
          </w:tblCellMar>
        </w:tblPrEx>
        <w:tc>
          <w:tcPr>
            <w:tcW w:w="8838" w:type="dxa"/>
            <w:gridSpan w:val="3"/>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auto"/>
              </w:rPr>
            </w:pPr>
            <w:r>
              <w:rPr>
                <w:rFonts w:ascii="宋体" w:hAnsi="宋体" w:eastAsia="宋体" w:cs="宋体"/>
                <w:color w:val="auto"/>
                <w:sz w:val="24"/>
              </w:rPr>
              <w:t>供应商须知前附表</w:t>
            </w:r>
          </w:p>
        </w:tc>
      </w:tr>
      <w:tr>
        <w:tblPrEx>
          <w:tblCellMar>
            <w:top w:w="0" w:type="dxa"/>
            <w:left w:w="10" w:type="dxa"/>
            <w:bottom w:w="0" w:type="dxa"/>
            <w:right w:w="10" w:type="dxa"/>
          </w:tblCellMar>
        </w:tblPrEx>
        <w:tc>
          <w:tcPr>
            <w:tcW w:w="85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auto"/>
              </w:rPr>
            </w:pPr>
            <w:r>
              <w:rPr>
                <w:rFonts w:ascii="宋体" w:hAnsi="宋体" w:eastAsia="宋体" w:cs="宋体"/>
                <w:color w:val="auto"/>
                <w:sz w:val="24"/>
              </w:rPr>
              <w:t>序号</w:t>
            </w:r>
          </w:p>
        </w:tc>
        <w:tc>
          <w:tcPr>
            <w:tcW w:w="164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auto"/>
              </w:rPr>
            </w:pPr>
            <w:r>
              <w:rPr>
                <w:rFonts w:ascii="宋体" w:hAnsi="宋体" w:eastAsia="宋体" w:cs="宋体"/>
                <w:color w:val="auto"/>
                <w:sz w:val="24"/>
              </w:rPr>
              <w:t>条款</w:t>
            </w:r>
          </w:p>
        </w:tc>
        <w:tc>
          <w:tcPr>
            <w:tcW w:w="633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rPr>
                <w:rFonts w:ascii="宋体" w:hAnsi="宋体" w:eastAsia="宋体" w:cs="宋体"/>
                <w:color w:val="auto"/>
              </w:rPr>
            </w:pPr>
            <w:r>
              <w:rPr>
                <w:rFonts w:ascii="宋体" w:hAnsi="宋体" w:eastAsia="宋体" w:cs="宋体"/>
                <w:color w:val="auto"/>
                <w:sz w:val="24"/>
              </w:rPr>
              <w:t>内  容</w:t>
            </w:r>
          </w:p>
        </w:tc>
      </w:tr>
      <w:tr>
        <w:tblPrEx>
          <w:tblCellMar>
            <w:top w:w="0" w:type="dxa"/>
            <w:left w:w="10" w:type="dxa"/>
            <w:bottom w:w="0" w:type="dxa"/>
            <w:right w:w="10" w:type="dxa"/>
          </w:tblCellMar>
        </w:tblPrEx>
        <w:tc>
          <w:tcPr>
            <w:tcW w:w="85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numPr>
                <w:ilvl w:val="0"/>
                <w:numId w:val="1"/>
              </w:numPr>
              <w:tabs>
                <w:tab w:val="left" w:pos="420"/>
              </w:tabs>
              <w:ind w:left="420" w:hanging="420"/>
              <w:jc w:val="center"/>
              <w:rPr>
                <w:rFonts w:ascii="宋体" w:hAnsi="宋体" w:eastAsia="宋体" w:cs="宋体"/>
                <w:color w:val="auto"/>
                <w:sz w:val="22"/>
              </w:rPr>
            </w:pPr>
            <w:r>
              <w:rPr>
                <w:rFonts w:hint="eastAsia" w:ascii="宋体" w:hAnsi="宋体" w:eastAsia="宋体" w:cs="宋体"/>
                <w:color w:val="auto"/>
                <w:sz w:val="22"/>
              </w:rPr>
              <w:t>1</w:t>
            </w:r>
          </w:p>
        </w:tc>
        <w:tc>
          <w:tcPr>
            <w:tcW w:w="164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auto"/>
              </w:rPr>
            </w:pPr>
            <w:r>
              <w:rPr>
                <w:rFonts w:ascii="宋体" w:hAnsi="宋体" w:eastAsia="宋体" w:cs="宋体"/>
                <w:color w:val="auto"/>
                <w:sz w:val="24"/>
              </w:rPr>
              <w:t>项目概况</w:t>
            </w:r>
          </w:p>
        </w:tc>
        <w:tc>
          <w:tcPr>
            <w:tcW w:w="633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numPr>
                <w:ilvl w:val="0"/>
                <w:numId w:val="2"/>
              </w:numPr>
              <w:rPr>
                <w:rFonts w:ascii="宋体" w:hAnsi="宋体" w:eastAsia="宋体" w:cs="宋体"/>
                <w:color w:val="auto"/>
                <w:sz w:val="24"/>
              </w:rPr>
            </w:pPr>
            <w:r>
              <w:rPr>
                <w:rFonts w:ascii="宋体" w:hAnsi="宋体" w:eastAsia="宋体" w:cs="宋体"/>
                <w:color w:val="auto"/>
                <w:sz w:val="24"/>
              </w:rPr>
              <w:t>项目名称：</w:t>
            </w:r>
            <w:r>
              <w:rPr>
                <w:rFonts w:hint="eastAsia" w:ascii="宋体" w:hAnsi="宋体" w:eastAsia="宋体" w:cs="宋体"/>
                <w:color w:val="auto"/>
                <w:sz w:val="24"/>
              </w:rPr>
              <w:t>郸城县疾病预防控制中心一体化医院污水处理设备采购项目</w:t>
            </w:r>
          </w:p>
          <w:p>
            <w:pPr>
              <w:numPr>
                <w:ilvl w:val="0"/>
                <w:numId w:val="2"/>
              </w:numPr>
              <w:rPr>
                <w:rFonts w:ascii="宋体" w:hAnsi="宋体" w:eastAsia="宋体" w:cs="宋体"/>
                <w:color w:val="auto"/>
                <w:sz w:val="24"/>
              </w:rPr>
            </w:pPr>
            <w:r>
              <w:rPr>
                <w:rFonts w:ascii="宋体" w:hAnsi="宋体" w:eastAsia="宋体" w:cs="宋体"/>
                <w:color w:val="auto"/>
                <w:sz w:val="24"/>
              </w:rPr>
              <w:t>采购内容：</w:t>
            </w:r>
            <w:r>
              <w:rPr>
                <w:rFonts w:hint="eastAsia" w:ascii="宋体" w:hAnsi="宋体" w:eastAsia="宋体" w:cs="宋体"/>
                <w:color w:val="auto"/>
                <w:sz w:val="24"/>
              </w:rPr>
              <w:t>一体化医院污水处理设备</w:t>
            </w:r>
          </w:p>
          <w:p>
            <w:pPr>
              <w:rPr>
                <w:rFonts w:ascii="宋体" w:hAnsi="宋体" w:eastAsia="宋体" w:cs="宋体"/>
                <w:color w:val="auto"/>
                <w:sz w:val="24"/>
              </w:rPr>
            </w:pPr>
            <w:r>
              <w:rPr>
                <w:rFonts w:ascii="宋体" w:hAnsi="宋体" w:eastAsia="宋体" w:cs="宋体"/>
                <w:color w:val="auto"/>
                <w:sz w:val="24"/>
              </w:rPr>
              <w:t>3）采购人：</w:t>
            </w:r>
            <w:r>
              <w:rPr>
                <w:rFonts w:hint="eastAsia" w:ascii="宋体" w:hAnsi="宋体" w:eastAsia="宋体" w:cs="宋体"/>
                <w:color w:val="auto"/>
                <w:sz w:val="24"/>
              </w:rPr>
              <w:t>郸城县疾病预防控制中心</w:t>
            </w:r>
          </w:p>
          <w:p>
            <w:pPr>
              <w:rPr>
                <w:rFonts w:ascii="宋体" w:hAnsi="宋体" w:eastAsia="宋体" w:cs="宋体"/>
                <w:color w:val="auto"/>
              </w:rPr>
            </w:pPr>
            <w:r>
              <w:rPr>
                <w:rFonts w:ascii="宋体" w:hAnsi="宋体" w:eastAsia="宋体" w:cs="宋体"/>
                <w:color w:val="auto"/>
                <w:sz w:val="24"/>
              </w:rPr>
              <w:t>4）采购代理机构：周口市公共资源交易中心政府采购中心</w:t>
            </w:r>
          </w:p>
        </w:tc>
      </w:tr>
      <w:tr>
        <w:tblPrEx>
          <w:tblCellMar>
            <w:top w:w="0" w:type="dxa"/>
            <w:left w:w="10" w:type="dxa"/>
            <w:bottom w:w="0" w:type="dxa"/>
            <w:right w:w="10" w:type="dxa"/>
          </w:tblCellMar>
        </w:tblPrEx>
        <w:tc>
          <w:tcPr>
            <w:tcW w:w="85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numPr>
                <w:ilvl w:val="0"/>
                <w:numId w:val="3"/>
              </w:numPr>
              <w:tabs>
                <w:tab w:val="left" w:pos="420"/>
              </w:tabs>
              <w:ind w:left="420" w:hanging="420"/>
              <w:jc w:val="center"/>
              <w:rPr>
                <w:rFonts w:ascii="宋体" w:hAnsi="宋体" w:eastAsia="宋体" w:cs="宋体"/>
                <w:color w:val="auto"/>
                <w:sz w:val="22"/>
              </w:rPr>
            </w:pPr>
            <w:r>
              <w:rPr>
                <w:rFonts w:hint="eastAsia" w:ascii="宋体" w:hAnsi="宋体" w:eastAsia="宋体" w:cs="宋体"/>
                <w:color w:val="auto"/>
                <w:sz w:val="22"/>
              </w:rPr>
              <w:t>2</w:t>
            </w:r>
          </w:p>
        </w:tc>
        <w:tc>
          <w:tcPr>
            <w:tcW w:w="164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ind w:left="-4" w:hanging="4"/>
              <w:jc w:val="center"/>
              <w:rPr>
                <w:rFonts w:ascii="宋体" w:hAnsi="宋体" w:eastAsia="宋体" w:cs="宋体"/>
                <w:color w:val="auto"/>
              </w:rPr>
            </w:pPr>
            <w:r>
              <w:rPr>
                <w:rFonts w:ascii="宋体" w:hAnsi="宋体" w:eastAsia="宋体" w:cs="宋体"/>
                <w:color w:val="auto"/>
                <w:sz w:val="24"/>
              </w:rPr>
              <w:t>对供应商的资格要求</w:t>
            </w:r>
          </w:p>
        </w:tc>
        <w:tc>
          <w:tcPr>
            <w:tcW w:w="633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ind w:left="-4" w:hanging="4"/>
              <w:rPr>
                <w:rFonts w:ascii="宋体" w:hAnsi="宋体" w:eastAsia="宋体" w:cs="宋体"/>
                <w:color w:val="auto"/>
              </w:rPr>
            </w:pPr>
            <w:r>
              <w:rPr>
                <w:rFonts w:ascii="宋体" w:hAnsi="宋体" w:eastAsia="宋体" w:cs="宋体"/>
                <w:color w:val="auto"/>
                <w:sz w:val="24"/>
              </w:rPr>
              <w:t>见竞争性磋商邀请函</w:t>
            </w:r>
          </w:p>
        </w:tc>
      </w:tr>
      <w:tr>
        <w:tblPrEx>
          <w:tblCellMar>
            <w:top w:w="0" w:type="dxa"/>
            <w:left w:w="10" w:type="dxa"/>
            <w:bottom w:w="0" w:type="dxa"/>
            <w:right w:w="10" w:type="dxa"/>
          </w:tblCellMar>
        </w:tblPrEx>
        <w:trPr>
          <w:trHeight w:val="964" w:hRule="atLeast"/>
        </w:trPr>
        <w:tc>
          <w:tcPr>
            <w:tcW w:w="85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numPr>
                <w:ilvl w:val="0"/>
                <w:numId w:val="4"/>
              </w:numPr>
              <w:tabs>
                <w:tab w:val="left" w:pos="420"/>
              </w:tabs>
              <w:ind w:left="420" w:hanging="420"/>
              <w:jc w:val="center"/>
              <w:rPr>
                <w:rFonts w:ascii="宋体" w:hAnsi="宋体" w:eastAsia="宋体" w:cs="宋体"/>
                <w:color w:val="auto"/>
                <w:sz w:val="22"/>
              </w:rPr>
            </w:pPr>
            <w:r>
              <w:rPr>
                <w:rFonts w:hint="eastAsia" w:ascii="宋体" w:hAnsi="宋体" w:eastAsia="宋体" w:cs="宋体"/>
                <w:color w:val="auto"/>
                <w:sz w:val="22"/>
              </w:rPr>
              <w:t>3</w:t>
            </w:r>
          </w:p>
        </w:tc>
        <w:tc>
          <w:tcPr>
            <w:tcW w:w="164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auto"/>
              </w:rPr>
            </w:pPr>
            <w:r>
              <w:rPr>
                <w:rFonts w:ascii="宋体" w:hAnsi="宋体" w:eastAsia="宋体" w:cs="宋体"/>
                <w:color w:val="auto"/>
                <w:sz w:val="24"/>
              </w:rPr>
              <w:t>报价费用</w:t>
            </w:r>
          </w:p>
        </w:tc>
        <w:tc>
          <w:tcPr>
            <w:tcW w:w="633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rPr>
                <w:rFonts w:ascii="宋体" w:hAnsi="宋体" w:eastAsia="宋体" w:cs="宋体"/>
                <w:color w:val="auto"/>
              </w:rPr>
            </w:pPr>
            <w:r>
              <w:rPr>
                <w:rFonts w:hint="eastAsia" w:ascii="宋体" w:hAnsi="宋体" w:eastAsia="宋体" w:cs="宋体"/>
                <w:color w:val="auto"/>
                <w:sz w:val="24"/>
              </w:rPr>
              <w:t>无论报价和磋商的过程和结果如何，供应商需承诺自行承担所有与参加报价及磋商有关活动的全部费用。招标组织人在任何情况下均无义务和责任承担上述费用。</w:t>
            </w:r>
          </w:p>
        </w:tc>
      </w:tr>
      <w:tr>
        <w:tblPrEx>
          <w:tblCellMar>
            <w:top w:w="0" w:type="dxa"/>
            <w:left w:w="10" w:type="dxa"/>
            <w:bottom w:w="0" w:type="dxa"/>
            <w:right w:w="10" w:type="dxa"/>
          </w:tblCellMar>
        </w:tblPrEx>
        <w:trPr>
          <w:trHeight w:val="90" w:hRule="atLeast"/>
        </w:trPr>
        <w:tc>
          <w:tcPr>
            <w:tcW w:w="85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numPr>
                <w:ilvl w:val="0"/>
                <w:numId w:val="5"/>
              </w:numPr>
              <w:tabs>
                <w:tab w:val="left" w:pos="420"/>
              </w:tabs>
              <w:ind w:left="420" w:hanging="420"/>
              <w:rPr>
                <w:rFonts w:ascii="宋体" w:hAnsi="宋体" w:eastAsia="宋体" w:cs="宋体"/>
                <w:color w:val="auto"/>
                <w:sz w:val="22"/>
              </w:rPr>
            </w:pPr>
            <w:r>
              <w:rPr>
                <w:rFonts w:hint="eastAsia" w:ascii="宋体" w:hAnsi="宋体" w:eastAsia="宋体" w:cs="宋体"/>
                <w:color w:val="auto"/>
                <w:sz w:val="22"/>
              </w:rPr>
              <w:t>4</w:t>
            </w:r>
          </w:p>
        </w:tc>
        <w:tc>
          <w:tcPr>
            <w:tcW w:w="164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auto"/>
              </w:rPr>
            </w:pPr>
            <w:r>
              <w:rPr>
                <w:rFonts w:ascii="宋体" w:hAnsi="宋体" w:eastAsia="宋体" w:cs="宋体"/>
                <w:color w:val="auto"/>
                <w:sz w:val="24"/>
              </w:rPr>
              <w:t>响应文件语言</w:t>
            </w:r>
          </w:p>
        </w:tc>
        <w:tc>
          <w:tcPr>
            <w:tcW w:w="633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rPr>
                <w:rFonts w:ascii="宋体" w:hAnsi="宋体" w:eastAsia="宋体" w:cs="宋体"/>
                <w:color w:val="auto"/>
              </w:rPr>
            </w:pPr>
            <w:r>
              <w:rPr>
                <w:rFonts w:ascii="宋体" w:hAnsi="宋体" w:eastAsia="宋体" w:cs="宋体"/>
                <w:color w:val="auto"/>
                <w:sz w:val="24"/>
              </w:rPr>
              <w:t>中文</w:t>
            </w:r>
          </w:p>
        </w:tc>
      </w:tr>
      <w:tr>
        <w:tblPrEx>
          <w:tblCellMar>
            <w:top w:w="0" w:type="dxa"/>
            <w:left w:w="10" w:type="dxa"/>
            <w:bottom w:w="0" w:type="dxa"/>
            <w:right w:w="10" w:type="dxa"/>
          </w:tblCellMar>
        </w:tblPrEx>
        <w:tc>
          <w:tcPr>
            <w:tcW w:w="85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numPr>
                <w:ilvl w:val="0"/>
                <w:numId w:val="6"/>
              </w:numPr>
              <w:tabs>
                <w:tab w:val="left" w:pos="420"/>
              </w:tabs>
              <w:ind w:left="420" w:hanging="420"/>
              <w:rPr>
                <w:rFonts w:ascii="宋体" w:hAnsi="宋体" w:eastAsia="宋体" w:cs="宋体"/>
                <w:color w:val="auto"/>
                <w:sz w:val="22"/>
              </w:rPr>
            </w:pPr>
            <w:r>
              <w:rPr>
                <w:rFonts w:hint="eastAsia" w:ascii="宋体" w:hAnsi="宋体" w:eastAsia="宋体" w:cs="宋体"/>
                <w:color w:val="auto"/>
                <w:sz w:val="22"/>
              </w:rPr>
              <w:t>5</w:t>
            </w:r>
          </w:p>
        </w:tc>
        <w:tc>
          <w:tcPr>
            <w:tcW w:w="164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auto"/>
              </w:rPr>
            </w:pPr>
            <w:r>
              <w:rPr>
                <w:rFonts w:ascii="宋体" w:hAnsi="宋体" w:eastAsia="宋体" w:cs="宋体"/>
                <w:color w:val="auto"/>
                <w:sz w:val="24"/>
              </w:rPr>
              <w:t>报价货币</w:t>
            </w:r>
          </w:p>
        </w:tc>
        <w:tc>
          <w:tcPr>
            <w:tcW w:w="633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rPr>
                <w:rFonts w:ascii="宋体" w:hAnsi="宋体" w:eastAsia="宋体" w:cs="宋体"/>
                <w:color w:val="auto"/>
              </w:rPr>
            </w:pPr>
            <w:r>
              <w:rPr>
                <w:rFonts w:ascii="宋体" w:hAnsi="宋体" w:eastAsia="宋体" w:cs="宋体"/>
                <w:color w:val="auto"/>
                <w:sz w:val="24"/>
              </w:rPr>
              <w:t>人民币</w:t>
            </w:r>
          </w:p>
        </w:tc>
      </w:tr>
      <w:tr>
        <w:tblPrEx>
          <w:tblCellMar>
            <w:top w:w="0" w:type="dxa"/>
            <w:left w:w="10" w:type="dxa"/>
            <w:bottom w:w="0" w:type="dxa"/>
            <w:right w:w="10" w:type="dxa"/>
          </w:tblCellMar>
        </w:tblPrEx>
        <w:trPr>
          <w:trHeight w:val="936" w:hRule="atLeast"/>
        </w:trPr>
        <w:tc>
          <w:tcPr>
            <w:tcW w:w="85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numPr>
                <w:ilvl w:val="0"/>
                <w:numId w:val="7"/>
              </w:numPr>
              <w:tabs>
                <w:tab w:val="left" w:pos="420"/>
              </w:tabs>
              <w:ind w:left="420" w:hanging="420"/>
              <w:jc w:val="center"/>
              <w:rPr>
                <w:rFonts w:ascii="宋体" w:hAnsi="宋体" w:eastAsia="宋体" w:cs="宋体"/>
                <w:color w:val="auto"/>
                <w:sz w:val="22"/>
              </w:rPr>
            </w:pPr>
            <w:r>
              <w:rPr>
                <w:rFonts w:hint="eastAsia" w:ascii="宋体" w:hAnsi="宋体" w:eastAsia="宋体" w:cs="宋体"/>
                <w:color w:val="auto"/>
                <w:sz w:val="22"/>
              </w:rPr>
              <w:t>6</w:t>
            </w:r>
          </w:p>
        </w:tc>
        <w:tc>
          <w:tcPr>
            <w:tcW w:w="164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auto"/>
              </w:rPr>
            </w:pPr>
            <w:r>
              <w:rPr>
                <w:rFonts w:ascii="宋体" w:hAnsi="宋体" w:eastAsia="宋体" w:cs="宋体"/>
                <w:color w:val="auto"/>
                <w:sz w:val="24"/>
              </w:rPr>
              <w:t>报价范围及说明</w:t>
            </w:r>
          </w:p>
        </w:tc>
        <w:tc>
          <w:tcPr>
            <w:tcW w:w="633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rPr>
                <w:rFonts w:ascii="宋体" w:hAnsi="宋体" w:eastAsia="宋体" w:cs="宋体"/>
                <w:color w:val="auto"/>
              </w:rPr>
            </w:pPr>
            <w:r>
              <w:rPr>
                <w:rFonts w:ascii="宋体" w:hAnsi="宋体" w:eastAsia="宋体" w:cs="宋体"/>
                <w:color w:val="auto"/>
                <w:sz w:val="24"/>
              </w:rPr>
              <w:t>报价包括本项目所招标的货物、保险、税费、包装、运输、现场落地、安装、验收等（采购项目技术规格、参数及要求）</w:t>
            </w:r>
          </w:p>
        </w:tc>
      </w:tr>
      <w:tr>
        <w:tblPrEx>
          <w:tblCellMar>
            <w:top w:w="0" w:type="dxa"/>
            <w:left w:w="10" w:type="dxa"/>
            <w:bottom w:w="0" w:type="dxa"/>
            <w:right w:w="10" w:type="dxa"/>
          </w:tblCellMar>
        </w:tblPrEx>
        <w:tc>
          <w:tcPr>
            <w:tcW w:w="85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numPr>
                <w:ilvl w:val="0"/>
                <w:numId w:val="8"/>
              </w:numPr>
              <w:tabs>
                <w:tab w:val="left" w:pos="420"/>
              </w:tabs>
              <w:ind w:left="420" w:hanging="420"/>
              <w:jc w:val="center"/>
              <w:rPr>
                <w:rFonts w:ascii="宋体" w:hAnsi="宋体" w:eastAsia="宋体" w:cs="宋体"/>
                <w:color w:val="auto"/>
                <w:sz w:val="22"/>
              </w:rPr>
            </w:pPr>
            <w:r>
              <w:rPr>
                <w:rFonts w:hint="eastAsia" w:ascii="宋体" w:hAnsi="宋体" w:eastAsia="宋体" w:cs="宋体"/>
                <w:color w:val="auto"/>
                <w:sz w:val="22"/>
              </w:rPr>
              <w:t>7</w:t>
            </w:r>
          </w:p>
        </w:tc>
        <w:tc>
          <w:tcPr>
            <w:tcW w:w="164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auto"/>
              </w:rPr>
            </w:pPr>
            <w:r>
              <w:rPr>
                <w:rFonts w:ascii="宋体" w:hAnsi="宋体" w:eastAsia="宋体" w:cs="宋体"/>
                <w:color w:val="auto"/>
                <w:sz w:val="24"/>
              </w:rPr>
              <w:t>响应文件有效期</w:t>
            </w:r>
          </w:p>
        </w:tc>
        <w:tc>
          <w:tcPr>
            <w:tcW w:w="633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rPr>
                <w:rFonts w:ascii="宋体" w:hAnsi="宋体" w:eastAsia="宋体" w:cs="宋体"/>
                <w:color w:val="auto"/>
              </w:rPr>
            </w:pPr>
            <w:r>
              <w:rPr>
                <w:rFonts w:ascii="宋体" w:hAnsi="宋体" w:eastAsia="宋体" w:cs="宋体"/>
                <w:color w:val="auto"/>
                <w:sz w:val="24"/>
              </w:rPr>
              <w:t>响应文件递交截止期后60日内有效</w:t>
            </w:r>
          </w:p>
        </w:tc>
      </w:tr>
      <w:tr>
        <w:tblPrEx>
          <w:tblCellMar>
            <w:top w:w="0" w:type="dxa"/>
            <w:left w:w="10" w:type="dxa"/>
            <w:bottom w:w="0" w:type="dxa"/>
            <w:right w:w="10" w:type="dxa"/>
          </w:tblCellMar>
        </w:tblPrEx>
        <w:tc>
          <w:tcPr>
            <w:tcW w:w="85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numPr>
                <w:ilvl w:val="0"/>
                <w:numId w:val="9"/>
              </w:numPr>
              <w:tabs>
                <w:tab w:val="left" w:pos="420"/>
              </w:tabs>
              <w:ind w:left="420" w:hanging="420"/>
              <w:jc w:val="center"/>
              <w:rPr>
                <w:rFonts w:ascii="宋体" w:hAnsi="宋体" w:eastAsia="宋体" w:cs="宋体"/>
                <w:color w:val="auto"/>
                <w:sz w:val="22"/>
              </w:rPr>
            </w:pPr>
            <w:r>
              <w:rPr>
                <w:rFonts w:hint="eastAsia" w:ascii="宋体" w:hAnsi="宋体" w:eastAsia="宋体" w:cs="宋体"/>
                <w:color w:val="auto"/>
                <w:sz w:val="22"/>
              </w:rPr>
              <w:t>8</w:t>
            </w:r>
          </w:p>
        </w:tc>
        <w:tc>
          <w:tcPr>
            <w:tcW w:w="164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tabs>
                <w:tab w:val="left" w:pos="8640"/>
              </w:tabs>
              <w:ind w:left="-2"/>
              <w:jc w:val="center"/>
              <w:rPr>
                <w:rFonts w:ascii="宋体" w:hAnsi="宋体" w:eastAsia="宋体" w:cs="宋体"/>
                <w:color w:val="auto"/>
              </w:rPr>
            </w:pPr>
            <w:r>
              <w:rPr>
                <w:rFonts w:ascii="宋体" w:hAnsi="宋体" w:eastAsia="宋体" w:cs="宋体"/>
                <w:color w:val="auto"/>
                <w:sz w:val="24"/>
              </w:rPr>
              <w:t>响应文件的组成</w:t>
            </w:r>
          </w:p>
        </w:tc>
        <w:tc>
          <w:tcPr>
            <w:tcW w:w="633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rPr>
                <w:rFonts w:ascii="宋体" w:hAnsi="宋体" w:eastAsia="宋体" w:cs="宋体"/>
                <w:color w:val="auto"/>
              </w:rPr>
            </w:pPr>
            <w:r>
              <w:rPr>
                <w:rFonts w:ascii="宋体" w:hAnsi="宋体" w:eastAsia="宋体" w:cs="宋体"/>
                <w:color w:val="auto"/>
                <w:sz w:val="24"/>
              </w:rPr>
              <w:t>供应商应按本磋商文件规定的格式，填写并提供相关文件或资料，本磋商文件第三部分要求的文件和资料也须一并提供。供应商还可根据自己的理解，提供其他必要的技术响应、样本资料及附件；</w:t>
            </w:r>
          </w:p>
        </w:tc>
      </w:tr>
      <w:tr>
        <w:tblPrEx>
          <w:tblCellMar>
            <w:top w:w="0" w:type="dxa"/>
            <w:left w:w="10" w:type="dxa"/>
            <w:bottom w:w="0" w:type="dxa"/>
            <w:right w:w="10" w:type="dxa"/>
          </w:tblCellMar>
        </w:tblPrEx>
        <w:tc>
          <w:tcPr>
            <w:tcW w:w="85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numPr>
                <w:ilvl w:val="0"/>
                <w:numId w:val="10"/>
              </w:numPr>
              <w:tabs>
                <w:tab w:val="left" w:pos="420"/>
              </w:tabs>
              <w:ind w:left="420" w:hanging="420"/>
              <w:jc w:val="center"/>
              <w:rPr>
                <w:rFonts w:ascii="宋体" w:hAnsi="宋体" w:eastAsia="宋体" w:cs="宋体"/>
                <w:color w:val="auto"/>
                <w:sz w:val="22"/>
              </w:rPr>
            </w:pPr>
            <w:r>
              <w:rPr>
                <w:rFonts w:hint="eastAsia" w:ascii="宋体" w:hAnsi="宋体" w:eastAsia="宋体" w:cs="宋体"/>
                <w:color w:val="auto"/>
                <w:sz w:val="22"/>
              </w:rPr>
              <w:t>9</w:t>
            </w:r>
          </w:p>
        </w:tc>
        <w:tc>
          <w:tcPr>
            <w:tcW w:w="164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tabs>
                <w:tab w:val="left" w:pos="8640"/>
              </w:tabs>
              <w:ind w:left="-2"/>
              <w:jc w:val="center"/>
              <w:rPr>
                <w:rFonts w:ascii="宋体" w:hAnsi="宋体" w:eastAsia="宋体" w:cs="宋体"/>
                <w:color w:val="auto"/>
              </w:rPr>
            </w:pPr>
            <w:r>
              <w:rPr>
                <w:rFonts w:ascii="宋体" w:hAnsi="宋体" w:eastAsia="宋体" w:cs="宋体"/>
                <w:color w:val="auto"/>
                <w:sz w:val="24"/>
              </w:rPr>
              <w:t>响应文件封面要求</w:t>
            </w:r>
          </w:p>
        </w:tc>
        <w:tc>
          <w:tcPr>
            <w:tcW w:w="633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tabs>
                <w:tab w:val="left" w:pos="8640"/>
              </w:tabs>
              <w:rPr>
                <w:rFonts w:ascii="宋体" w:hAnsi="宋体" w:eastAsia="宋体" w:cs="宋体"/>
                <w:color w:val="auto"/>
              </w:rPr>
            </w:pPr>
            <w:r>
              <w:rPr>
                <w:rFonts w:ascii="宋体" w:hAnsi="宋体" w:eastAsia="宋体" w:cs="宋体"/>
                <w:color w:val="auto"/>
                <w:sz w:val="24"/>
              </w:rPr>
              <w:t>无</w:t>
            </w:r>
          </w:p>
        </w:tc>
      </w:tr>
      <w:tr>
        <w:tblPrEx>
          <w:tblCellMar>
            <w:top w:w="0" w:type="dxa"/>
            <w:left w:w="10" w:type="dxa"/>
            <w:bottom w:w="0" w:type="dxa"/>
            <w:right w:w="10" w:type="dxa"/>
          </w:tblCellMar>
        </w:tblPrEx>
        <w:tc>
          <w:tcPr>
            <w:tcW w:w="85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numPr>
                <w:ilvl w:val="0"/>
                <w:numId w:val="11"/>
              </w:numPr>
              <w:tabs>
                <w:tab w:val="left" w:pos="420"/>
              </w:tabs>
              <w:ind w:left="420" w:hanging="420"/>
              <w:jc w:val="center"/>
              <w:rPr>
                <w:rFonts w:ascii="宋体" w:hAnsi="宋体" w:eastAsia="宋体" w:cs="宋体"/>
                <w:color w:val="auto"/>
                <w:sz w:val="22"/>
              </w:rPr>
            </w:pPr>
            <w:r>
              <w:rPr>
                <w:rFonts w:hint="eastAsia" w:ascii="宋体" w:hAnsi="宋体" w:eastAsia="宋体" w:cs="宋体"/>
                <w:color w:val="auto"/>
                <w:sz w:val="22"/>
              </w:rPr>
              <w:t>10</w:t>
            </w:r>
          </w:p>
        </w:tc>
        <w:tc>
          <w:tcPr>
            <w:tcW w:w="164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auto"/>
              </w:rPr>
            </w:pPr>
            <w:r>
              <w:rPr>
                <w:rFonts w:ascii="宋体" w:hAnsi="宋体" w:eastAsia="宋体" w:cs="宋体"/>
                <w:color w:val="auto"/>
                <w:sz w:val="24"/>
              </w:rPr>
              <w:t>响应文件份数要求</w:t>
            </w:r>
          </w:p>
        </w:tc>
        <w:tc>
          <w:tcPr>
            <w:tcW w:w="633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tabs>
                <w:tab w:val="left" w:pos="8640"/>
              </w:tabs>
              <w:ind w:left="-2"/>
              <w:rPr>
                <w:rFonts w:ascii="宋体" w:hAnsi="宋体" w:eastAsia="宋体" w:cs="宋体"/>
                <w:color w:val="auto"/>
              </w:rPr>
            </w:pPr>
            <w:r>
              <w:rPr>
                <w:rFonts w:ascii="宋体" w:hAnsi="宋体" w:eastAsia="宋体" w:cs="宋体"/>
                <w:color w:val="auto"/>
                <w:sz w:val="24"/>
              </w:rPr>
              <w:t>加密的电子投标文件须在投标截止时间前成功上传</w:t>
            </w:r>
          </w:p>
        </w:tc>
      </w:tr>
      <w:tr>
        <w:tblPrEx>
          <w:tblCellMar>
            <w:top w:w="0" w:type="dxa"/>
            <w:left w:w="10" w:type="dxa"/>
            <w:bottom w:w="0" w:type="dxa"/>
            <w:right w:w="10" w:type="dxa"/>
          </w:tblCellMar>
        </w:tblPrEx>
        <w:tc>
          <w:tcPr>
            <w:tcW w:w="85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numPr>
                <w:ilvl w:val="0"/>
                <w:numId w:val="12"/>
              </w:numPr>
              <w:tabs>
                <w:tab w:val="left" w:pos="420"/>
              </w:tabs>
              <w:ind w:left="420" w:hanging="420"/>
              <w:jc w:val="center"/>
              <w:rPr>
                <w:rFonts w:ascii="宋体" w:hAnsi="宋体" w:eastAsia="宋体" w:cs="宋体"/>
                <w:color w:val="auto"/>
                <w:sz w:val="22"/>
              </w:rPr>
            </w:pPr>
            <w:r>
              <w:rPr>
                <w:rFonts w:hint="eastAsia" w:ascii="宋体" w:hAnsi="宋体" w:eastAsia="宋体" w:cs="宋体"/>
                <w:color w:val="auto"/>
                <w:sz w:val="22"/>
              </w:rPr>
              <w:t>11</w:t>
            </w:r>
          </w:p>
        </w:tc>
        <w:tc>
          <w:tcPr>
            <w:tcW w:w="164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auto"/>
              </w:rPr>
            </w:pPr>
            <w:r>
              <w:rPr>
                <w:rFonts w:ascii="宋体" w:hAnsi="宋体" w:eastAsia="宋体" w:cs="宋体"/>
                <w:color w:val="auto"/>
                <w:sz w:val="24"/>
              </w:rPr>
              <w:t>响应文件装订和密封要求</w:t>
            </w:r>
          </w:p>
        </w:tc>
        <w:tc>
          <w:tcPr>
            <w:tcW w:w="633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rPr>
                <w:rFonts w:ascii="宋体" w:hAnsi="宋体" w:eastAsia="宋体" w:cs="宋体"/>
                <w:color w:val="auto"/>
              </w:rPr>
            </w:pPr>
            <w:r>
              <w:rPr>
                <w:rFonts w:ascii="宋体" w:hAnsi="宋体" w:eastAsia="宋体" w:cs="宋体"/>
                <w:color w:val="auto"/>
                <w:sz w:val="24"/>
              </w:rPr>
              <w:t>无</w:t>
            </w:r>
          </w:p>
        </w:tc>
      </w:tr>
      <w:tr>
        <w:tblPrEx>
          <w:tblCellMar>
            <w:top w:w="0" w:type="dxa"/>
            <w:left w:w="10" w:type="dxa"/>
            <w:bottom w:w="0" w:type="dxa"/>
            <w:right w:w="10" w:type="dxa"/>
          </w:tblCellMar>
        </w:tblPrEx>
        <w:tc>
          <w:tcPr>
            <w:tcW w:w="85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numPr>
                <w:ilvl w:val="0"/>
                <w:numId w:val="13"/>
              </w:numPr>
              <w:tabs>
                <w:tab w:val="left" w:pos="420"/>
              </w:tabs>
              <w:ind w:left="420" w:hanging="420"/>
              <w:jc w:val="center"/>
              <w:rPr>
                <w:rFonts w:ascii="宋体" w:hAnsi="宋体" w:eastAsia="宋体" w:cs="宋体"/>
                <w:color w:val="auto"/>
                <w:sz w:val="22"/>
              </w:rPr>
            </w:pPr>
            <w:r>
              <w:rPr>
                <w:rFonts w:hint="eastAsia" w:ascii="宋体" w:hAnsi="宋体" w:eastAsia="宋体" w:cs="宋体"/>
                <w:color w:val="auto"/>
                <w:sz w:val="22"/>
              </w:rPr>
              <w:t>12</w:t>
            </w:r>
          </w:p>
        </w:tc>
        <w:tc>
          <w:tcPr>
            <w:tcW w:w="164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auto"/>
              </w:rPr>
            </w:pPr>
            <w:r>
              <w:rPr>
                <w:rFonts w:ascii="宋体" w:hAnsi="宋体" w:eastAsia="宋体" w:cs="宋体"/>
                <w:color w:val="auto"/>
                <w:sz w:val="24"/>
              </w:rPr>
              <w:t>竞争性磋商文件的澄清</w:t>
            </w:r>
          </w:p>
        </w:tc>
        <w:tc>
          <w:tcPr>
            <w:tcW w:w="633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rPr>
                <w:rFonts w:ascii="宋体" w:hAnsi="宋体" w:eastAsia="宋体" w:cs="宋体"/>
                <w:color w:val="auto"/>
                <w:sz w:val="24"/>
              </w:rPr>
            </w:pPr>
            <w:r>
              <w:rPr>
                <w:rFonts w:ascii="宋体" w:hAnsi="宋体" w:eastAsia="宋体" w:cs="宋体"/>
                <w:color w:val="auto"/>
                <w:sz w:val="24"/>
              </w:rPr>
              <w:t>对竞争性磋商文件进行的澄清，以网上公告的方式通知供应商。澄清或修改的内容可能影响响应文件编制的，采购人、采购代理机构应当在提交响应文件截止时间至少5日前。</w:t>
            </w:r>
          </w:p>
          <w:p>
            <w:pPr>
              <w:rPr>
                <w:rFonts w:ascii="宋体" w:hAnsi="宋体" w:eastAsia="宋体" w:cs="宋体"/>
                <w:color w:val="auto"/>
              </w:rPr>
            </w:pPr>
          </w:p>
        </w:tc>
      </w:tr>
      <w:tr>
        <w:tblPrEx>
          <w:tblCellMar>
            <w:top w:w="0" w:type="dxa"/>
            <w:left w:w="10" w:type="dxa"/>
            <w:bottom w:w="0" w:type="dxa"/>
            <w:right w:w="10" w:type="dxa"/>
          </w:tblCellMar>
        </w:tblPrEx>
        <w:tc>
          <w:tcPr>
            <w:tcW w:w="85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numPr>
                <w:ilvl w:val="0"/>
                <w:numId w:val="14"/>
              </w:numPr>
              <w:tabs>
                <w:tab w:val="left" w:pos="420"/>
              </w:tabs>
              <w:ind w:left="420" w:hanging="420"/>
              <w:jc w:val="center"/>
              <w:rPr>
                <w:rFonts w:ascii="宋体" w:hAnsi="宋体" w:eastAsia="宋体" w:cs="宋体"/>
                <w:color w:val="auto"/>
                <w:sz w:val="22"/>
              </w:rPr>
            </w:pPr>
            <w:r>
              <w:rPr>
                <w:rFonts w:hint="eastAsia" w:ascii="宋体" w:hAnsi="宋体" w:eastAsia="宋体" w:cs="宋体"/>
                <w:color w:val="auto"/>
                <w:sz w:val="22"/>
              </w:rPr>
              <w:t>13</w:t>
            </w:r>
          </w:p>
        </w:tc>
        <w:tc>
          <w:tcPr>
            <w:tcW w:w="164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auto"/>
              </w:rPr>
            </w:pPr>
            <w:r>
              <w:rPr>
                <w:rFonts w:ascii="宋体" w:hAnsi="宋体" w:eastAsia="宋体" w:cs="宋体"/>
                <w:color w:val="auto"/>
                <w:sz w:val="24"/>
              </w:rPr>
              <w:t>响应文件递交截止时间</w:t>
            </w:r>
          </w:p>
        </w:tc>
        <w:tc>
          <w:tcPr>
            <w:tcW w:w="633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rPr>
                <w:rFonts w:ascii="宋体" w:hAnsi="宋体" w:eastAsia="宋体" w:cs="宋体"/>
                <w:color w:val="auto"/>
              </w:rPr>
            </w:pPr>
            <w:r>
              <w:rPr>
                <w:rFonts w:hint="eastAsia" w:ascii="宋体" w:hAnsi="宋体" w:eastAsia="宋体" w:cs="宋体"/>
                <w:color w:val="auto"/>
                <w:sz w:val="24"/>
                <w:lang w:val="en-US" w:eastAsia="zh-CN"/>
              </w:rPr>
              <w:t>2024</w:t>
            </w:r>
            <w:r>
              <w:rPr>
                <w:rFonts w:hint="eastAsia" w:ascii="宋体" w:hAnsi="宋体" w:eastAsia="宋体" w:cs="宋体"/>
                <w:color w:val="auto"/>
                <w:sz w:val="24"/>
              </w:rPr>
              <w:t>年</w:t>
            </w:r>
            <w:r>
              <w:rPr>
                <w:rFonts w:hint="eastAsia" w:ascii="宋体" w:hAnsi="宋体" w:eastAsia="宋体" w:cs="宋体"/>
                <w:color w:val="auto"/>
                <w:sz w:val="24"/>
                <w:lang w:val="en-US" w:eastAsia="zh-CN"/>
              </w:rPr>
              <w:t>6</w:t>
            </w:r>
            <w:r>
              <w:rPr>
                <w:rFonts w:hint="eastAsia" w:ascii="宋体" w:hAnsi="宋体" w:eastAsia="宋体" w:cs="宋体"/>
                <w:color w:val="auto"/>
                <w:sz w:val="24"/>
              </w:rPr>
              <w:t>月</w:t>
            </w:r>
            <w:r>
              <w:rPr>
                <w:rFonts w:hint="eastAsia" w:ascii="宋体" w:hAnsi="宋体" w:eastAsia="宋体" w:cs="宋体"/>
                <w:color w:val="auto"/>
                <w:sz w:val="24"/>
                <w:lang w:val="en-US" w:eastAsia="zh-CN"/>
              </w:rPr>
              <w:t>13</w:t>
            </w:r>
            <w:r>
              <w:rPr>
                <w:rFonts w:hint="eastAsia" w:ascii="宋体" w:hAnsi="宋体" w:eastAsia="宋体" w:cs="宋体"/>
                <w:color w:val="auto"/>
                <w:sz w:val="24"/>
              </w:rPr>
              <w:t>日</w:t>
            </w:r>
            <w:r>
              <w:rPr>
                <w:rFonts w:hint="eastAsia" w:ascii="宋体" w:hAnsi="宋体" w:eastAsia="宋体" w:cs="宋体"/>
                <w:color w:val="auto"/>
                <w:sz w:val="24"/>
                <w:lang w:val="en-US" w:eastAsia="zh-CN"/>
              </w:rPr>
              <w:t>10</w:t>
            </w:r>
            <w:r>
              <w:rPr>
                <w:rFonts w:hint="eastAsia" w:ascii="宋体" w:hAnsi="宋体" w:eastAsia="宋体" w:cs="宋体"/>
                <w:color w:val="auto"/>
                <w:sz w:val="24"/>
              </w:rPr>
              <w:t xml:space="preserve"> 点</w:t>
            </w:r>
            <w:r>
              <w:rPr>
                <w:rFonts w:hint="eastAsia" w:ascii="宋体" w:hAnsi="宋体" w:eastAsia="宋体" w:cs="宋体"/>
                <w:color w:val="auto"/>
                <w:sz w:val="24"/>
                <w:lang w:val="en-US" w:eastAsia="zh-CN"/>
              </w:rPr>
              <w:t>00</w:t>
            </w:r>
            <w:r>
              <w:rPr>
                <w:rFonts w:ascii="宋体" w:hAnsi="宋体" w:eastAsia="宋体" w:cs="宋体"/>
                <w:color w:val="auto"/>
                <w:sz w:val="24"/>
              </w:rPr>
              <w:t xml:space="preserve"> （见磋商公告） </w:t>
            </w:r>
          </w:p>
        </w:tc>
      </w:tr>
      <w:tr>
        <w:tblPrEx>
          <w:tblCellMar>
            <w:top w:w="0" w:type="dxa"/>
            <w:left w:w="10" w:type="dxa"/>
            <w:bottom w:w="0" w:type="dxa"/>
            <w:right w:w="10" w:type="dxa"/>
          </w:tblCellMar>
        </w:tblPrEx>
        <w:trPr>
          <w:trHeight w:val="1117" w:hRule="atLeast"/>
        </w:trPr>
        <w:tc>
          <w:tcPr>
            <w:tcW w:w="85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numPr>
                <w:ilvl w:val="0"/>
                <w:numId w:val="15"/>
              </w:numPr>
              <w:tabs>
                <w:tab w:val="left" w:pos="420"/>
              </w:tabs>
              <w:ind w:left="420" w:hanging="420"/>
              <w:jc w:val="center"/>
              <w:rPr>
                <w:rFonts w:ascii="宋体" w:hAnsi="宋体" w:eastAsia="宋体" w:cs="宋体"/>
                <w:color w:val="auto"/>
                <w:sz w:val="22"/>
              </w:rPr>
            </w:pPr>
            <w:r>
              <w:rPr>
                <w:rFonts w:hint="eastAsia" w:ascii="宋体" w:hAnsi="宋体" w:eastAsia="宋体" w:cs="宋体"/>
                <w:color w:val="auto"/>
                <w:sz w:val="22"/>
              </w:rPr>
              <w:t>14</w:t>
            </w:r>
          </w:p>
        </w:tc>
        <w:tc>
          <w:tcPr>
            <w:tcW w:w="164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auto"/>
              </w:rPr>
            </w:pPr>
            <w:r>
              <w:rPr>
                <w:rFonts w:ascii="宋体" w:hAnsi="宋体" w:eastAsia="宋体" w:cs="宋体"/>
                <w:color w:val="auto"/>
                <w:sz w:val="24"/>
              </w:rPr>
              <w:t>响应文件递交地点</w:t>
            </w:r>
          </w:p>
        </w:tc>
        <w:tc>
          <w:tcPr>
            <w:tcW w:w="633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tabs>
                <w:tab w:val="left" w:pos="8640"/>
              </w:tabs>
              <w:ind w:left="-2"/>
              <w:rPr>
                <w:rFonts w:ascii="宋体" w:hAnsi="宋体" w:eastAsia="宋体" w:cs="宋体"/>
                <w:color w:val="auto"/>
                <w:sz w:val="24"/>
              </w:rPr>
            </w:pPr>
            <w:r>
              <w:rPr>
                <w:rFonts w:hint="eastAsia" w:ascii="宋体" w:hAnsi="宋体" w:eastAsia="宋体" w:cs="宋体"/>
                <w:color w:val="auto"/>
                <w:sz w:val="24"/>
              </w:rPr>
              <w:t>周口市公共资源交易中心网</w:t>
            </w:r>
          </w:p>
          <w:p>
            <w:pPr>
              <w:tabs>
                <w:tab w:val="left" w:pos="8640"/>
              </w:tabs>
              <w:ind w:left="-2"/>
              <w:rPr>
                <w:rFonts w:ascii="宋体" w:hAnsi="宋体" w:eastAsia="宋体" w:cs="宋体"/>
                <w:color w:val="auto"/>
                <w:sz w:val="24"/>
              </w:rPr>
            </w:pPr>
            <w:r>
              <w:rPr>
                <w:rFonts w:hint="eastAsia" w:ascii="宋体" w:hAnsi="宋体" w:eastAsia="宋体" w:cs="宋体"/>
                <w:color w:val="auto"/>
                <w:sz w:val="24"/>
              </w:rPr>
              <w:t>网址：周口市公共资源电子交易服务平台会员系统（网址http://jyzx.zhoukou.gov.cn）</w:t>
            </w:r>
          </w:p>
          <w:p>
            <w:pPr>
              <w:tabs>
                <w:tab w:val="left" w:pos="8640"/>
              </w:tabs>
              <w:ind w:left="-2"/>
              <w:rPr>
                <w:rFonts w:ascii="宋体" w:hAnsi="宋体" w:eastAsia="宋体" w:cs="宋体"/>
                <w:color w:val="auto"/>
              </w:rPr>
            </w:pPr>
            <w:r>
              <w:rPr>
                <w:rFonts w:hint="eastAsia" w:ascii="宋体" w:hAnsi="宋体" w:eastAsia="宋体" w:cs="宋体"/>
                <w:color w:val="auto"/>
                <w:sz w:val="24"/>
              </w:rPr>
              <w:t>（本项目实行网上远程开标无</w:t>
            </w:r>
            <w:r>
              <w:rPr>
                <w:rFonts w:hint="eastAsia" w:ascii="宋体" w:hAnsi="宋体" w:eastAsia="宋体" w:cs="宋体"/>
                <w:color w:val="auto"/>
                <w:sz w:val="24"/>
                <w:szCs w:val="24"/>
              </w:rPr>
              <w:t>须到现场提交响应文件）</w:t>
            </w:r>
          </w:p>
        </w:tc>
      </w:tr>
      <w:tr>
        <w:tblPrEx>
          <w:tblCellMar>
            <w:top w:w="0" w:type="dxa"/>
            <w:left w:w="10" w:type="dxa"/>
            <w:bottom w:w="0" w:type="dxa"/>
            <w:right w:w="10" w:type="dxa"/>
          </w:tblCellMar>
        </w:tblPrEx>
        <w:tc>
          <w:tcPr>
            <w:tcW w:w="85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numPr>
                <w:ilvl w:val="0"/>
                <w:numId w:val="16"/>
              </w:numPr>
              <w:tabs>
                <w:tab w:val="left" w:pos="420"/>
              </w:tabs>
              <w:ind w:left="420" w:hanging="420"/>
              <w:jc w:val="center"/>
              <w:rPr>
                <w:rFonts w:ascii="宋体" w:hAnsi="宋体" w:eastAsia="宋体" w:cs="宋体"/>
                <w:color w:val="auto"/>
                <w:sz w:val="22"/>
              </w:rPr>
            </w:pPr>
            <w:r>
              <w:rPr>
                <w:rFonts w:hint="eastAsia" w:ascii="宋体" w:hAnsi="宋体" w:eastAsia="宋体" w:cs="宋体"/>
                <w:color w:val="auto"/>
                <w:sz w:val="22"/>
              </w:rPr>
              <w:t>15</w:t>
            </w:r>
          </w:p>
        </w:tc>
        <w:tc>
          <w:tcPr>
            <w:tcW w:w="164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auto"/>
              </w:rPr>
            </w:pPr>
            <w:r>
              <w:rPr>
                <w:rFonts w:ascii="宋体" w:hAnsi="宋体" w:eastAsia="宋体" w:cs="宋体"/>
                <w:color w:val="auto"/>
                <w:sz w:val="24"/>
              </w:rPr>
              <w:t>磋商时间</w:t>
            </w:r>
          </w:p>
        </w:tc>
        <w:tc>
          <w:tcPr>
            <w:tcW w:w="633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tabs>
                <w:tab w:val="left" w:pos="8640"/>
              </w:tabs>
              <w:ind w:left="-2"/>
              <w:rPr>
                <w:rFonts w:ascii="宋体" w:hAnsi="宋体" w:eastAsia="宋体" w:cs="宋体"/>
                <w:color w:val="auto"/>
              </w:rPr>
            </w:pPr>
            <w:r>
              <w:rPr>
                <w:rFonts w:hint="eastAsia" w:ascii="宋体" w:hAnsi="宋体" w:eastAsia="宋体" w:cs="宋体"/>
                <w:color w:val="auto"/>
                <w:sz w:val="24"/>
                <w:lang w:val="en-US" w:eastAsia="zh-CN"/>
              </w:rPr>
              <w:t>2024</w:t>
            </w:r>
            <w:r>
              <w:rPr>
                <w:rFonts w:hint="eastAsia" w:ascii="宋体" w:hAnsi="宋体" w:eastAsia="宋体" w:cs="宋体"/>
                <w:color w:val="auto"/>
                <w:sz w:val="24"/>
              </w:rPr>
              <w:t>年</w:t>
            </w:r>
            <w:r>
              <w:rPr>
                <w:rFonts w:hint="eastAsia" w:ascii="宋体" w:hAnsi="宋体" w:eastAsia="宋体" w:cs="宋体"/>
                <w:color w:val="auto"/>
                <w:sz w:val="24"/>
                <w:lang w:val="en-US" w:eastAsia="zh-CN"/>
              </w:rPr>
              <w:t>6</w:t>
            </w:r>
            <w:r>
              <w:rPr>
                <w:rFonts w:hint="eastAsia" w:ascii="宋体" w:hAnsi="宋体" w:eastAsia="宋体" w:cs="宋体"/>
                <w:color w:val="auto"/>
                <w:sz w:val="24"/>
              </w:rPr>
              <w:t>月</w:t>
            </w:r>
            <w:r>
              <w:rPr>
                <w:rFonts w:hint="eastAsia" w:ascii="宋体" w:hAnsi="宋体" w:eastAsia="宋体" w:cs="宋体"/>
                <w:color w:val="auto"/>
                <w:sz w:val="24"/>
                <w:lang w:val="en-US" w:eastAsia="zh-CN"/>
              </w:rPr>
              <w:t>13</w:t>
            </w:r>
            <w:r>
              <w:rPr>
                <w:rFonts w:hint="eastAsia" w:ascii="宋体" w:hAnsi="宋体" w:eastAsia="宋体" w:cs="宋体"/>
                <w:color w:val="auto"/>
                <w:sz w:val="24"/>
              </w:rPr>
              <w:t>日</w:t>
            </w:r>
            <w:r>
              <w:rPr>
                <w:rFonts w:hint="eastAsia" w:ascii="宋体" w:hAnsi="宋体" w:eastAsia="宋体" w:cs="宋体"/>
                <w:color w:val="auto"/>
                <w:sz w:val="24"/>
                <w:lang w:val="en-US" w:eastAsia="zh-CN"/>
              </w:rPr>
              <w:t>10</w:t>
            </w:r>
            <w:r>
              <w:rPr>
                <w:rFonts w:hint="eastAsia" w:ascii="宋体" w:hAnsi="宋体" w:eastAsia="宋体" w:cs="宋体"/>
                <w:color w:val="auto"/>
                <w:sz w:val="24"/>
              </w:rPr>
              <w:t xml:space="preserve"> 点</w:t>
            </w:r>
            <w:r>
              <w:rPr>
                <w:rFonts w:hint="eastAsia" w:ascii="宋体" w:hAnsi="宋体" w:eastAsia="宋体" w:cs="宋体"/>
                <w:color w:val="auto"/>
                <w:sz w:val="24"/>
                <w:lang w:val="en-US" w:eastAsia="zh-CN"/>
              </w:rPr>
              <w:t>00</w:t>
            </w:r>
            <w:bookmarkStart w:id="0" w:name="_GoBack"/>
            <w:bookmarkEnd w:id="0"/>
            <w:r>
              <w:rPr>
                <w:rFonts w:ascii="宋体" w:hAnsi="宋体" w:eastAsia="宋体" w:cs="宋体"/>
                <w:color w:val="auto"/>
                <w:sz w:val="24"/>
              </w:rPr>
              <w:t xml:space="preserve">   见磋商公告</w:t>
            </w:r>
          </w:p>
        </w:tc>
      </w:tr>
      <w:tr>
        <w:tblPrEx>
          <w:tblCellMar>
            <w:top w:w="0" w:type="dxa"/>
            <w:left w:w="10" w:type="dxa"/>
            <w:bottom w:w="0" w:type="dxa"/>
            <w:right w:w="10" w:type="dxa"/>
          </w:tblCellMar>
        </w:tblPrEx>
        <w:tc>
          <w:tcPr>
            <w:tcW w:w="85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numPr>
                <w:ilvl w:val="0"/>
                <w:numId w:val="17"/>
              </w:numPr>
              <w:tabs>
                <w:tab w:val="left" w:pos="420"/>
              </w:tabs>
              <w:ind w:left="420" w:hanging="420"/>
              <w:jc w:val="center"/>
              <w:rPr>
                <w:rFonts w:ascii="宋体" w:hAnsi="宋体" w:eastAsia="宋体" w:cs="宋体"/>
                <w:color w:val="auto"/>
                <w:sz w:val="22"/>
              </w:rPr>
            </w:pPr>
            <w:r>
              <w:rPr>
                <w:rFonts w:hint="eastAsia" w:ascii="宋体" w:hAnsi="宋体" w:eastAsia="宋体" w:cs="宋体"/>
                <w:color w:val="auto"/>
                <w:sz w:val="22"/>
              </w:rPr>
              <w:t>16</w:t>
            </w:r>
          </w:p>
        </w:tc>
        <w:tc>
          <w:tcPr>
            <w:tcW w:w="164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auto"/>
              </w:rPr>
            </w:pPr>
            <w:r>
              <w:rPr>
                <w:rFonts w:ascii="宋体" w:hAnsi="宋体" w:eastAsia="宋体" w:cs="宋体"/>
                <w:color w:val="auto"/>
                <w:sz w:val="24"/>
              </w:rPr>
              <w:t>磋商程序和内容</w:t>
            </w:r>
          </w:p>
        </w:tc>
        <w:tc>
          <w:tcPr>
            <w:tcW w:w="633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tabs>
                <w:tab w:val="left" w:pos="8640"/>
              </w:tabs>
              <w:rPr>
                <w:rFonts w:ascii="宋体" w:hAnsi="宋体" w:eastAsia="宋体" w:cs="宋体"/>
                <w:color w:val="auto"/>
              </w:rPr>
            </w:pPr>
            <w:r>
              <w:rPr>
                <w:rFonts w:ascii="宋体" w:hAnsi="宋体" w:eastAsia="宋体" w:cs="宋体"/>
                <w:color w:val="auto"/>
                <w:sz w:val="24"/>
              </w:rPr>
              <w:t>详见磋商文件第二章</w:t>
            </w:r>
          </w:p>
        </w:tc>
      </w:tr>
      <w:tr>
        <w:tblPrEx>
          <w:tblCellMar>
            <w:top w:w="0" w:type="dxa"/>
            <w:left w:w="10" w:type="dxa"/>
            <w:bottom w:w="0" w:type="dxa"/>
            <w:right w:w="10" w:type="dxa"/>
          </w:tblCellMar>
        </w:tblPrEx>
        <w:tc>
          <w:tcPr>
            <w:tcW w:w="85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numPr>
                <w:ilvl w:val="0"/>
                <w:numId w:val="18"/>
              </w:numPr>
              <w:tabs>
                <w:tab w:val="left" w:pos="420"/>
              </w:tabs>
              <w:ind w:left="420" w:hanging="420"/>
              <w:jc w:val="center"/>
              <w:rPr>
                <w:rFonts w:ascii="宋体" w:hAnsi="宋体" w:eastAsia="宋体" w:cs="宋体"/>
                <w:color w:val="auto"/>
                <w:sz w:val="22"/>
              </w:rPr>
            </w:pPr>
            <w:r>
              <w:rPr>
                <w:rFonts w:hint="eastAsia" w:ascii="宋体" w:hAnsi="宋体" w:eastAsia="宋体" w:cs="宋体"/>
                <w:color w:val="auto"/>
                <w:sz w:val="22"/>
              </w:rPr>
              <w:t>17</w:t>
            </w:r>
          </w:p>
        </w:tc>
        <w:tc>
          <w:tcPr>
            <w:tcW w:w="164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auto"/>
              </w:rPr>
            </w:pPr>
            <w:r>
              <w:rPr>
                <w:rFonts w:ascii="宋体" w:hAnsi="宋体" w:eastAsia="宋体" w:cs="宋体"/>
                <w:color w:val="auto"/>
                <w:sz w:val="24"/>
              </w:rPr>
              <w:t>授予合同</w:t>
            </w:r>
          </w:p>
        </w:tc>
        <w:tc>
          <w:tcPr>
            <w:tcW w:w="633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tabs>
                <w:tab w:val="left" w:pos="8640"/>
              </w:tabs>
              <w:jc w:val="left"/>
              <w:rPr>
                <w:rFonts w:ascii="宋体" w:hAnsi="宋体" w:eastAsia="宋体" w:cs="宋体"/>
                <w:color w:val="auto"/>
              </w:rPr>
            </w:pPr>
            <w:r>
              <w:rPr>
                <w:rFonts w:ascii="宋体" w:hAnsi="宋体" w:eastAsia="宋体" w:cs="宋体"/>
                <w:color w:val="auto"/>
                <w:sz w:val="24"/>
              </w:rPr>
              <w:t>采购人根据磋商小组的推荐意见，由采购人确定成交供应商。采购代理机构向成交供应商发出成交通知书。</w:t>
            </w:r>
          </w:p>
        </w:tc>
      </w:tr>
      <w:tr>
        <w:tblPrEx>
          <w:tblCellMar>
            <w:top w:w="0" w:type="dxa"/>
            <w:left w:w="10" w:type="dxa"/>
            <w:bottom w:w="0" w:type="dxa"/>
            <w:right w:w="10" w:type="dxa"/>
          </w:tblCellMar>
        </w:tblPrEx>
        <w:tc>
          <w:tcPr>
            <w:tcW w:w="85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numPr>
                <w:ilvl w:val="0"/>
                <w:numId w:val="19"/>
              </w:numPr>
              <w:tabs>
                <w:tab w:val="left" w:pos="420"/>
              </w:tabs>
              <w:ind w:left="420" w:hanging="420"/>
              <w:jc w:val="center"/>
              <w:rPr>
                <w:rFonts w:ascii="宋体" w:hAnsi="宋体" w:eastAsia="宋体" w:cs="宋体"/>
                <w:color w:val="auto"/>
                <w:sz w:val="22"/>
              </w:rPr>
            </w:pPr>
            <w:r>
              <w:rPr>
                <w:rFonts w:hint="eastAsia" w:ascii="宋体" w:hAnsi="宋体" w:eastAsia="宋体" w:cs="宋体"/>
                <w:color w:val="auto"/>
                <w:sz w:val="22"/>
              </w:rPr>
              <w:t>18</w:t>
            </w:r>
          </w:p>
        </w:tc>
        <w:tc>
          <w:tcPr>
            <w:tcW w:w="164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ind w:firstLine="14"/>
              <w:jc w:val="center"/>
              <w:rPr>
                <w:rFonts w:ascii="宋体" w:hAnsi="宋体" w:eastAsia="宋体" w:cs="宋体"/>
                <w:color w:val="auto"/>
              </w:rPr>
            </w:pPr>
            <w:r>
              <w:rPr>
                <w:rFonts w:ascii="宋体" w:hAnsi="宋体" w:eastAsia="宋体" w:cs="宋体"/>
                <w:color w:val="auto"/>
                <w:sz w:val="24"/>
              </w:rPr>
              <w:t>签订合同</w:t>
            </w:r>
          </w:p>
        </w:tc>
        <w:tc>
          <w:tcPr>
            <w:tcW w:w="633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tabs>
                <w:tab w:val="left" w:pos="8640"/>
              </w:tabs>
              <w:spacing w:line="400" w:lineRule="exact"/>
              <w:ind w:left="-2" w:leftChars="-1"/>
              <w:jc w:val="left"/>
              <w:rPr>
                <w:rFonts w:ascii="宋体" w:hAnsi="宋体" w:eastAsia="宋体" w:cs="宋体"/>
                <w:color w:val="auto"/>
                <w:sz w:val="24"/>
                <w:szCs w:val="24"/>
              </w:rPr>
            </w:pPr>
            <w:r>
              <w:rPr>
                <w:rFonts w:hint="eastAsia" w:ascii="宋体" w:hAnsi="宋体" w:eastAsia="宋体" w:cs="宋体"/>
                <w:color w:val="auto"/>
                <w:sz w:val="24"/>
                <w:szCs w:val="24"/>
              </w:rPr>
              <w:t>1）接到成交通知书2天内，成交供应商应与采购人签订采购合同。</w:t>
            </w:r>
          </w:p>
          <w:p>
            <w:pPr>
              <w:tabs>
                <w:tab w:val="left" w:pos="8640"/>
              </w:tabs>
              <w:ind w:left="-2"/>
              <w:rPr>
                <w:rFonts w:ascii="宋体" w:hAnsi="宋体" w:eastAsia="宋体" w:cs="宋体"/>
                <w:color w:val="auto"/>
                <w:sz w:val="24"/>
              </w:rPr>
            </w:pPr>
            <w:r>
              <w:rPr>
                <w:rFonts w:hint="eastAsia" w:ascii="宋体" w:hAnsi="宋体" w:eastAsia="宋体" w:cs="宋体"/>
                <w:color w:val="auto"/>
                <w:sz w:val="24"/>
                <w:szCs w:val="24"/>
              </w:rPr>
              <w:t>2）本磋商文件、响应文件及磋商、评审过程中有关澄清、承诺文件的内容，将作为签订合同的主要内容。</w:t>
            </w:r>
          </w:p>
        </w:tc>
      </w:tr>
      <w:tr>
        <w:tblPrEx>
          <w:tblCellMar>
            <w:top w:w="0" w:type="dxa"/>
            <w:left w:w="10" w:type="dxa"/>
            <w:bottom w:w="0" w:type="dxa"/>
            <w:right w:w="10" w:type="dxa"/>
          </w:tblCellMar>
        </w:tblPrEx>
        <w:trPr>
          <w:trHeight w:val="1273" w:hRule="atLeast"/>
        </w:trPr>
        <w:tc>
          <w:tcPr>
            <w:tcW w:w="85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numPr>
                <w:ilvl w:val="0"/>
                <w:numId w:val="20"/>
              </w:numPr>
              <w:tabs>
                <w:tab w:val="left" w:pos="420"/>
              </w:tabs>
              <w:ind w:left="420" w:hanging="420"/>
              <w:jc w:val="center"/>
              <w:rPr>
                <w:rFonts w:ascii="宋体" w:hAnsi="宋体" w:eastAsia="宋体" w:cs="宋体"/>
                <w:color w:val="auto"/>
                <w:sz w:val="22"/>
              </w:rPr>
            </w:pPr>
            <w:r>
              <w:rPr>
                <w:rFonts w:hint="eastAsia" w:ascii="宋体" w:hAnsi="宋体" w:eastAsia="宋体" w:cs="宋体"/>
                <w:color w:val="auto"/>
                <w:sz w:val="22"/>
              </w:rPr>
              <w:t>19</w:t>
            </w:r>
          </w:p>
        </w:tc>
        <w:tc>
          <w:tcPr>
            <w:tcW w:w="164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ind w:firstLine="14"/>
              <w:jc w:val="center"/>
              <w:rPr>
                <w:rFonts w:ascii="宋体" w:hAnsi="宋体" w:eastAsia="宋体" w:cs="宋体"/>
                <w:color w:val="auto"/>
              </w:rPr>
            </w:pPr>
            <w:r>
              <w:rPr>
                <w:rFonts w:ascii="宋体" w:hAnsi="宋体" w:eastAsia="宋体" w:cs="宋体"/>
                <w:color w:val="auto"/>
                <w:sz w:val="24"/>
              </w:rPr>
              <w:t>投标保证金</w:t>
            </w:r>
          </w:p>
        </w:tc>
        <w:tc>
          <w:tcPr>
            <w:tcW w:w="633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tabs>
                <w:tab w:val="left" w:pos="8640"/>
              </w:tabs>
              <w:ind w:left="-2"/>
              <w:rPr>
                <w:rFonts w:ascii="宋体" w:hAnsi="宋体" w:eastAsia="宋体" w:cs="宋体"/>
                <w:color w:val="auto"/>
                <w:sz w:val="24"/>
              </w:rPr>
            </w:pPr>
            <w:r>
              <w:rPr>
                <w:rFonts w:hint="eastAsia" w:ascii="宋体" w:hAnsi="宋体" w:eastAsia="宋体" w:cs="宋体"/>
                <w:color w:val="auto"/>
                <w:sz w:val="24"/>
              </w:rPr>
              <w:t>不需要缴纳投标保证金（按照相关文件要求货物、服务类政府采购活动不收取投标保证金、履约、质量保证金、合同中预留资金作为质量保证金等无法律依据的保证金。</w:t>
            </w:r>
          </w:p>
          <w:p>
            <w:pPr>
              <w:tabs>
                <w:tab w:val="left" w:pos="8640"/>
              </w:tabs>
              <w:ind w:left="-2"/>
              <w:rPr>
                <w:rFonts w:ascii="宋体" w:hAnsi="宋体" w:eastAsia="宋体" w:cs="宋体"/>
                <w:color w:val="auto"/>
                <w:sz w:val="24"/>
              </w:rPr>
            </w:pPr>
          </w:p>
        </w:tc>
      </w:tr>
      <w:tr>
        <w:tblPrEx>
          <w:tblCellMar>
            <w:top w:w="0" w:type="dxa"/>
            <w:left w:w="10" w:type="dxa"/>
            <w:bottom w:w="0" w:type="dxa"/>
            <w:right w:w="10" w:type="dxa"/>
          </w:tblCellMar>
        </w:tblPrEx>
        <w:trPr>
          <w:trHeight w:val="478" w:hRule="atLeast"/>
        </w:trPr>
        <w:tc>
          <w:tcPr>
            <w:tcW w:w="85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numPr>
                <w:ilvl w:val="0"/>
                <w:numId w:val="21"/>
              </w:numPr>
              <w:tabs>
                <w:tab w:val="left" w:pos="420"/>
              </w:tabs>
              <w:ind w:left="420" w:hanging="420"/>
              <w:jc w:val="center"/>
              <w:rPr>
                <w:rFonts w:ascii="宋体" w:hAnsi="宋体" w:eastAsia="宋体" w:cs="宋体"/>
                <w:color w:val="auto"/>
                <w:sz w:val="22"/>
              </w:rPr>
            </w:pPr>
            <w:r>
              <w:rPr>
                <w:rFonts w:hint="eastAsia" w:ascii="宋体" w:hAnsi="宋体" w:eastAsia="宋体" w:cs="宋体"/>
                <w:color w:val="auto"/>
                <w:sz w:val="22"/>
              </w:rPr>
              <w:t>20</w:t>
            </w:r>
          </w:p>
        </w:tc>
        <w:tc>
          <w:tcPr>
            <w:tcW w:w="164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auto"/>
              </w:rPr>
            </w:pPr>
            <w:r>
              <w:rPr>
                <w:rFonts w:ascii="宋体" w:hAnsi="宋体" w:eastAsia="宋体" w:cs="宋体"/>
                <w:color w:val="auto"/>
                <w:sz w:val="24"/>
              </w:rPr>
              <w:t>供货周期</w:t>
            </w:r>
          </w:p>
        </w:tc>
        <w:tc>
          <w:tcPr>
            <w:tcW w:w="633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tabs>
                <w:tab w:val="left" w:pos="8640"/>
              </w:tabs>
              <w:ind w:left="-2"/>
              <w:rPr>
                <w:rFonts w:ascii="宋体" w:hAnsi="宋体" w:eastAsia="宋体" w:cs="宋体"/>
                <w:color w:val="auto"/>
                <w:sz w:val="24"/>
              </w:rPr>
            </w:pPr>
            <w:r>
              <w:rPr>
                <w:rFonts w:hint="eastAsia" w:ascii="宋体" w:hAnsi="宋体" w:eastAsia="宋体" w:cs="宋体"/>
                <w:color w:val="auto"/>
                <w:sz w:val="24"/>
              </w:rPr>
              <w:t>合同签订之日起30日历天</w:t>
            </w:r>
          </w:p>
        </w:tc>
      </w:tr>
      <w:tr>
        <w:tblPrEx>
          <w:tblCellMar>
            <w:top w:w="0" w:type="dxa"/>
            <w:left w:w="10" w:type="dxa"/>
            <w:bottom w:w="0" w:type="dxa"/>
            <w:right w:w="10" w:type="dxa"/>
          </w:tblCellMar>
        </w:tblPrEx>
        <w:tc>
          <w:tcPr>
            <w:tcW w:w="85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numPr>
                <w:ilvl w:val="0"/>
                <w:numId w:val="22"/>
              </w:numPr>
              <w:tabs>
                <w:tab w:val="left" w:pos="420"/>
              </w:tabs>
              <w:ind w:left="420" w:hanging="420"/>
              <w:jc w:val="center"/>
              <w:rPr>
                <w:rFonts w:ascii="宋体" w:hAnsi="宋体" w:eastAsia="宋体" w:cs="宋体"/>
                <w:color w:val="auto"/>
                <w:sz w:val="22"/>
              </w:rPr>
            </w:pPr>
            <w:r>
              <w:rPr>
                <w:rFonts w:hint="eastAsia" w:ascii="宋体" w:hAnsi="宋体" w:eastAsia="宋体" w:cs="宋体"/>
                <w:color w:val="auto"/>
                <w:sz w:val="22"/>
              </w:rPr>
              <w:t>21</w:t>
            </w:r>
          </w:p>
        </w:tc>
        <w:tc>
          <w:tcPr>
            <w:tcW w:w="164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ind w:firstLine="14"/>
              <w:jc w:val="center"/>
              <w:rPr>
                <w:rFonts w:ascii="宋体" w:hAnsi="宋体" w:eastAsia="宋体" w:cs="宋体"/>
                <w:color w:val="auto"/>
              </w:rPr>
            </w:pPr>
            <w:r>
              <w:rPr>
                <w:rFonts w:ascii="宋体" w:hAnsi="宋体" w:eastAsia="宋体" w:cs="宋体"/>
                <w:color w:val="auto"/>
                <w:sz w:val="24"/>
              </w:rPr>
              <w:t>付款方式</w:t>
            </w:r>
          </w:p>
        </w:tc>
        <w:tc>
          <w:tcPr>
            <w:tcW w:w="633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rPr>
                <w:rFonts w:ascii="宋体" w:hAnsi="宋体" w:cs="宋体"/>
                <w:color w:val="auto"/>
                <w:sz w:val="24"/>
              </w:rPr>
            </w:pPr>
            <w:r>
              <w:rPr>
                <w:rFonts w:hint="eastAsia" w:ascii="宋体" w:hAnsi="宋体" w:cs="宋体"/>
                <w:color w:val="auto"/>
                <w:sz w:val="24"/>
              </w:rPr>
              <w:t>详细付款方式：</w:t>
            </w:r>
          </w:p>
          <w:p>
            <w:pPr>
              <w:rPr>
                <w:rFonts w:ascii="宋体" w:hAnsi="宋体" w:eastAsia="宋体" w:cs="宋体"/>
                <w:color w:val="auto"/>
              </w:rPr>
            </w:pPr>
            <w:r>
              <w:rPr>
                <w:rFonts w:hint="eastAsia" w:asciiTheme="minorEastAsia" w:hAnsiTheme="minorEastAsia" w:cstheme="minorEastAsia"/>
                <w:color w:val="auto"/>
                <w:sz w:val="24"/>
              </w:rPr>
              <w:t>采购人验收合格后支付合同金额的100%</w:t>
            </w:r>
          </w:p>
        </w:tc>
      </w:tr>
      <w:tr>
        <w:tblPrEx>
          <w:tblCellMar>
            <w:top w:w="0" w:type="dxa"/>
            <w:left w:w="10" w:type="dxa"/>
            <w:bottom w:w="0" w:type="dxa"/>
            <w:right w:w="10" w:type="dxa"/>
          </w:tblCellMar>
        </w:tblPrEx>
        <w:tc>
          <w:tcPr>
            <w:tcW w:w="85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numPr>
                <w:ilvl w:val="0"/>
                <w:numId w:val="23"/>
              </w:numPr>
              <w:tabs>
                <w:tab w:val="left" w:pos="420"/>
              </w:tabs>
              <w:ind w:left="420" w:hanging="420"/>
              <w:jc w:val="center"/>
              <w:rPr>
                <w:rFonts w:ascii="宋体" w:hAnsi="宋体" w:eastAsia="宋体" w:cs="宋体"/>
                <w:color w:val="auto"/>
                <w:sz w:val="22"/>
              </w:rPr>
            </w:pPr>
            <w:r>
              <w:rPr>
                <w:rFonts w:hint="eastAsia" w:ascii="宋体" w:hAnsi="宋体" w:eastAsia="宋体" w:cs="宋体"/>
                <w:color w:val="auto"/>
                <w:sz w:val="22"/>
              </w:rPr>
              <w:t>22</w:t>
            </w:r>
          </w:p>
        </w:tc>
        <w:tc>
          <w:tcPr>
            <w:tcW w:w="164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ind w:firstLine="14"/>
              <w:jc w:val="center"/>
              <w:rPr>
                <w:rFonts w:ascii="宋体" w:hAnsi="宋体" w:eastAsia="宋体" w:cs="宋体"/>
                <w:color w:val="auto"/>
              </w:rPr>
            </w:pPr>
            <w:r>
              <w:rPr>
                <w:rFonts w:ascii="宋体" w:hAnsi="宋体" w:eastAsia="宋体" w:cs="宋体"/>
                <w:color w:val="auto"/>
                <w:sz w:val="24"/>
              </w:rPr>
              <w:t>勘察现场</w:t>
            </w:r>
          </w:p>
        </w:tc>
        <w:tc>
          <w:tcPr>
            <w:tcW w:w="633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tabs>
                <w:tab w:val="left" w:pos="8640"/>
              </w:tabs>
              <w:jc w:val="left"/>
              <w:rPr>
                <w:rFonts w:ascii="宋体" w:hAnsi="宋体" w:eastAsia="宋体" w:cs="宋体"/>
                <w:color w:val="auto"/>
              </w:rPr>
            </w:pPr>
            <w:r>
              <w:rPr>
                <w:rFonts w:hint="eastAsia" w:ascii="宋体" w:hAnsi="宋体" w:eastAsia="宋体" w:cs="宋体"/>
                <w:color w:val="auto"/>
                <w:sz w:val="24"/>
              </w:rPr>
              <w:t>为确保项目的顺利实施，请合格的供应商自行与采购人联系（联系人：梁金伟</w:t>
            </w:r>
            <w:r>
              <w:rPr>
                <w:rFonts w:ascii="宋体" w:hAnsi="宋体" w:eastAsia="宋体" w:cs="宋体"/>
                <w:color w:val="auto"/>
                <w:sz w:val="24"/>
              </w:rPr>
              <w:t xml:space="preserve">  </w:t>
            </w:r>
            <w:r>
              <w:rPr>
                <w:rFonts w:hint="eastAsia" w:ascii="宋体" w:hAnsi="宋体" w:eastAsia="宋体" w:cs="宋体"/>
                <w:color w:val="auto"/>
                <w:sz w:val="24"/>
              </w:rPr>
              <w:t xml:space="preserve"> 联系方式：13592287796），在下载磋商文件截止后第一个工作日及时与采购人联系进行实地勘查，经采购人证实供应商已进行现场勘查，开具由项目负责人签字并加盖采购单位公章的勘察证明函，供应商应将证明函原件放在磋商文件中（电子标为原件扫描件）。</w:t>
            </w:r>
          </w:p>
        </w:tc>
      </w:tr>
      <w:tr>
        <w:tblPrEx>
          <w:tblCellMar>
            <w:top w:w="0" w:type="dxa"/>
            <w:left w:w="10" w:type="dxa"/>
            <w:bottom w:w="0" w:type="dxa"/>
            <w:right w:w="10" w:type="dxa"/>
          </w:tblCellMar>
        </w:tblPrEx>
        <w:trPr>
          <w:trHeight w:val="90" w:hRule="atLeast"/>
        </w:trPr>
        <w:tc>
          <w:tcPr>
            <w:tcW w:w="85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numPr>
                <w:ilvl w:val="0"/>
                <w:numId w:val="24"/>
              </w:numPr>
              <w:tabs>
                <w:tab w:val="left" w:pos="420"/>
              </w:tabs>
              <w:ind w:left="420" w:hanging="420"/>
              <w:jc w:val="center"/>
              <w:rPr>
                <w:rFonts w:ascii="宋体" w:hAnsi="宋体" w:eastAsia="宋体" w:cs="宋体"/>
                <w:color w:val="auto"/>
                <w:sz w:val="22"/>
              </w:rPr>
            </w:pPr>
            <w:r>
              <w:rPr>
                <w:rFonts w:hint="eastAsia" w:ascii="宋体" w:hAnsi="宋体" w:eastAsia="宋体" w:cs="宋体"/>
                <w:color w:val="auto"/>
                <w:sz w:val="22"/>
              </w:rPr>
              <w:t>23</w:t>
            </w:r>
          </w:p>
        </w:tc>
        <w:tc>
          <w:tcPr>
            <w:tcW w:w="164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ind w:firstLine="14"/>
              <w:jc w:val="center"/>
              <w:rPr>
                <w:rFonts w:ascii="宋体" w:hAnsi="宋体" w:eastAsia="宋体" w:cs="宋体"/>
                <w:color w:val="auto"/>
                <w:sz w:val="24"/>
              </w:rPr>
            </w:pPr>
            <w:r>
              <w:rPr>
                <w:rFonts w:hint="eastAsia" w:ascii="宋体" w:hAnsi="宋体" w:eastAsia="宋体" w:cs="宋体"/>
                <w:color w:val="auto"/>
                <w:sz w:val="24"/>
              </w:rPr>
              <w:t>报价</w:t>
            </w:r>
          </w:p>
        </w:tc>
        <w:tc>
          <w:tcPr>
            <w:tcW w:w="633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ind w:firstLine="14"/>
              <w:jc w:val="left"/>
              <w:rPr>
                <w:rFonts w:ascii="宋体" w:hAnsi="宋体" w:eastAsia="宋体" w:cs="宋体"/>
                <w:color w:val="auto"/>
                <w:sz w:val="24"/>
              </w:rPr>
            </w:pPr>
            <w:r>
              <w:rPr>
                <w:rFonts w:hint="eastAsia" w:ascii="宋体" w:hAnsi="宋体" w:eastAsia="宋体" w:cs="宋体"/>
                <w:color w:val="auto"/>
                <w:sz w:val="24"/>
              </w:rPr>
              <w:t>一次报价</w:t>
            </w:r>
          </w:p>
        </w:tc>
      </w:tr>
      <w:tr>
        <w:tblPrEx>
          <w:tblCellMar>
            <w:top w:w="0" w:type="dxa"/>
            <w:left w:w="10" w:type="dxa"/>
            <w:bottom w:w="0" w:type="dxa"/>
            <w:right w:w="10" w:type="dxa"/>
          </w:tblCellMar>
        </w:tblPrEx>
        <w:trPr>
          <w:trHeight w:val="324" w:hRule="atLeast"/>
        </w:trPr>
        <w:tc>
          <w:tcPr>
            <w:tcW w:w="85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numPr>
                <w:ilvl w:val="0"/>
                <w:numId w:val="24"/>
              </w:numPr>
              <w:tabs>
                <w:tab w:val="left" w:pos="420"/>
              </w:tabs>
              <w:ind w:left="420" w:hanging="420"/>
              <w:jc w:val="center"/>
              <w:rPr>
                <w:rFonts w:ascii="宋体" w:hAnsi="宋体" w:eastAsia="宋体" w:cs="宋体"/>
                <w:color w:val="auto"/>
                <w:sz w:val="22"/>
              </w:rPr>
            </w:pPr>
            <w:r>
              <w:rPr>
                <w:rFonts w:hint="eastAsia" w:ascii="宋体" w:hAnsi="宋体" w:eastAsia="宋体" w:cs="宋体"/>
                <w:color w:val="auto"/>
                <w:sz w:val="22"/>
              </w:rPr>
              <w:t>24</w:t>
            </w:r>
          </w:p>
        </w:tc>
        <w:tc>
          <w:tcPr>
            <w:tcW w:w="164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ind w:firstLine="14"/>
              <w:jc w:val="center"/>
              <w:rPr>
                <w:rFonts w:ascii="宋体" w:hAnsi="宋体" w:eastAsia="宋体" w:cs="宋体"/>
                <w:color w:val="auto"/>
                <w:sz w:val="24"/>
              </w:rPr>
            </w:pPr>
            <w:r>
              <w:rPr>
                <w:rFonts w:hint="eastAsia" w:ascii="宋体" w:hAnsi="宋体" w:eastAsia="宋体" w:cs="宋体"/>
                <w:color w:val="auto"/>
                <w:sz w:val="24"/>
              </w:rPr>
              <w:t>所属行业</w:t>
            </w:r>
          </w:p>
        </w:tc>
        <w:tc>
          <w:tcPr>
            <w:tcW w:w="633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ind w:firstLine="14"/>
              <w:jc w:val="left"/>
              <w:rPr>
                <w:rFonts w:ascii="宋体" w:hAnsi="宋体" w:eastAsia="宋体" w:cs="宋体"/>
                <w:color w:val="auto"/>
                <w:sz w:val="24"/>
              </w:rPr>
            </w:pPr>
            <w:r>
              <w:rPr>
                <w:rFonts w:hint="eastAsia" w:ascii="宋体" w:hAnsi="宋体" w:eastAsia="宋体" w:cs="宋体"/>
                <w:color w:val="auto"/>
                <w:sz w:val="24"/>
              </w:rPr>
              <w:t>工业</w:t>
            </w:r>
          </w:p>
        </w:tc>
      </w:tr>
    </w:tbl>
    <w:p>
      <w:pPr>
        <w:tabs>
          <w:tab w:val="left" w:pos="0"/>
          <w:tab w:val="left" w:pos="993"/>
          <w:tab w:val="left" w:pos="1134"/>
        </w:tabs>
        <w:rPr>
          <w:rFonts w:ascii="宋体" w:hAnsi="宋体" w:eastAsia="宋体" w:cs="宋体"/>
          <w:b/>
          <w:color w:val="auto"/>
          <w:sz w:val="24"/>
        </w:rPr>
      </w:pPr>
    </w:p>
    <w:p>
      <w:pPr>
        <w:spacing w:line="720" w:lineRule="auto"/>
        <w:jc w:val="center"/>
        <w:rPr>
          <w:rFonts w:ascii="宋体" w:hAnsi="宋体" w:eastAsia="宋体" w:cs="宋体"/>
          <w:b/>
          <w:color w:val="auto"/>
          <w:sz w:val="24"/>
        </w:rPr>
      </w:pPr>
    </w:p>
    <w:p>
      <w:pPr>
        <w:spacing w:line="720" w:lineRule="auto"/>
        <w:rPr>
          <w:rFonts w:ascii="宋体" w:hAnsi="宋体" w:eastAsia="宋体" w:cs="宋体"/>
          <w:b/>
          <w:color w:val="auto"/>
          <w:sz w:val="24"/>
        </w:rPr>
      </w:pPr>
    </w:p>
    <w:p>
      <w:pPr>
        <w:pStyle w:val="13"/>
        <w:ind w:firstLine="210"/>
        <w:rPr>
          <w:color w:val="auto"/>
        </w:rPr>
      </w:pPr>
    </w:p>
    <w:p>
      <w:pPr>
        <w:pStyle w:val="13"/>
        <w:ind w:firstLine="210"/>
        <w:rPr>
          <w:color w:val="auto"/>
        </w:rPr>
      </w:pPr>
    </w:p>
    <w:p>
      <w:pPr>
        <w:spacing w:line="720" w:lineRule="auto"/>
        <w:jc w:val="center"/>
        <w:rPr>
          <w:rFonts w:ascii="宋体" w:hAnsi="宋体" w:eastAsia="宋体" w:cs="宋体"/>
          <w:b/>
          <w:color w:val="auto"/>
          <w:sz w:val="24"/>
        </w:rPr>
      </w:pPr>
      <w:r>
        <w:rPr>
          <w:rFonts w:ascii="宋体" w:hAnsi="宋体" w:eastAsia="宋体" w:cs="宋体"/>
          <w:b/>
          <w:color w:val="auto"/>
          <w:sz w:val="24"/>
        </w:rPr>
        <w:br w:type="page"/>
      </w:r>
      <w:r>
        <w:rPr>
          <w:rFonts w:ascii="宋体" w:hAnsi="宋体" w:eastAsia="宋体" w:cs="宋体"/>
          <w:b/>
          <w:color w:val="auto"/>
          <w:sz w:val="24"/>
        </w:rPr>
        <w:t>一、总则</w:t>
      </w:r>
    </w:p>
    <w:p>
      <w:pPr>
        <w:spacing w:line="560" w:lineRule="auto"/>
        <w:ind w:firstLine="482"/>
        <w:rPr>
          <w:rFonts w:ascii="宋体" w:hAnsi="宋体" w:eastAsia="宋体" w:cs="宋体"/>
          <w:color w:val="auto"/>
          <w:sz w:val="24"/>
        </w:rPr>
      </w:pPr>
      <w:r>
        <w:rPr>
          <w:rFonts w:ascii="宋体" w:hAnsi="宋体" w:eastAsia="宋体" w:cs="宋体"/>
          <w:b/>
          <w:color w:val="auto"/>
          <w:sz w:val="24"/>
        </w:rPr>
        <w:t>1．适用范围</w:t>
      </w:r>
    </w:p>
    <w:p>
      <w:pPr>
        <w:spacing w:line="560" w:lineRule="auto"/>
        <w:ind w:firstLine="480"/>
        <w:rPr>
          <w:rFonts w:ascii="宋体" w:hAnsi="宋体" w:eastAsia="宋体" w:cs="宋体"/>
          <w:color w:val="auto"/>
          <w:sz w:val="24"/>
        </w:rPr>
      </w:pPr>
      <w:r>
        <w:rPr>
          <w:rFonts w:ascii="宋体" w:hAnsi="宋体" w:eastAsia="宋体" w:cs="宋体"/>
          <w:color w:val="auto"/>
          <w:sz w:val="24"/>
        </w:rPr>
        <w:t>1.1本竞争性磋商文件仅适用于本次竞争性磋商邀请函中所述项目。</w:t>
      </w:r>
    </w:p>
    <w:p>
      <w:pPr>
        <w:spacing w:line="560" w:lineRule="auto"/>
        <w:ind w:firstLine="482"/>
        <w:rPr>
          <w:rFonts w:ascii="宋体" w:hAnsi="宋体" w:eastAsia="宋体" w:cs="宋体"/>
          <w:b/>
          <w:color w:val="auto"/>
          <w:sz w:val="24"/>
        </w:rPr>
      </w:pPr>
      <w:r>
        <w:rPr>
          <w:rFonts w:ascii="宋体" w:hAnsi="宋体" w:eastAsia="宋体" w:cs="宋体"/>
          <w:b/>
          <w:color w:val="auto"/>
          <w:sz w:val="24"/>
        </w:rPr>
        <w:t>2．定义</w:t>
      </w:r>
    </w:p>
    <w:p>
      <w:pPr>
        <w:spacing w:line="560" w:lineRule="auto"/>
        <w:ind w:firstLine="480"/>
        <w:rPr>
          <w:rFonts w:ascii="宋体" w:hAnsi="宋体" w:eastAsia="宋体" w:cs="宋体"/>
          <w:color w:val="auto"/>
          <w:sz w:val="24"/>
        </w:rPr>
      </w:pPr>
      <w:r>
        <w:rPr>
          <w:rFonts w:ascii="宋体" w:hAnsi="宋体" w:eastAsia="宋体" w:cs="宋体"/>
          <w:color w:val="auto"/>
          <w:sz w:val="24"/>
        </w:rPr>
        <w:t>2.1“采购代理机构”：周口市公共资源交易中心政府采购中心。</w:t>
      </w:r>
    </w:p>
    <w:p>
      <w:pPr>
        <w:tabs>
          <w:tab w:val="left" w:pos="0"/>
        </w:tabs>
        <w:spacing w:line="560" w:lineRule="auto"/>
        <w:ind w:firstLine="480"/>
        <w:rPr>
          <w:rFonts w:ascii="宋体" w:hAnsi="宋体" w:eastAsia="宋体" w:cs="宋体"/>
          <w:color w:val="auto"/>
          <w:sz w:val="24"/>
        </w:rPr>
      </w:pPr>
      <w:r>
        <w:rPr>
          <w:rFonts w:ascii="宋体" w:hAnsi="宋体" w:eastAsia="宋体" w:cs="宋体"/>
          <w:color w:val="auto"/>
          <w:sz w:val="24"/>
        </w:rPr>
        <w:t>2.2“采购人”：</w:t>
      </w:r>
      <w:r>
        <w:rPr>
          <w:rFonts w:hint="eastAsia" w:asciiTheme="minorEastAsia" w:hAnsiTheme="minorEastAsia" w:cstheme="minorEastAsia"/>
          <w:color w:val="auto"/>
          <w:sz w:val="24"/>
        </w:rPr>
        <w:t>郸城县疾病预防控制中心</w:t>
      </w:r>
    </w:p>
    <w:p>
      <w:pPr>
        <w:spacing w:line="560" w:lineRule="auto"/>
        <w:ind w:firstLine="480"/>
        <w:rPr>
          <w:rFonts w:ascii="宋体" w:hAnsi="宋体" w:eastAsia="宋体" w:cs="宋体"/>
          <w:color w:val="auto"/>
          <w:sz w:val="24"/>
        </w:rPr>
      </w:pPr>
      <w:r>
        <w:rPr>
          <w:rFonts w:ascii="宋体" w:hAnsi="宋体" w:eastAsia="宋体" w:cs="宋体"/>
          <w:color w:val="auto"/>
          <w:sz w:val="24"/>
        </w:rPr>
        <w:t>2.3“供应商”系指按竞争性磋商文件规定取得竞争性磋商文件并参加竞争性磋商活动的法人、其他组织或者自然人。</w:t>
      </w:r>
    </w:p>
    <w:p>
      <w:pPr>
        <w:spacing w:line="560" w:lineRule="auto"/>
        <w:ind w:firstLine="480"/>
        <w:rPr>
          <w:rFonts w:ascii="宋体" w:hAnsi="宋体" w:eastAsia="宋体" w:cs="宋体"/>
          <w:color w:val="auto"/>
          <w:sz w:val="24"/>
        </w:rPr>
      </w:pPr>
      <w:r>
        <w:rPr>
          <w:rFonts w:ascii="宋体" w:hAnsi="宋体" w:eastAsia="宋体" w:cs="宋体"/>
          <w:color w:val="auto"/>
          <w:sz w:val="24"/>
        </w:rPr>
        <w:t>2.4“供应商代表”：系指代表供应商参加本次竞争性磋商活动的供应商的法定代表人或其委托代理人。</w:t>
      </w:r>
    </w:p>
    <w:p>
      <w:pPr>
        <w:spacing w:line="560" w:lineRule="auto"/>
        <w:ind w:firstLine="480"/>
        <w:rPr>
          <w:rFonts w:ascii="宋体" w:hAnsi="宋体" w:eastAsia="宋体" w:cs="宋体"/>
          <w:color w:val="auto"/>
          <w:sz w:val="24"/>
        </w:rPr>
      </w:pPr>
      <w:r>
        <w:rPr>
          <w:rFonts w:ascii="宋体" w:hAnsi="宋体" w:eastAsia="宋体" w:cs="宋体"/>
          <w:color w:val="auto"/>
          <w:sz w:val="24"/>
        </w:rPr>
        <w:t>2.5“货物“：系指各种形态和种类的物品，包括原材料、燃料、设备、产品等，包括与之相关的备品备件、工具、手册及安装、调试、技术协助、校准、培训、验收、售后服务等。</w:t>
      </w:r>
    </w:p>
    <w:p>
      <w:pPr>
        <w:spacing w:line="560" w:lineRule="auto"/>
        <w:ind w:firstLine="480"/>
        <w:rPr>
          <w:rFonts w:ascii="宋体" w:hAnsi="宋体" w:eastAsia="宋体" w:cs="宋体"/>
          <w:color w:val="auto"/>
          <w:sz w:val="24"/>
        </w:rPr>
      </w:pPr>
      <w:r>
        <w:rPr>
          <w:rFonts w:ascii="宋体" w:hAnsi="宋体" w:eastAsia="宋体" w:cs="宋体"/>
          <w:color w:val="auto"/>
          <w:sz w:val="24"/>
        </w:rPr>
        <w:t xml:space="preserve">2.6“法定代表人”系指法人单位（企业）法人营业执照（或事业法人登记证书上）上注明的法定代表人；如为其他组织或个体经营者参加竞争性磋商会的，指营业执照上注明的负责人或经营者。 </w:t>
      </w:r>
    </w:p>
    <w:p>
      <w:pPr>
        <w:spacing w:line="560" w:lineRule="auto"/>
        <w:ind w:firstLine="480"/>
        <w:rPr>
          <w:rFonts w:ascii="宋体" w:hAnsi="宋体" w:eastAsia="宋体" w:cs="宋体"/>
          <w:color w:val="auto"/>
          <w:sz w:val="24"/>
        </w:rPr>
      </w:pPr>
      <w:r>
        <w:rPr>
          <w:rFonts w:ascii="宋体" w:hAnsi="宋体" w:eastAsia="宋体" w:cs="宋体"/>
          <w:color w:val="auto"/>
          <w:sz w:val="24"/>
        </w:rPr>
        <w:t>2.7“重大违法记录”系指供应商因违法经营受到刑事处罚或者责令停产停业、吊销许可证或者执照、较大数额罚款等行政处罚。</w:t>
      </w:r>
    </w:p>
    <w:p>
      <w:pPr>
        <w:spacing w:line="560" w:lineRule="auto"/>
        <w:ind w:firstLine="480"/>
        <w:rPr>
          <w:rFonts w:ascii="宋体" w:hAnsi="宋体" w:eastAsia="宋体" w:cs="宋体"/>
          <w:color w:val="auto"/>
          <w:sz w:val="24"/>
        </w:rPr>
      </w:pPr>
      <w:r>
        <w:rPr>
          <w:rFonts w:ascii="宋体" w:hAnsi="宋体" w:eastAsia="宋体" w:cs="宋体"/>
          <w:color w:val="auto"/>
          <w:sz w:val="24"/>
        </w:rPr>
        <w:t>2.8“不具备良好的商业信誉”是指：</w:t>
      </w:r>
    </w:p>
    <w:p>
      <w:pPr>
        <w:spacing w:line="560" w:lineRule="auto"/>
        <w:ind w:firstLine="480"/>
        <w:rPr>
          <w:rFonts w:ascii="宋体" w:hAnsi="宋体" w:eastAsia="宋体" w:cs="宋体"/>
          <w:color w:val="auto"/>
          <w:sz w:val="24"/>
        </w:rPr>
      </w:pPr>
      <w:r>
        <w:rPr>
          <w:rFonts w:ascii="宋体" w:hAnsi="宋体" w:eastAsia="宋体" w:cs="宋体"/>
          <w:color w:val="auto"/>
          <w:sz w:val="24"/>
        </w:rPr>
        <w:t>（1）有重大违法记录的（满三年的除外）；</w:t>
      </w:r>
    </w:p>
    <w:p>
      <w:pPr>
        <w:spacing w:line="560" w:lineRule="auto"/>
        <w:ind w:firstLine="480"/>
        <w:rPr>
          <w:rFonts w:ascii="宋体" w:hAnsi="宋体" w:eastAsia="宋体" w:cs="宋体"/>
          <w:color w:val="auto"/>
          <w:sz w:val="24"/>
        </w:rPr>
      </w:pPr>
      <w:r>
        <w:rPr>
          <w:rFonts w:ascii="宋体" w:hAnsi="宋体" w:eastAsia="宋体" w:cs="宋体"/>
          <w:color w:val="auto"/>
          <w:sz w:val="24"/>
        </w:rPr>
        <w:t>（2）被各级财政部门列入政府采购严重违法失信行为信息记录的（期限已满的除外）；</w:t>
      </w:r>
    </w:p>
    <w:p>
      <w:pPr>
        <w:spacing w:line="560" w:lineRule="auto"/>
        <w:ind w:firstLine="480"/>
        <w:rPr>
          <w:rFonts w:ascii="宋体" w:hAnsi="宋体" w:eastAsia="宋体" w:cs="宋体"/>
          <w:color w:val="auto"/>
          <w:sz w:val="24"/>
        </w:rPr>
      </w:pPr>
      <w:r>
        <w:rPr>
          <w:rFonts w:ascii="宋体" w:hAnsi="宋体" w:eastAsia="宋体" w:cs="宋体"/>
          <w:color w:val="auto"/>
          <w:sz w:val="24"/>
        </w:rPr>
        <w:t>（3）被各级政府采购监督管理部门禁止在一定期限内参加政府采购活动等处罚的（期限已满的除外）；</w:t>
      </w:r>
    </w:p>
    <w:p>
      <w:pPr>
        <w:spacing w:line="560" w:lineRule="auto"/>
        <w:ind w:firstLine="480"/>
        <w:rPr>
          <w:rFonts w:ascii="宋体" w:hAnsi="宋体" w:eastAsia="宋体" w:cs="宋体"/>
          <w:color w:val="auto"/>
          <w:sz w:val="24"/>
        </w:rPr>
      </w:pPr>
      <w:r>
        <w:rPr>
          <w:rFonts w:ascii="宋体" w:hAnsi="宋体" w:eastAsia="宋体" w:cs="宋体"/>
          <w:color w:val="auto"/>
          <w:sz w:val="24"/>
        </w:rPr>
        <w:t>（4）被各级法院列入失信名单的（已依法解除的除外）；</w:t>
      </w:r>
    </w:p>
    <w:p>
      <w:pPr>
        <w:spacing w:line="560" w:lineRule="auto"/>
        <w:ind w:firstLine="480"/>
        <w:rPr>
          <w:rFonts w:ascii="宋体" w:hAnsi="宋体" w:eastAsia="宋体" w:cs="宋体"/>
          <w:color w:val="auto"/>
          <w:sz w:val="24"/>
        </w:rPr>
      </w:pPr>
      <w:r>
        <w:rPr>
          <w:rFonts w:ascii="宋体" w:hAnsi="宋体" w:eastAsia="宋体" w:cs="宋体"/>
          <w:color w:val="auto"/>
          <w:sz w:val="24"/>
        </w:rPr>
        <w:t>（5）法律法规规定的其他情形。</w:t>
      </w:r>
    </w:p>
    <w:p>
      <w:pPr>
        <w:spacing w:line="560" w:lineRule="auto"/>
        <w:ind w:firstLine="482"/>
        <w:rPr>
          <w:rFonts w:ascii="宋体" w:hAnsi="宋体" w:eastAsia="宋体" w:cs="宋体"/>
          <w:b/>
          <w:color w:val="auto"/>
          <w:sz w:val="24"/>
        </w:rPr>
      </w:pPr>
      <w:r>
        <w:rPr>
          <w:rFonts w:ascii="宋体" w:hAnsi="宋体" w:eastAsia="宋体" w:cs="宋体"/>
          <w:b/>
          <w:color w:val="auto"/>
          <w:sz w:val="24"/>
        </w:rPr>
        <w:t>3.采购预算</w:t>
      </w:r>
    </w:p>
    <w:p>
      <w:pPr>
        <w:spacing w:line="560" w:lineRule="auto"/>
        <w:ind w:firstLine="480"/>
        <w:rPr>
          <w:rFonts w:ascii="宋体" w:hAnsi="宋体" w:eastAsia="宋体" w:cs="宋体"/>
          <w:color w:val="auto"/>
          <w:sz w:val="24"/>
        </w:rPr>
      </w:pPr>
      <w:r>
        <w:rPr>
          <w:rFonts w:ascii="宋体" w:hAnsi="宋体" w:eastAsia="宋体" w:cs="宋体"/>
          <w:color w:val="auto"/>
          <w:sz w:val="24"/>
        </w:rPr>
        <w:t>3.1本次采购预算：见公告。</w:t>
      </w:r>
    </w:p>
    <w:p>
      <w:pPr>
        <w:spacing w:line="560" w:lineRule="auto"/>
        <w:ind w:firstLine="482"/>
        <w:rPr>
          <w:rFonts w:ascii="宋体" w:hAnsi="宋体" w:eastAsia="宋体" w:cs="宋体"/>
          <w:b/>
          <w:color w:val="auto"/>
          <w:sz w:val="24"/>
        </w:rPr>
      </w:pPr>
      <w:r>
        <w:rPr>
          <w:rFonts w:ascii="宋体" w:hAnsi="宋体" w:eastAsia="宋体" w:cs="宋体"/>
          <w:b/>
          <w:color w:val="auto"/>
          <w:sz w:val="24"/>
        </w:rPr>
        <w:t>4.合格的供应商</w:t>
      </w:r>
    </w:p>
    <w:p>
      <w:pPr>
        <w:spacing w:line="560" w:lineRule="auto"/>
        <w:ind w:firstLine="480"/>
        <w:rPr>
          <w:rFonts w:ascii="宋体" w:hAnsi="宋体" w:eastAsia="宋体" w:cs="宋体"/>
          <w:color w:val="auto"/>
          <w:sz w:val="24"/>
        </w:rPr>
      </w:pPr>
      <w:r>
        <w:rPr>
          <w:rFonts w:ascii="宋体" w:hAnsi="宋体" w:eastAsia="宋体" w:cs="宋体"/>
          <w:color w:val="auto"/>
          <w:sz w:val="24"/>
        </w:rPr>
        <w:t>4.1.1符合供应商资格条件（详见第一部分供应商资格条件）</w:t>
      </w:r>
    </w:p>
    <w:p>
      <w:pPr>
        <w:spacing w:line="360" w:lineRule="auto"/>
        <w:ind w:firstLine="480"/>
        <w:rPr>
          <w:rFonts w:ascii="宋体" w:hAnsi="宋体" w:eastAsia="宋体" w:cs="宋体"/>
          <w:color w:val="auto"/>
          <w:sz w:val="24"/>
          <w:shd w:val="clear" w:color="auto" w:fill="FFFFFF"/>
        </w:rPr>
      </w:pPr>
      <w:r>
        <w:rPr>
          <w:rFonts w:ascii="宋体" w:hAnsi="宋体" w:eastAsia="宋体" w:cs="宋体"/>
          <w:color w:val="auto"/>
          <w:sz w:val="24"/>
          <w:shd w:val="clear" w:color="auto" w:fill="FFFFFF"/>
        </w:rPr>
        <w:t>4.1.2</w:t>
      </w:r>
      <w:r>
        <w:rPr>
          <w:rFonts w:ascii="宋体" w:hAnsi="宋体" w:eastAsia="宋体" w:cs="宋体"/>
          <w:color w:val="auto"/>
          <w:sz w:val="24"/>
        </w:rPr>
        <w:t>参加政府采购活动前三年内，在经营活动中没有重大违法记录的声明函</w:t>
      </w:r>
      <w:r>
        <w:rPr>
          <w:rFonts w:ascii="宋体" w:hAnsi="宋体" w:eastAsia="宋体" w:cs="宋体"/>
          <w:color w:val="auto"/>
          <w:sz w:val="24"/>
          <w:shd w:val="clear" w:color="auto" w:fill="FFFFFF"/>
        </w:rPr>
        <w:t>；</w:t>
      </w:r>
    </w:p>
    <w:p>
      <w:pPr>
        <w:spacing w:line="560" w:lineRule="auto"/>
        <w:ind w:firstLine="480"/>
        <w:rPr>
          <w:rFonts w:ascii="宋体" w:hAnsi="宋体" w:eastAsia="宋体" w:cs="宋体"/>
          <w:color w:val="auto"/>
          <w:sz w:val="24"/>
        </w:rPr>
      </w:pPr>
      <w:r>
        <w:rPr>
          <w:rFonts w:ascii="宋体" w:hAnsi="宋体" w:eastAsia="宋体" w:cs="宋体"/>
          <w:color w:val="auto"/>
          <w:sz w:val="24"/>
        </w:rPr>
        <w:t>4.1.3 政府采购供应商诚信承诺书；</w:t>
      </w:r>
    </w:p>
    <w:p>
      <w:pPr>
        <w:spacing w:line="560" w:lineRule="auto"/>
        <w:ind w:firstLine="480"/>
        <w:rPr>
          <w:rFonts w:ascii="宋体" w:hAnsi="宋体" w:eastAsia="宋体" w:cs="宋体"/>
          <w:color w:val="auto"/>
          <w:sz w:val="24"/>
        </w:rPr>
      </w:pPr>
      <w:r>
        <w:rPr>
          <w:rFonts w:ascii="宋体" w:hAnsi="宋体" w:eastAsia="宋体" w:cs="宋体"/>
          <w:color w:val="auto"/>
          <w:sz w:val="24"/>
        </w:rPr>
        <w:t>4.1.4</w:t>
      </w:r>
      <w:r>
        <w:rPr>
          <w:rFonts w:hint="eastAsia" w:ascii="宋体" w:hAnsi="宋体" w:eastAsia="宋体" w:cs="宋体"/>
          <w:color w:val="auto"/>
          <w:sz w:val="24"/>
        </w:rPr>
        <w:t>供应商应在磋商响应文件中承诺未被纳入本地黑名单且未存在不诚信记录；</w:t>
      </w:r>
    </w:p>
    <w:p>
      <w:pPr>
        <w:spacing w:line="560" w:lineRule="auto"/>
        <w:ind w:firstLine="480"/>
        <w:rPr>
          <w:rFonts w:ascii="宋体" w:hAnsi="宋体" w:eastAsia="宋体" w:cs="宋体"/>
          <w:color w:val="auto"/>
          <w:sz w:val="24"/>
        </w:rPr>
      </w:pPr>
      <w:r>
        <w:rPr>
          <w:rFonts w:hint="eastAsia" w:ascii="宋体" w:hAnsi="宋体" w:eastAsia="宋体" w:cs="宋体"/>
          <w:color w:val="auto"/>
          <w:sz w:val="24"/>
        </w:rPr>
        <w:t>4.1.5</w:t>
      </w:r>
      <w:r>
        <w:rPr>
          <w:rFonts w:ascii="宋体" w:hAnsi="宋体" w:eastAsia="宋体" w:cs="宋体"/>
          <w:color w:val="auto"/>
          <w:sz w:val="24"/>
        </w:rPr>
        <w:t>供应商</w:t>
      </w:r>
      <w:r>
        <w:rPr>
          <w:rFonts w:hint="eastAsia" w:ascii="宋体" w:hAnsi="宋体" w:eastAsia="宋体" w:cs="宋体"/>
          <w:color w:val="auto"/>
          <w:sz w:val="24"/>
        </w:rPr>
        <w:t>需提供</w:t>
      </w:r>
      <w:r>
        <w:rPr>
          <w:rFonts w:ascii="宋体" w:hAnsi="宋体" w:eastAsia="宋体" w:cs="宋体"/>
          <w:color w:val="auto"/>
          <w:sz w:val="24"/>
        </w:rPr>
        <w:t>自觉抵制政府采购领域商业贿赂行为承诺书；</w:t>
      </w:r>
    </w:p>
    <w:p>
      <w:pPr>
        <w:spacing w:line="560" w:lineRule="auto"/>
        <w:ind w:firstLine="480"/>
        <w:rPr>
          <w:rFonts w:ascii="宋体" w:hAnsi="宋体" w:eastAsia="宋体" w:cs="宋体"/>
          <w:color w:val="auto"/>
          <w:sz w:val="24"/>
        </w:rPr>
      </w:pPr>
      <w:r>
        <w:rPr>
          <w:rFonts w:ascii="宋体" w:hAnsi="宋体" w:eastAsia="宋体" w:cs="宋体"/>
          <w:color w:val="auto"/>
          <w:sz w:val="24"/>
        </w:rPr>
        <w:t>4.2 供应商需提供售后服务体系与承诺。</w:t>
      </w:r>
    </w:p>
    <w:p>
      <w:pPr>
        <w:spacing w:line="560" w:lineRule="auto"/>
        <w:ind w:firstLine="480"/>
        <w:rPr>
          <w:rFonts w:ascii="宋体" w:hAnsi="宋体" w:eastAsia="宋体" w:cs="宋体"/>
          <w:color w:val="auto"/>
          <w:sz w:val="24"/>
        </w:rPr>
      </w:pPr>
      <w:r>
        <w:rPr>
          <w:rFonts w:ascii="宋体" w:hAnsi="宋体" w:eastAsia="宋体" w:cs="宋体"/>
          <w:color w:val="auto"/>
          <w:sz w:val="24"/>
        </w:rPr>
        <w:t>4.3符合本竞争性磋商文件规定的供应商资格要求及项目要求的其它条件，并按照要求提供相关证明材料。</w:t>
      </w:r>
    </w:p>
    <w:p>
      <w:pPr>
        <w:spacing w:line="560" w:lineRule="auto"/>
        <w:ind w:firstLine="480"/>
        <w:rPr>
          <w:rFonts w:ascii="宋体" w:hAnsi="宋体" w:eastAsia="宋体" w:cs="宋体"/>
          <w:color w:val="auto"/>
          <w:sz w:val="24"/>
        </w:rPr>
      </w:pPr>
      <w:r>
        <w:rPr>
          <w:rFonts w:ascii="宋体" w:hAnsi="宋体" w:eastAsia="宋体" w:cs="宋体"/>
          <w:color w:val="auto"/>
          <w:sz w:val="24"/>
        </w:rPr>
        <w:t>4.4</w:t>
      </w:r>
      <w:r>
        <w:rPr>
          <w:rFonts w:hint="eastAsia" w:ascii="宋体" w:hAnsi="宋体" w:eastAsia="宋体" w:cs="宋体"/>
          <w:color w:val="auto"/>
          <w:sz w:val="24"/>
          <w:szCs w:val="24"/>
          <w:lang w:bidi="ar"/>
        </w:rPr>
        <w:t>供应商需提供营业执照扫描件。</w:t>
      </w:r>
      <w:r>
        <w:rPr>
          <w:rFonts w:ascii="宋体" w:hAnsi="宋体" w:eastAsia="宋体" w:cs="宋体"/>
          <w:color w:val="auto"/>
          <w:sz w:val="24"/>
        </w:rPr>
        <w:t>供应商应遵守国家法律、法规有关竞争性磋商的规定。</w:t>
      </w:r>
    </w:p>
    <w:p>
      <w:pPr>
        <w:spacing w:line="560" w:lineRule="auto"/>
        <w:ind w:firstLine="480"/>
        <w:rPr>
          <w:rFonts w:ascii="宋体" w:hAnsi="宋体" w:eastAsia="宋体" w:cs="宋体"/>
          <w:color w:val="auto"/>
          <w:sz w:val="24"/>
        </w:rPr>
      </w:pPr>
      <w:r>
        <w:rPr>
          <w:rFonts w:ascii="宋体" w:hAnsi="宋体" w:eastAsia="宋体" w:cs="宋体"/>
          <w:color w:val="auto"/>
          <w:sz w:val="24"/>
        </w:rPr>
        <w:t>4.5 凡通过磋商小组符合性审查的供应商均为合格供应商。未通过符合性审查的供应商将视为不响应本项目的竞争性磋商文件被否决。</w:t>
      </w:r>
    </w:p>
    <w:p>
      <w:pPr>
        <w:spacing w:line="560" w:lineRule="auto"/>
        <w:ind w:firstLine="240" w:firstLineChars="100"/>
        <w:rPr>
          <w:rFonts w:ascii="宋体" w:hAnsi="宋体" w:eastAsia="宋体" w:cs="宋体"/>
          <w:color w:val="auto"/>
          <w:sz w:val="24"/>
        </w:rPr>
      </w:pPr>
      <w:r>
        <w:rPr>
          <w:rFonts w:ascii="宋体" w:hAnsi="宋体" w:eastAsia="宋体" w:cs="宋体"/>
          <w:color w:val="auto"/>
          <w:sz w:val="24"/>
        </w:rPr>
        <w:t xml:space="preserve"> 4.6现场进行实地勘查</w:t>
      </w:r>
      <w:r>
        <w:rPr>
          <w:rFonts w:hint="eastAsia" w:ascii="宋体" w:hAnsi="宋体" w:eastAsia="宋体" w:cs="宋体"/>
          <w:color w:val="auto"/>
          <w:sz w:val="24"/>
        </w:rPr>
        <w:t>，请合格的供应商自行与采购人联系（联系人：梁金伟   联系方式：13592287796），在下载磋商文件截止后第一个工作日及时与采购人联系进行实地勘查，经采购人证实供应商已进行现场勘查，开具由项目负责人签字并加盖采购单位公章的勘察证明函，供应商应将证明函原件放在磋商文件中（电子标为原件扫描件）。</w:t>
      </w:r>
    </w:p>
    <w:p>
      <w:pPr>
        <w:spacing w:line="560" w:lineRule="auto"/>
        <w:ind w:firstLine="480"/>
        <w:rPr>
          <w:rFonts w:ascii="宋体" w:hAnsi="宋体" w:eastAsia="宋体" w:cs="宋体"/>
          <w:color w:val="auto"/>
          <w:sz w:val="24"/>
        </w:rPr>
      </w:pPr>
      <w:r>
        <w:rPr>
          <w:rFonts w:ascii="宋体" w:hAnsi="宋体" w:eastAsia="宋体" w:cs="宋体"/>
          <w:color w:val="auto"/>
          <w:sz w:val="24"/>
        </w:rPr>
        <w:t>注：单位负责人为同一人或者存在直接控股、管理关系的不同供应商，不得参加同一合同项下的政府采购活动。</w:t>
      </w:r>
    </w:p>
    <w:p>
      <w:pPr>
        <w:spacing w:line="560" w:lineRule="auto"/>
        <w:ind w:firstLine="482"/>
        <w:rPr>
          <w:rFonts w:ascii="宋体" w:hAnsi="宋体" w:eastAsia="宋体" w:cs="宋体"/>
          <w:b/>
          <w:color w:val="auto"/>
          <w:sz w:val="24"/>
        </w:rPr>
      </w:pPr>
      <w:r>
        <w:rPr>
          <w:rFonts w:ascii="宋体" w:hAnsi="宋体" w:eastAsia="宋体" w:cs="宋体"/>
          <w:b/>
          <w:color w:val="auto"/>
          <w:sz w:val="24"/>
        </w:rPr>
        <w:t xml:space="preserve">5.竞争性磋商文件的约束力 </w:t>
      </w:r>
    </w:p>
    <w:p>
      <w:pPr>
        <w:spacing w:line="560" w:lineRule="auto"/>
        <w:ind w:firstLine="480"/>
        <w:rPr>
          <w:rFonts w:ascii="宋体" w:hAnsi="宋体" w:eastAsia="宋体" w:cs="宋体"/>
          <w:color w:val="auto"/>
          <w:sz w:val="24"/>
        </w:rPr>
      </w:pPr>
      <w:r>
        <w:rPr>
          <w:rFonts w:ascii="宋体" w:hAnsi="宋体" w:eastAsia="宋体" w:cs="宋体"/>
          <w:color w:val="auto"/>
          <w:sz w:val="24"/>
        </w:rPr>
        <w:t>5.l供应商一旦参加竞争性磋商，即被认为接受了本竞争性磋商文件中的所有条款和规定。</w:t>
      </w:r>
    </w:p>
    <w:p>
      <w:pPr>
        <w:spacing w:line="560" w:lineRule="auto"/>
        <w:ind w:firstLine="480"/>
        <w:rPr>
          <w:rFonts w:ascii="宋体" w:hAnsi="宋体" w:eastAsia="宋体" w:cs="宋体"/>
          <w:color w:val="auto"/>
          <w:sz w:val="24"/>
        </w:rPr>
      </w:pPr>
      <w:r>
        <w:rPr>
          <w:rFonts w:ascii="宋体" w:hAnsi="宋体" w:eastAsia="宋体" w:cs="宋体"/>
          <w:color w:val="auto"/>
          <w:sz w:val="24"/>
        </w:rPr>
        <w:t>5.2供应商如认为本竞争性磋商文件含有倾向性或排斥潜在供应商的条款而使自己的权益受到损害的，请以书面形式向采购人提出，否则，将视为对本竞争性磋商文件要求无任何异议，并不得因此在竞争性磋商会开始后提出任何异议。</w:t>
      </w:r>
    </w:p>
    <w:p>
      <w:pPr>
        <w:spacing w:line="560" w:lineRule="auto"/>
        <w:ind w:firstLine="480"/>
        <w:rPr>
          <w:rFonts w:ascii="宋体" w:hAnsi="宋体" w:eastAsia="宋体" w:cs="宋体"/>
          <w:color w:val="auto"/>
          <w:sz w:val="24"/>
        </w:rPr>
      </w:pPr>
      <w:r>
        <w:rPr>
          <w:rFonts w:ascii="宋体" w:hAnsi="宋体" w:eastAsia="宋体" w:cs="宋体"/>
          <w:color w:val="auto"/>
          <w:sz w:val="24"/>
        </w:rPr>
        <w:t>5.3本磋商文件由采购人负责解释。</w:t>
      </w:r>
    </w:p>
    <w:p>
      <w:pPr>
        <w:tabs>
          <w:tab w:val="left" w:pos="0"/>
          <w:tab w:val="left" w:pos="993"/>
          <w:tab w:val="left" w:pos="1134"/>
        </w:tabs>
        <w:ind w:firstLine="480"/>
        <w:rPr>
          <w:rFonts w:ascii="宋体" w:hAnsi="宋体" w:eastAsia="宋体" w:cs="宋体"/>
          <w:color w:val="auto"/>
          <w:sz w:val="24"/>
        </w:rPr>
      </w:pPr>
    </w:p>
    <w:p>
      <w:pPr>
        <w:spacing w:line="720" w:lineRule="auto"/>
        <w:jc w:val="center"/>
        <w:rPr>
          <w:rFonts w:ascii="宋体" w:hAnsi="宋体" w:eastAsia="宋体" w:cs="宋体"/>
          <w:b/>
          <w:color w:val="auto"/>
          <w:sz w:val="24"/>
        </w:rPr>
      </w:pPr>
      <w:r>
        <w:rPr>
          <w:rFonts w:ascii="宋体" w:hAnsi="宋体" w:eastAsia="宋体" w:cs="宋体"/>
          <w:b/>
          <w:color w:val="auto"/>
          <w:sz w:val="24"/>
        </w:rPr>
        <w:t>二、竞争性磋商文件</w:t>
      </w:r>
    </w:p>
    <w:p>
      <w:pPr>
        <w:tabs>
          <w:tab w:val="left" w:pos="632"/>
          <w:tab w:val="left" w:pos="790"/>
        </w:tabs>
        <w:spacing w:line="560" w:lineRule="auto"/>
        <w:ind w:firstLine="482"/>
        <w:rPr>
          <w:rFonts w:ascii="宋体" w:hAnsi="宋体" w:eastAsia="宋体" w:cs="宋体"/>
          <w:b/>
          <w:color w:val="auto"/>
          <w:sz w:val="24"/>
        </w:rPr>
      </w:pPr>
      <w:r>
        <w:rPr>
          <w:rFonts w:ascii="宋体" w:hAnsi="宋体" w:eastAsia="宋体" w:cs="宋体"/>
          <w:b/>
          <w:color w:val="auto"/>
          <w:sz w:val="24"/>
        </w:rPr>
        <w:t>6．竞争性磋商文件的组成</w:t>
      </w:r>
    </w:p>
    <w:p>
      <w:pPr>
        <w:spacing w:line="560" w:lineRule="auto"/>
        <w:ind w:firstLine="480"/>
        <w:rPr>
          <w:rFonts w:ascii="宋体" w:hAnsi="宋体" w:eastAsia="宋体" w:cs="宋体"/>
          <w:color w:val="auto"/>
          <w:sz w:val="24"/>
        </w:rPr>
      </w:pPr>
      <w:r>
        <w:rPr>
          <w:rFonts w:ascii="宋体" w:hAnsi="宋体" w:eastAsia="宋体" w:cs="宋体"/>
          <w:color w:val="auto"/>
          <w:sz w:val="24"/>
        </w:rPr>
        <w:t>6.1竞争性磋商文件是用以阐明的采购需求、采购程序和合同格式等的规范性文件。竞争性磋商文件主要由以下部分组成：</w:t>
      </w:r>
    </w:p>
    <w:p>
      <w:pPr>
        <w:spacing w:line="560" w:lineRule="auto"/>
        <w:ind w:firstLine="480"/>
        <w:rPr>
          <w:rFonts w:ascii="宋体" w:hAnsi="宋体" w:eastAsia="宋体" w:cs="宋体"/>
          <w:color w:val="auto"/>
          <w:sz w:val="24"/>
        </w:rPr>
      </w:pPr>
      <w:r>
        <w:rPr>
          <w:rFonts w:ascii="宋体" w:hAnsi="宋体" w:eastAsia="宋体" w:cs="宋体"/>
          <w:color w:val="auto"/>
          <w:sz w:val="24"/>
        </w:rPr>
        <w:t>（1）竞争性磋商邀请函；</w:t>
      </w:r>
    </w:p>
    <w:p>
      <w:pPr>
        <w:spacing w:line="560" w:lineRule="auto"/>
        <w:ind w:firstLine="480"/>
        <w:rPr>
          <w:rFonts w:ascii="宋体" w:hAnsi="宋体" w:eastAsia="宋体" w:cs="宋体"/>
          <w:color w:val="auto"/>
          <w:sz w:val="24"/>
        </w:rPr>
      </w:pPr>
      <w:r>
        <w:rPr>
          <w:rFonts w:ascii="宋体" w:hAnsi="宋体" w:eastAsia="宋体" w:cs="宋体"/>
          <w:color w:val="auto"/>
          <w:sz w:val="24"/>
        </w:rPr>
        <w:t>（2）供应商须知；</w:t>
      </w:r>
    </w:p>
    <w:p>
      <w:pPr>
        <w:spacing w:line="560" w:lineRule="auto"/>
        <w:ind w:firstLine="480"/>
        <w:rPr>
          <w:rFonts w:ascii="宋体" w:hAnsi="宋体" w:eastAsia="宋体" w:cs="宋体"/>
          <w:color w:val="auto"/>
          <w:sz w:val="24"/>
        </w:rPr>
      </w:pPr>
      <w:r>
        <w:rPr>
          <w:rFonts w:ascii="宋体" w:hAnsi="宋体" w:eastAsia="宋体" w:cs="宋体"/>
          <w:color w:val="auto"/>
          <w:sz w:val="24"/>
        </w:rPr>
        <w:t>（3）采购需求；</w:t>
      </w:r>
    </w:p>
    <w:p>
      <w:pPr>
        <w:spacing w:line="560" w:lineRule="auto"/>
        <w:ind w:firstLine="480"/>
        <w:rPr>
          <w:rFonts w:ascii="宋体" w:hAnsi="宋体" w:eastAsia="宋体" w:cs="宋体"/>
          <w:color w:val="auto"/>
          <w:sz w:val="24"/>
        </w:rPr>
      </w:pPr>
      <w:r>
        <w:rPr>
          <w:rFonts w:ascii="宋体" w:hAnsi="宋体" w:eastAsia="宋体" w:cs="宋体"/>
          <w:color w:val="auto"/>
          <w:sz w:val="24"/>
        </w:rPr>
        <w:t>（4）响应性文件内容及格式；</w:t>
      </w:r>
    </w:p>
    <w:p>
      <w:pPr>
        <w:spacing w:line="560" w:lineRule="auto"/>
        <w:ind w:firstLine="480"/>
        <w:rPr>
          <w:rFonts w:ascii="宋体" w:hAnsi="宋体" w:eastAsia="宋体" w:cs="宋体"/>
          <w:color w:val="auto"/>
          <w:sz w:val="24"/>
        </w:rPr>
      </w:pPr>
      <w:r>
        <w:rPr>
          <w:rFonts w:ascii="宋体" w:hAnsi="宋体" w:eastAsia="宋体" w:cs="宋体"/>
          <w:color w:val="auto"/>
          <w:sz w:val="24"/>
        </w:rPr>
        <w:t>（5）合同主要条款。</w:t>
      </w:r>
    </w:p>
    <w:p>
      <w:pPr>
        <w:spacing w:line="560" w:lineRule="auto"/>
        <w:ind w:firstLine="480"/>
        <w:rPr>
          <w:rFonts w:ascii="宋体" w:hAnsi="宋体" w:eastAsia="宋体" w:cs="宋体"/>
          <w:color w:val="auto"/>
          <w:sz w:val="24"/>
        </w:rPr>
      </w:pPr>
      <w:r>
        <w:rPr>
          <w:rFonts w:ascii="宋体" w:hAnsi="宋体" w:eastAsia="宋体" w:cs="宋体"/>
          <w:color w:val="auto"/>
          <w:sz w:val="24"/>
        </w:rPr>
        <w:t>6.2供应商收到竞争性磋商文件后，应仔细检查竞争性磋商文件是否齐全、是否有表述不明确或缺（错、重）字等问题。供应商发现任何页数和附件数量的遗缺，任何数字或词汇模糊不清，任何词义含混不清的情形，应立即与采购人联系解决。</w:t>
      </w:r>
      <w:r>
        <w:rPr>
          <w:rFonts w:hint="eastAsia" w:ascii="宋体" w:hAnsi="宋体" w:eastAsia="宋体" w:cs="宋体"/>
          <w:color w:val="auto"/>
          <w:sz w:val="24"/>
        </w:rPr>
        <w:t>如果供应商因未按上述提出要求而造成不良后果的，采购人不承担任何责任，供应商如对竞争性蹉商文件无疑问，出具确认书。</w:t>
      </w:r>
    </w:p>
    <w:p>
      <w:pPr>
        <w:spacing w:line="560" w:lineRule="auto"/>
        <w:ind w:firstLine="480"/>
        <w:rPr>
          <w:rFonts w:ascii="宋体" w:hAnsi="宋体" w:eastAsia="宋体" w:cs="宋体"/>
          <w:color w:val="auto"/>
          <w:sz w:val="24"/>
        </w:rPr>
      </w:pPr>
      <w:r>
        <w:rPr>
          <w:rFonts w:ascii="宋体" w:hAnsi="宋体" w:eastAsia="宋体" w:cs="宋体"/>
          <w:color w:val="auto"/>
          <w:sz w:val="24"/>
        </w:rPr>
        <w:t>6.3供应商被视为充分熟悉本采购项目所在地的与履行合同有关的各种情况，包括自然环境、气候条件、劳动力及公用设施等，本竞争性磋商文件不再对上述情况进行描述。</w:t>
      </w:r>
    </w:p>
    <w:p>
      <w:pPr>
        <w:spacing w:line="560" w:lineRule="auto"/>
        <w:ind w:firstLine="480"/>
        <w:rPr>
          <w:rFonts w:ascii="宋体" w:hAnsi="宋体" w:eastAsia="宋体" w:cs="宋体"/>
          <w:color w:val="auto"/>
          <w:sz w:val="24"/>
        </w:rPr>
      </w:pPr>
      <w:r>
        <w:rPr>
          <w:rFonts w:ascii="宋体" w:hAnsi="宋体" w:eastAsia="宋体" w:cs="宋体"/>
          <w:color w:val="auto"/>
          <w:sz w:val="24"/>
        </w:rPr>
        <w:t>6.4供应商必须详阅竞争性磋商文件的所有条款、文件及表格格式等。供应商若未按竞争性磋商文件的要求和规范编制、提交响应性文件，将有可能导致响应性文件被拒绝接受或被视为无效。</w:t>
      </w:r>
    </w:p>
    <w:p>
      <w:pPr>
        <w:spacing w:line="560" w:lineRule="auto"/>
        <w:ind w:firstLine="482"/>
        <w:rPr>
          <w:rFonts w:ascii="宋体" w:hAnsi="宋体" w:eastAsia="宋体" w:cs="宋体"/>
          <w:b/>
          <w:color w:val="auto"/>
          <w:sz w:val="24"/>
        </w:rPr>
      </w:pPr>
      <w:r>
        <w:rPr>
          <w:rFonts w:ascii="宋体" w:hAnsi="宋体" w:eastAsia="宋体" w:cs="宋体"/>
          <w:b/>
          <w:color w:val="auto"/>
          <w:sz w:val="24"/>
        </w:rPr>
        <w:t>7.竞争性磋商文件的澄清与修改</w:t>
      </w:r>
    </w:p>
    <w:p>
      <w:pPr>
        <w:spacing w:line="560" w:lineRule="auto"/>
        <w:ind w:firstLine="480"/>
        <w:rPr>
          <w:rFonts w:ascii="宋体" w:hAnsi="宋体" w:eastAsia="宋体" w:cs="宋体"/>
          <w:color w:val="auto"/>
          <w:sz w:val="24"/>
        </w:rPr>
      </w:pPr>
      <w:r>
        <w:rPr>
          <w:rFonts w:ascii="宋体" w:hAnsi="宋体" w:eastAsia="宋体" w:cs="宋体"/>
          <w:color w:val="auto"/>
          <w:sz w:val="24"/>
        </w:rPr>
        <w:t>7.1提交（接收）响应文件截止之日前，采购人可以对已发出的竞争性磋商文件进行必要的澄清或者修改，澄清或修改的内容作为竞争性磋商文件的组成部分。澄清或者修改的内容可能影响相应文件编制的，采购人将在提交响应文件截止时间至少5个日前，在政府采购相关网站以变更公告的方式通知所有获取竞争性磋商文件的供应商，不足5日的，采购人顺延提交（接收）响应文件截止时间。</w:t>
      </w:r>
    </w:p>
    <w:p>
      <w:pPr>
        <w:spacing w:line="720" w:lineRule="auto"/>
        <w:jc w:val="center"/>
        <w:rPr>
          <w:rFonts w:ascii="宋体" w:hAnsi="宋体" w:eastAsia="宋体" w:cs="宋体"/>
          <w:b/>
          <w:color w:val="auto"/>
          <w:sz w:val="24"/>
        </w:rPr>
      </w:pPr>
      <w:r>
        <w:rPr>
          <w:rFonts w:ascii="宋体" w:hAnsi="宋体" w:eastAsia="宋体" w:cs="宋体"/>
          <w:b/>
          <w:color w:val="auto"/>
          <w:sz w:val="24"/>
        </w:rPr>
        <w:t>三、响应性文件的编制</w:t>
      </w:r>
    </w:p>
    <w:p>
      <w:pPr>
        <w:spacing w:line="560" w:lineRule="auto"/>
        <w:ind w:firstLine="482"/>
        <w:rPr>
          <w:rFonts w:ascii="宋体" w:hAnsi="宋体" w:eastAsia="宋体" w:cs="宋体"/>
          <w:b/>
          <w:color w:val="auto"/>
          <w:sz w:val="24"/>
        </w:rPr>
      </w:pPr>
      <w:r>
        <w:rPr>
          <w:rFonts w:ascii="宋体" w:hAnsi="宋体" w:eastAsia="宋体" w:cs="宋体"/>
          <w:b/>
          <w:color w:val="auto"/>
          <w:sz w:val="24"/>
        </w:rPr>
        <w:t>8.要求</w:t>
      </w:r>
    </w:p>
    <w:p>
      <w:pPr>
        <w:spacing w:line="560" w:lineRule="auto"/>
        <w:ind w:firstLine="480"/>
        <w:rPr>
          <w:rFonts w:ascii="宋体" w:hAnsi="宋体" w:eastAsia="宋体" w:cs="宋体"/>
          <w:color w:val="auto"/>
          <w:sz w:val="24"/>
        </w:rPr>
      </w:pPr>
      <w:r>
        <w:rPr>
          <w:rFonts w:ascii="宋体" w:hAnsi="宋体" w:eastAsia="宋体" w:cs="宋体"/>
          <w:color w:val="auto"/>
          <w:sz w:val="24"/>
        </w:rPr>
        <w:t>8.1供应商应仔细阅读、并充分理解竞争性磋商文件的所有内容，按照竞争性磋商文件的要求编制、提交响应性文件。响应性文件应对竞争性磋商文件的要求作出实质性响应，并保证</w:t>
      </w:r>
      <w:r>
        <w:rPr>
          <w:rFonts w:hint="eastAsia" w:ascii="宋体" w:hAnsi="宋体" w:eastAsia="宋体" w:cs="宋体"/>
          <w:color w:val="auto"/>
          <w:sz w:val="24"/>
        </w:rPr>
        <w:t>及承诺</w:t>
      </w:r>
      <w:r>
        <w:rPr>
          <w:rFonts w:ascii="宋体" w:hAnsi="宋体" w:eastAsia="宋体" w:cs="宋体"/>
          <w:color w:val="auto"/>
          <w:sz w:val="24"/>
        </w:rPr>
        <w:t>所提供的全部资料的真实性、合法性，否则其响应性文件将作为无效处理。</w:t>
      </w:r>
    </w:p>
    <w:p>
      <w:pPr>
        <w:spacing w:line="560" w:lineRule="auto"/>
        <w:ind w:firstLine="480"/>
        <w:rPr>
          <w:rFonts w:ascii="宋体" w:hAnsi="宋体" w:eastAsia="宋体" w:cs="宋体"/>
          <w:color w:val="auto"/>
          <w:sz w:val="24"/>
        </w:rPr>
      </w:pPr>
      <w:r>
        <w:rPr>
          <w:rFonts w:ascii="宋体" w:hAnsi="宋体" w:eastAsia="宋体" w:cs="宋体"/>
          <w:color w:val="auto"/>
          <w:sz w:val="24"/>
        </w:rPr>
        <w:t>8.2任何对竞争性磋商文件的忽略或误解不能作为响应性文件没有完全响应竞争性磋商文件的有效理由。</w:t>
      </w:r>
    </w:p>
    <w:p>
      <w:pPr>
        <w:spacing w:line="560" w:lineRule="auto"/>
        <w:ind w:firstLine="480"/>
        <w:rPr>
          <w:rFonts w:ascii="宋体" w:hAnsi="宋体" w:eastAsia="宋体" w:cs="宋体"/>
          <w:color w:val="auto"/>
          <w:sz w:val="24"/>
        </w:rPr>
      </w:pPr>
      <w:r>
        <w:rPr>
          <w:rFonts w:ascii="宋体" w:hAnsi="宋体" w:eastAsia="宋体" w:cs="宋体"/>
          <w:color w:val="auto"/>
          <w:sz w:val="24"/>
        </w:rPr>
        <w:t>8.3供应商没有按照竞争性磋商文件要求提供全部资料，或者供应商没有对竞争性磋商文件在各方面都作出实质性响应是供应商的风险，并可能导致其响应性文件被拒绝。</w:t>
      </w:r>
    </w:p>
    <w:p>
      <w:pPr>
        <w:spacing w:line="560" w:lineRule="auto"/>
        <w:ind w:firstLine="480"/>
        <w:rPr>
          <w:rFonts w:ascii="宋体" w:hAnsi="宋体" w:eastAsia="宋体" w:cs="宋体"/>
          <w:color w:val="auto"/>
          <w:sz w:val="24"/>
        </w:rPr>
      </w:pPr>
      <w:r>
        <w:rPr>
          <w:rFonts w:hint="eastAsia" w:ascii="宋体" w:hAnsi="宋体" w:eastAsia="宋体" w:cs="宋体"/>
          <w:color w:val="auto"/>
          <w:sz w:val="24"/>
        </w:rPr>
        <w:t>8.4参与竞争性磋商活动的各供应商应对竞争性磋商文件和竞争性磋商响应文件中的商业和技术等秘密保密，违者应对由此造成的后果承担法律责任。对上述作出书面承诺并附在响应文件中，否则视为不响应竞争性磋商文件的要求。</w:t>
      </w:r>
    </w:p>
    <w:p>
      <w:pPr>
        <w:spacing w:line="560" w:lineRule="auto"/>
        <w:ind w:firstLine="482"/>
        <w:rPr>
          <w:rFonts w:ascii="宋体" w:hAnsi="宋体" w:eastAsia="宋体" w:cs="宋体"/>
          <w:b/>
          <w:color w:val="auto"/>
          <w:sz w:val="24"/>
        </w:rPr>
      </w:pPr>
      <w:r>
        <w:rPr>
          <w:rFonts w:ascii="宋体" w:hAnsi="宋体" w:eastAsia="宋体" w:cs="宋体"/>
          <w:b/>
          <w:color w:val="auto"/>
          <w:sz w:val="24"/>
        </w:rPr>
        <w:t xml:space="preserve">9.响应性文件的语言及度量衡 </w:t>
      </w:r>
    </w:p>
    <w:p>
      <w:pPr>
        <w:spacing w:line="560" w:lineRule="auto"/>
        <w:ind w:firstLine="480"/>
        <w:rPr>
          <w:rFonts w:ascii="宋体" w:hAnsi="宋体" w:eastAsia="宋体" w:cs="宋体"/>
          <w:color w:val="auto"/>
          <w:sz w:val="24"/>
        </w:rPr>
      </w:pPr>
      <w:r>
        <w:rPr>
          <w:rFonts w:ascii="宋体" w:hAnsi="宋体" w:eastAsia="宋体" w:cs="宋体"/>
          <w:color w:val="auto"/>
          <w:sz w:val="24"/>
        </w:rPr>
        <w:t xml:space="preserve">9.1响应性文件以及供应商与采购代理机构之间的所有书面往来都应用简体中文书写。 </w:t>
      </w:r>
    </w:p>
    <w:p>
      <w:pPr>
        <w:spacing w:line="560" w:lineRule="auto"/>
        <w:ind w:firstLine="480"/>
        <w:rPr>
          <w:rFonts w:ascii="宋体" w:hAnsi="宋体" w:eastAsia="宋体" w:cs="宋体"/>
          <w:color w:val="auto"/>
          <w:sz w:val="24"/>
        </w:rPr>
      </w:pPr>
      <w:r>
        <w:rPr>
          <w:rFonts w:ascii="宋体" w:hAnsi="宋体" w:eastAsia="宋体" w:cs="宋体"/>
          <w:color w:val="auto"/>
          <w:sz w:val="24"/>
        </w:rPr>
        <w:t xml:space="preserve">9.2供应商使用其他语言的，以中文翻译为准。 </w:t>
      </w:r>
    </w:p>
    <w:p>
      <w:pPr>
        <w:spacing w:line="560" w:lineRule="auto"/>
        <w:ind w:firstLine="480"/>
        <w:rPr>
          <w:rFonts w:ascii="宋体" w:hAnsi="宋体" w:eastAsia="宋体" w:cs="宋体"/>
          <w:color w:val="auto"/>
          <w:sz w:val="24"/>
        </w:rPr>
      </w:pPr>
      <w:r>
        <w:rPr>
          <w:rFonts w:ascii="宋体" w:hAnsi="宋体" w:eastAsia="宋体" w:cs="宋体"/>
          <w:color w:val="auto"/>
          <w:sz w:val="24"/>
        </w:rPr>
        <w:t>9.3关于计量单位，竞争性磋商文件已有明确规定的，使用竞争性磋商文件规定的计量单位；竞争性磋商文件没有规定的，应采用中华人民共和国法定计量单位。</w:t>
      </w:r>
    </w:p>
    <w:p>
      <w:pPr>
        <w:spacing w:line="560" w:lineRule="auto"/>
        <w:ind w:firstLine="480"/>
        <w:rPr>
          <w:rFonts w:ascii="宋体" w:hAnsi="宋体" w:eastAsia="宋体" w:cs="宋体"/>
          <w:color w:val="auto"/>
          <w:sz w:val="24"/>
        </w:rPr>
      </w:pPr>
      <w:r>
        <w:rPr>
          <w:rFonts w:ascii="宋体" w:hAnsi="宋体" w:eastAsia="宋体" w:cs="宋体"/>
          <w:color w:val="auto"/>
          <w:sz w:val="24"/>
        </w:rPr>
        <w:t>9.4本竞争性磋商文件所表述的时间均为北京时间。</w:t>
      </w:r>
    </w:p>
    <w:p>
      <w:pPr>
        <w:spacing w:line="560" w:lineRule="auto"/>
        <w:ind w:firstLine="482"/>
        <w:rPr>
          <w:rFonts w:ascii="宋体" w:hAnsi="宋体" w:eastAsia="宋体" w:cs="宋体"/>
          <w:b/>
          <w:color w:val="auto"/>
          <w:sz w:val="24"/>
        </w:rPr>
      </w:pPr>
      <w:r>
        <w:rPr>
          <w:rFonts w:ascii="宋体" w:hAnsi="宋体" w:eastAsia="宋体" w:cs="宋体"/>
          <w:b/>
          <w:color w:val="auto"/>
          <w:sz w:val="24"/>
        </w:rPr>
        <w:t>10.响应性文件的组成</w:t>
      </w:r>
    </w:p>
    <w:p>
      <w:pPr>
        <w:spacing w:line="560" w:lineRule="auto"/>
        <w:ind w:firstLine="480"/>
        <w:rPr>
          <w:rFonts w:ascii="宋体" w:hAnsi="宋体" w:eastAsia="宋体" w:cs="宋体"/>
          <w:color w:val="auto"/>
          <w:sz w:val="24"/>
        </w:rPr>
      </w:pPr>
      <w:r>
        <w:rPr>
          <w:rFonts w:ascii="宋体" w:hAnsi="宋体" w:eastAsia="宋体" w:cs="宋体"/>
          <w:color w:val="auto"/>
          <w:sz w:val="24"/>
        </w:rPr>
        <w:t>10.1响应性文件由</w:t>
      </w:r>
      <w:r>
        <w:rPr>
          <w:rFonts w:ascii="宋体" w:hAnsi="宋体" w:eastAsia="宋体" w:cs="宋体"/>
          <w:color w:val="auto"/>
          <w:sz w:val="24"/>
          <w:u w:val="single"/>
        </w:rPr>
        <w:t>资格性证明材料</w:t>
      </w:r>
      <w:r>
        <w:rPr>
          <w:rFonts w:ascii="宋体" w:hAnsi="宋体" w:eastAsia="宋体" w:cs="宋体"/>
          <w:color w:val="auto"/>
          <w:sz w:val="24"/>
        </w:rPr>
        <w:t>、</w:t>
      </w:r>
      <w:r>
        <w:rPr>
          <w:rFonts w:ascii="宋体" w:hAnsi="宋体" w:eastAsia="宋体" w:cs="宋体"/>
          <w:color w:val="auto"/>
          <w:sz w:val="24"/>
          <w:u w:val="single"/>
        </w:rPr>
        <w:t>符合性证明材料</w:t>
      </w:r>
      <w:r>
        <w:rPr>
          <w:rFonts w:ascii="宋体" w:hAnsi="宋体" w:eastAsia="宋体" w:cs="宋体"/>
          <w:color w:val="auto"/>
          <w:sz w:val="24"/>
        </w:rPr>
        <w:t>、</w:t>
      </w:r>
      <w:r>
        <w:rPr>
          <w:rFonts w:ascii="宋体" w:hAnsi="宋体" w:eastAsia="宋体" w:cs="宋体"/>
          <w:color w:val="auto"/>
          <w:sz w:val="24"/>
          <w:u w:val="single"/>
        </w:rPr>
        <w:t>其他材料</w:t>
      </w:r>
      <w:r>
        <w:rPr>
          <w:rFonts w:ascii="宋体" w:hAnsi="宋体" w:eastAsia="宋体" w:cs="宋体"/>
          <w:color w:val="auto"/>
          <w:sz w:val="24"/>
        </w:rPr>
        <w:t>三部分组成。具体内容和格式见竞争性磋商文件第四章。</w:t>
      </w:r>
    </w:p>
    <w:p>
      <w:pPr>
        <w:spacing w:line="560" w:lineRule="auto"/>
        <w:ind w:firstLine="482"/>
        <w:rPr>
          <w:rFonts w:ascii="宋体" w:hAnsi="宋体" w:eastAsia="宋体" w:cs="宋体"/>
          <w:b/>
          <w:color w:val="auto"/>
          <w:sz w:val="24"/>
        </w:rPr>
      </w:pPr>
      <w:r>
        <w:rPr>
          <w:rFonts w:ascii="宋体" w:hAnsi="宋体" w:eastAsia="宋体" w:cs="宋体"/>
          <w:b/>
          <w:color w:val="auto"/>
          <w:sz w:val="24"/>
        </w:rPr>
        <w:t>11.响应性文件格式</w:t>
      </w:r>
    </w:p>
    <w:p>
      <w:pPr>
        <w:spacing w:line="560" w:lineRule="auto"/>
        <w:ind w:firstLine="480"/>
        <w:rPr>
          <w:rFonts w:ascii="宋体" w:hAnsi="宋体" w:eastAsia="宋体" w:cs="宋体"/>
          <w:color w:val="auto"/>
          <w:sz w:val="24"/>
        </w:rPr>
      </w:pPr>
      <w:r>
        <w:rPr>
          <w:rFonts w:ascii="宋体" w:hAnsi="宋体" w:eastAsia="宋体" w:cs="宋体"/>
          <w:color w:val="auto"/>
          <w:sz w:val="24"/>
        </w:rPr>
        <w:t>11.1供应商应按照竞争性磋商文件提供的格式编写响应性文件，不得缺少、留空或私自更改任何竞争性磋商文件要求填写的表格或提交的资料。竞争性磋商文件提供格式的按格式填列，未提供格式的可自行拟定。</w:t>
      </w:r>
    </w:p>
    <w:p>
      <w:pPr>
        <w:spacing w:line="560" w:lineRule="auto"/>
        <w:ind w:firstLine="482"/>
        <w:rPr>
          <w:rFonts w:ascii="宋体" w:hAnsi="宋体" w:eastAsia="宋体" w:cs="宋体"/>
          <w:b/>
          <w:color w:val="auto"/>
          <w:sz w:val="24"/>
        </w:rPr>
      </w:pPr>
      <w:r>
        <w:rPr>
          <w:rFonts w:ascii="宋体" w:hAnsi="宋体" w:eastAsia="宋体" w:cs="宋体"/>
          <w:b/>
          <w:color w:val="auto"/>
          <w:sz w:val="24"/>
        </w:rPr>
        <w:t>12.竞争性磋商报价</w:t>
      </w:r>
    </w:p>
    <w:p>
      <w:pPr>
        <w:spacing w:line="560" w:lineRule="auto"/>
        <w:ind w:firstLine="480"/>
        <w:rPr>
          <w:rFonts w:ascii="宋体" w:hAnsi="宋体" w:eastAsia="宋体" w:cs="宋体"/>
          <w:color w:val="auto"/>
          <w:sz w:val="24"/>
        </w:rPr>
      </w:pPr>
      <w:r>
        <w:rPr>
          <w:rFonts w:ascii="宋体" w:hAnsi="宋体" w:eastAsia="宋体" w:cs="宋体"/>
          <w:color w:val="auto"/>
          <w:sz w:val="24"/>
        </w:rPr>
        <w:t>12.1报价包括所投货物、保险、税费、包装、运输、现场落地、安装及安装损耗、调试、检测、验收和交付后约定期限内免费维保等工作所发生的一切应有费用</w:t>
      </w:r>
      <w:r>
        <w:rPr>
          <w:rFonts w:hint="eastAsia" w:ascii="宋体" w:hAnsi="宋体" w:eastAsia="宋体" w:cs="宋体"/>
          <w:color w:val="auto"/>
          <w:sz w:val="24"/>
        </w:rPr>
        <w:t>，并在报价一览表总报价处加盖公章</w:t>
      </w:r>
      <w:r>
        <w:rPr>
          <w:rFonts w:ascii="宋体" w:hAnsi="宋体" w:eastAsia="宋体" w:cs="宋体"/>
          <w:color w:val="auto"/>
          <w:sz w:val="24"/>
        </w:rPr>
        <w:t>。</w:t>
      </w:r>
    </w:p>
    <w:p>
      <w:pPr>
        <w:spacing w:line="560" w:lineRule="auto"/>
        <w:ind w:firstLine="480"/>
        <w:rPr>
          <w:rFonts w:ascii="宋体" w:hAnsi="宋体" w:eastAsia="宋体" w:cs="宋体"/>
          <w:color w:val="auto"/>
          <w:sz w:val="24"/>
        </w:rPr>
      </w:pPr>
      <w:r>
        <w:rPr>
          <w:rFonts w:ascii="宋体" w:hAnsi="宋体" w:eastAsia="宋体" w:cs="宋体"/>
          <w:color w:val="auto"/>
          <w:sz w:val="24"/>
        </w:rPr>
        <w:t>12.2经过磋商后进行的报价为供应商的最终报价。</w:t>
      </w:r>
    </w:p>
    <w:p>
      <w:pPr>
        <w:spacing w:line="560" w:lineRule="auto"/>
        <w:ind w:firstLine="480"/>
        <w:rPr>
          <w:rFonts w:ascii="宋体" w:hAnsi="宋体" w:eastAsia="宋体" w:cs="宋体"/>
          <w:color w:val="auto"/>
          <w:sz w:val="24"/>
        </w:rPr>
      </w:pPr>
      <w:r>
        <w:rPr>
          <w:rFonts w:ascii="宋体" w:hAnsi="宋体" w:eastAsia="宋体" w:cs="宋体"/>
          <w:color w:val="auto"/>
          <w:sz w:val="24"/>
        </w:rPr>
        <w:t>12.3采购人不接受有选择的报价。</w:t>
      </w:r>
    </w:p>
    <w:p>
      <w:pPr>
        <w:spacing w:line="560" w:lineRule="auto"/>
        <w:ind w:firstLine="480"/>
        <w:rPr>
          <w:rFonts w:ascii="宋体" w:hAnsi="宋体" w:eastAsia="宋体" w:cs="宋体"/>
          <w:color w:val="auto"/>
          <w:sz w:val="24"/>
        </w:rPr>
      </w:pPr>
      <w:r>
        <w:rPr>
          <w:rFonts w:ascii="宋体" w:hAnsi="宋体" w:eastAsia="宋体" w:cs="宋体"/>
          <w:color w:val="auto"/>
          <w:sz w:val="24"/>
        </w:rPr>
        <w:t>12.4最终报价不得超过采购预算。</w:t>
      </w:r>
    </w:p>
    <w:p>
      <w:pPr>
        <w:spacing w:line="560" w:lineRule="auto"/>
        <w:ind w:firstLine="480"/>
        <w:rPr>
          <w:rFonts w:ascii="宋体" w:hAnsi="宋体" w:eastAsia="宋体" w:cs="宋体"/>
          <w:color w:val="auto"/>
          <w:sz w:val="24"/>
        </w:rPr>
      </w:pPr>
      <w:r>
        <w:rPr>
          <w:rFonts w:ascii="宋体" w:hAnsi="宋体" w:eastAsia="宋体" w:cs="宋体"/>
          <w:color w:val="auto"/>
          <w:sz w:val="24"/>
        </w:rPr>
        <w:t>12.5报价均须以人民币为计算单位。</w:t>
      </w:r>
    </w:p>
    <w:p>
      <w:pPr>
        <w:spacing w:line="560" w:lineRule="auto"/>
        <w:ind w:firstLine="482"/>
        <w:rPr>
          <w:rFonts w:ascii="宋体" w:hAnsi="宋体" w:eastAsia="宋体" w:cs="宋体"/>
          <w:b/>
          <w:color w:val="auto"/>
          <w:sz w:val="24"/>
        </w:rPr>
      </w:pPr>
      <w:r>
        <w:rPr>
          <w:rFonts w:ascii="宋体" w:hAnsi="宋体" w:eastAsia="宋体" w:cs="宋体"/>
          <w:b/>
          <w:color w:val="auto"/>
          <w:sz w:val="24"/>
        </w:rPr>
        <w:t xml:space="preserve">13．响应性文件有效期 </w:t>
      </w:r>
    </w:p>
    <w:p>
      <w:pPr>
        <w:spacing w:line="560" w:lineRule="auto"/>
        <w:ind w:firstLine="480"/>
        <w:rPr>
          <w:rFonts w:ascii="宋体" w:hAnsi="宋体" w:eastAsia="宋体" w:cs="宋体"/>
          <w:color w:val="auto"/>
          <w:sz w:val="24"/>
        </w:rPr>
      </w:pPr>
      <w:r>
        <w:rPr>
          <w:rFonts w:ascii="宋体" w:hAnsi="宋体" w:eastAsia="宋体" w:cs="宋体"/>
          <w:color w:val="auto"/>
          <w:sz w:val="24"/>
        </w:rPr>
        <w:t>13.l响应性文件有效期为自竞争性磋商开始之日起60天，有效期短于此规定的响应性文件将被视为无效。</w:t>
      </w:r>
    </w:p>
    <w:p>
      <w:pPr>
        <w:spacing w:line="560" w:lineRule="auto"/>
        <w:ind w:firstLine="480"/>
        <w:rPr>
          <w:rFonts w:ascii="宋体" w:hAnsi="宋体" w:eastAsia="宋体" w:cs="宋体"/>
          <w:color w:val="auto"/>
          <w:sz w:val="24"/>
        </w:rPr>
      </w:pPr>
      <w:r>
        <w:rPr>
          <w:rFonts w:ascii="宋体" w:hAnsi="宋体" w:eastAsia="宋体" w:cs="宋体"/>
          <w:color w:val="auto"/>
          <w:sz w:val="24"/>
        </w:rPr>
        <w:t>13.2特殊情况下，采购人可于响应性文件有效期满之前书面要求供应商同意延长有效期，供应商应在采购人规定的期限内以书面形式予以答复。供应商答复不明确或逾期未答复的，均视为拒绝上述要求。</w:t>
      </w:r>
    </w:p>
    <w:p>
      <w:pPr>
        <w:spacing w:line="560" w:lineRule="auto"/>
        <w:ind w:firstLine="482"/>
        <w:rPr>
          <w:rFonts w:ascii="宋体" w:hAnsi="宋体" w:eastAsia="宋体" w:cs="宋体"/>
          <w:b/>
          <w:color w:val="auto"/>
          <w:sz w:val="24"/>
        </w:rPr>
      </w:pPr>
      <w:r>
        <w:rPr>
          <w:rFonts w:ascii="宋体" w:hAnsi="宋体" w:eastAsia="宋体" w:cs="宋体"/>
          <w:b/>
          <w:color w:val="auto"/>
          <w:sz w:val="24"/>
        </w:rPr>
        <w:t>14.响应性文件的签署、盖章</w:t>
      </w:r>
    </w:p>
    <w:p>
      <w:pPr>
        <w:spacing w:line="560" w:lineRule="auto"/>
        <w:ind w:firstLine="480"/>
        <w:rPr>
          <w:rFonts w:ascii="宋体" w:hAnsi="宋体" w:eastAsia="宋体" w:cs="宋体"/>
          <w:color w:val="auto"/>
          <w:sz w:val="24"/>
        </w:rPr>
      </w:pPr>
      <w:r>
        <w:rPr>
          <w:rFonts w:ascii="宋体" w:hAnsi="宋体" w:eastAsia="宋体" w:cs="宋体"/>
          <w:color w:val="auto"/>
          <w:sz w:val="24"/>
        </w:rPr>
        <w:t>14.1响应性文件中凡是要求签署和加盖公章处均须由供应商的法定代表人或其委托代理人签字并加盖供应商公章。本竞争性磋商文件所表述（指定）的公章是指法人（供应商）行政公章，不包括专用章。</w:t>
      </w:r>
    </w:p>
    <w:p>
      <w:pPr>
        <w:spacing w:line="560" w:lineRule="auto"/>
        <w:ind w:firstLine="480"/>
        <w:rPr>
          <w:rFonts w:ascii="宋体" w:hAnsi="宋体" w:eastAsia="宋体" w:cs="宋体"/>
          <w:color w:val="auto"/>
          <w:sz w:val="24"/>
        </w:rPr>
      </w:pPr>
      <w:r>
        <w:rPr>
          <w:rFonts w:ascii="宋体" w:hAnsi="宋体" w:eastAsia="宋体" w:cs="宋体"/>
          <w:color w:val="auto"/>
          <w:sz w:val="24"/>
        </w:rPr>
        <w:t>14.2响应性文件应无涂改和行间插字，除非这些改动是为改正供应商造成的必须修改的错误进行的。有改动时，修改处应由供应商代表签署证明或加盖公章，但非供应商出具的材料，供应商改动无效。</w:t>
      </w:r>
    </w:p>
    <w:p>
      <w:pPr>
        <w:spacing w:line="560" w:lineRule="auto"/>
        <w:ind w:firstLine="480"/>
        <w:rPr>
          <w:rFonts w:ascii="宋体" w:hAnsi="宋体" w:eastAsia="宋体" w:cs="宋体"/>
          <w:color w:val="auto"/>
          <w:sz w:val="24"/>
        </w:rPr>
      </w:pPr>
      <w:r>
        <w:rPr>
          <w:rFonts w:ascii="宋体" w:hAnsi="宋体" w:eastAsia="宋体" w:cs="宋体"/>
          <w:color w:val="auto"/>
          <w:sz w:val="24"/>
        </w:rPr>
        <w:t>14.3供应商提交的资料应证明其满足竞争性磋商文件要求，该文件可以是文字资料、图纸和数据等详细描述的资料。</w:t>
      </w:r>
    </w:p>
    <w:p>
      <w:pPr>
        <w:spacing w:line="360" w:lineRule="auto"/>
        <w:ind w:firstLine="550"/>
        <w:rPr>
          <w:color w:val="auto"/>
        </w:rPr>
      </w:pPr>
      <w:r>
        <w:rPr>
          <w:rFonts w:hint="eastAsia" w:ascii="宋体" w:hAnsi="宋体" w:eastAsia="宋体" w:cs="宋体"/>
          <w:color w:val="auto"/>
          <w:sz w:val="24"/>
        </w:rPr>
        <w:t>15</w:t>
      </w:r>
      <w:r>
        <w:rPr>
          <w:rFonts w:hint="eastAsia" w:ascii="宋体" w:hAnsi="宋体" w:cs="宋体"/>
          <w:color w:val="auto"/>
          <w:sz w:val="24"/>
        </w:rPr>
        <w:t>电子投标文件制作，见周口市公共资源交易中心网站下载中心版块《投标单位-电子投标文件视频制作手册》的相关规定。</w:t>
      </w:r>
    </w:p>
    <w:p>
      <w:pPr>
        <w:pStyle w:val="13"/>
        <w:ind w:firstLine="210"/>
        <w:rPr>
          <w:color w:val="auto"/>
        </w:rPr>
      </w:pPr>
    </w:p>
    <w:p>
      <w:pPr>
        <w:tabs>
          <w:tab w:val="left" w:pos="720"/>
        </w:tabs>
        <w:spacing w:line="720" w:lineRule="auto"/>
        <w:ind w:firstLine="2891" w:firstLineChars="1200"/>
        <w:rPr>
          <w:rFonts w:ascii="宋体" w:hAnsi="宋体" w:eastAsia="宋体" w:cs="宋体"/>
          <w:b/>
          <w:color w:val="auto"/>
          <w:sz w:val="24"/>
        </w:rPr>
      </w:pPr>
      <w:r>
        <w:rPr>
          <w:rFonts w:hint="eastAsia" w:ascii="宋体" w:hAnsi="宋体" w:eastAsia="宋体" w:cs="宋体"/>
          <w:b/>
          <w:color w:val="auto"/>
          <w:sz w:val="24"/>
        </w:rPr>
        <w:t>四、</w:t>
      </w:r>
      <w:r>
        <w:rPr>
          <w:rFonts w:ascii="宋体" w:hAnsi="宋体" w:eastAsia="宋体" w:cs="宋体"/>
          <w:b/>
          <w:color w:val="auto"/>
          <w:sz w:val="24"/>
        </w:rPr>
        <w:t>响应性文件的递交</w:t>
      </w:r>
    </w:p>
    <w:p>
      <w:pPr>
        <w:spacing w:line="560" w:lineRule="auto"/>
        <w:ind w:firstLine="480"/>
        <w:rPr>
          <w:rFonts w:ascii="宋体" w:hAnsi="宋体" w:eastAsia="宋体" w:cs="宋体"/>
          <w:color w:val="auto"/>
          <w:sz w:val="24"/>
        </w:rPr>
      </w:pPr>
      <w:r>
        <w:rPr>
          <w:rFonts w:hint="eastAsia" w:ascii="宋体" w:hAnsi="宋体" w:eastAsia="宋体" w:cs="宋体"/>
          <w:color w:val="auto"/>
          <w:sz w:val="24"/>
        </w:rPr>
        <w:t>加密的电子磋商响应文件，应在磋商截止时间前通过周口市公共资源交易中心会员系统上传；本项目实行网上远程开标，未加密的电子响应文件和纸质响应文件均不再提交。在解密投标响应开始时30分钟内进行解密，超时视为放弃递交响应文件。</w:t>
      </w:r>
    </w:p>
    <w:p>
      <w:pPr>
        <w:spacing w:line="560" w:lineRule="auto"/>
        <w:ind w:firstLine="480"/>
        <w:rPr>
          <w:rFonts w:ascii="宋体" w:hAnsi="宋体" w:eastAsia="宋体" w:cs="宋体"/>
          <w:color w:val="auto"/>
          <w:sz w:val="24"/>
        </w:rPr>
      </w:pPr>
      <w:r>
        <w:rPr>
          <w:rFonts w:hint="eastAsia" w:ascii="宋体" w:hAnsi="宋体" w:eastAsia="宋体" w:cs="宋体"/>
          <w:color w:val="auto"/>
          <w:sz w:val="24"/>
        </w:rPr>
        <w:t>注：加密的电子投标文件的递交，见周口市公共资源交易中心网站下载中心版块《投标单位-电子投标文件视频制作手册》的相关规定。如未在招标文件规定的投标时间截止前上传网上响应文件，投标无效。</w:t>
      </w:r>
    </w:p>
    <w:p>
      <w:pPr>
        <w:spacing w:line="560" w:lineRule="auto"/>
        <w:ind w:firstLine="480"/>
        <w:rPr>
          <w:rFonts w:ascii="宋体" w:hAnsi="宋体" w:eastAsia="宋体" w:cs="宋体"/>
          <w:color w:val="auto"/>
          <w:sz w:val="24"/>
        </w:rPr>
      </w:pPr>
      <w:r>
        <w:rPr>
          <w:rFonts w:hint="eastAsia" w:ascii="宋体" w:hAnsi="宋体" w:eastAsia="宋体" w:cs="宋体"/>
          <w:color w:val="auto"/>
          <w:sz w:val="24"/>
        </w:rPr>
        <w:t>供应商须使用单位CA证书进行电子响应文件远程解密，详见周口市公共资源电子交易中心网站（网址：http://jyzx.zhoukou.gov.cn）办事指南《不见面开标远程在线解密会员端操作手册操作指南》。</w:t>
      </w:r>
    </w:p>
    <w:p>
      <w:pPr>
        <w:spacing w:line="560" w:lineRule="auto"/>
        <w:rPr>
          <w:rFonts w:ascii="宋体" w:hAnsi="宋体" w:eastAsia="宋体" w:cs="宋体"/>
          <w:b/>
          <w:color w:val="auto"/>
          <w:sz w:val="24"/>
        </w:rPr>
      </w:pPr>
      <w:r>
        <w:rPr>
          <w:rFonts w:ascii="宋体" w:hAnsi="宋体" w:eastAsia="宋体" w:cs="宋体"/>
          <w:b/>
          <w:color w:val="auto"/>
          <w:sz w:val="24"/>
        </w:rPr>
        <w:t>16.响应性文件的递交</w:t>
      </w:r>
    </w:p>
    <w:p>
      <w:pPr>
        <w:spacing w:line="560" w:lineRule="auto"/>
        <w:ind w:firstLine="480"/>
        <w:rPr>
          <w:rFonts w:ascii="宋体" w:hAnsi="宋体" w:eastAsia="宋体" w:cs="宋体"/>
          <w:color w:val="auto"/>
          <w:sz w:val="24"/>
        </w:rPr>
      </w:pPr>
      <w:r>
        <w:rPr>
          <w:rFonts w:ascii="宋体" w:hAnsi="宋体" w:eastAsia="宋体" w:cs="宋体"/>
          <w:color w:val="auto"/>
          <w:sz w:val="24"/>
        </w:rPr>
        <w:t>16.1供应商应在竞争性磋商邀请函中规定的截止日期和时间前，将响应性文件在会员系统成功上传，递交（接收）地点为竞争性磋商邀请函中规定的地址。</w:t>
      </w:r>
    </w:p>
    <w:p>
      <w:pPr>
        <w:spacing w:line="560" w:lineRule="auto"/>
        <w:ind w:firstLine="480"/>
        <w:rPr>
          <w:rFonts w:ascii="宋体" w:hAnsi="宋体" w:eastAsia="宋体" w:cs="宋体"/>
          <w:color w:val="auto"/>
          <w:sz w:val="24"/>
        </w:rPr>
      </w:pPr>
      <w:r>
        <w:rPr>
          <w:rFonts w:ascii="宋体" w:hAnsi="宋体" w:eastAsia="宋体" w:cs="宋体"/>
          <w:color w:val="auto"/>
          <w:sz w:val="24"/>
        </w:rPr>
        <w:t xml:space="preserve">16.2若采购人推迟了响应性文件接收截止时间，采购人和供应商受响应性文件接收截止时间制约的所有权利和义务均应以新的截止时间为准。 </w:t>
      </w:r>
    </w:p>
    <w:p>
      <w:pPr>
        <w:spacing w:line="560" w:lineRule="auto"/>
        <w:ind w:firstLine="482"/>
        <w:rPr>
          <w:rFonts w:ascii="宋体" w:hAnsi="宋体" w:eastAsia="宋体" w:cs="宋体"/>
          <w:b/>
          <w:color w:val="auto"/>
          <w:sz w:val="24"/>
        </w:rPr>
      </w:pPr>
      <w:r>
        <w:rPr>
          <w:rFonts w:ascii="宋体" w:hAnsi="宋体" w:eastAsia="宋体" w:cs="宋体"/>
          <w:b/>
          <w:color w:val="auto"/>
          <w:sz w:val="24"/>
        </w:rPr>
        <w:t>17.响应性文件的修改和撤回</w:t>
      </w:r>
    </w:p>
    <w:p>
      <w:pPr>
        <w:spacing w:line="560" w:lineRule="auto"/>
        <w:ind w:left="279" w:firstLine="240"/>
        <w:rPr>
          <w:rFonts w:ascii="宋体" w:hAnsi="宋体" w:eastAsia="宋体" w:cs="宋体"/>
          <w:b/>
          <w:color w:val="auto"/>
          <w:sz w:val="24"/>
        </w:rPr>
      </w:pPr>
      <w:r>
        <w:rPr>
          <w:rFonts w:ascii="宋体" w:hAnsi="宋体" w:eastAsia="宋体" w:cs="宋体"/>
          <w:color w:val="auto"/>
          <w:sz w:val="24"/>
        </w:rPr>
        <w:t>17.1供应商在提交响应性文件截止时间前，可以对已上传的响应文件进行撤回补充、修改或撤回，补充、修改，之后进行再次上传，再次上传内容作为响应性文件的组成部分。</w:t>
      </w:r>
    </w:p>
    <w:p>
      <w:pPr>
        <w:spacing w:line="560" w:lineRule="auto"/>
        <w:ind w:firstLine="480"/>
        <w:rPr>
          <w:rFonts w:ascii="宋体" w:hAnsi="宋体" w:eastAsia="宋体" w:cs="宋体"/>
          <w:color w:val="auto"/>
          <w:sz w:val="24"/>
        </w:rPr>
      </w:pPr>
      <w:r>
        <w:rPr>
          <w:rFonts w:ascii="宋体" w:hAnsi="宋体" w:eastAsia="宋体" w:cs="宋体"/>
          <w:color w:val="auto"/>
          <w:sz w:val="24"/>
        </w:rPr>
        <w:t xml:space="preserve">17.2响应性文件的补充、修改文件应按照本竞争性磋商文件有关规定进行密封、签署，修改后的加密的电子投标文件须在投标截止时间前成功上传。 </w:t>
      </w:r>
    </w:p>
    <w:p>
      <w:pPr>
        <w:spacing w:line="560" w:lineRule="auto"/>
        <w:ind w:firstLine="480"/>
        <w:rPr>
          <w:rFonts w:ascii="宋体" w:hAnsi="宋体" w:eastAsia="宋体" w:cs="宋体"/>
          <w:color w:val="auto"/>
          <w:sz w:val="24"/>
        </w:rPr>
      </w:pPr>
      <w:r>
        <w:rPr>
          <w:rFonts w:ascii="宋体" w:hAnsi="宋体" w:eastAsia="宋体" w:cs="宋体"/>
          <w:color w:val="auto"/>
          <w:sz w:val="24"/>
        </w:rPr>
        <w:t>17.3供应商在响应性文件接收截止时间后不得修改、撤回响应性文件。供应商在响应性文件接收截止时间后修改响应性文件的，将被拒绝接受。</w:t>
      </w:r>
    </w:p>
    <w:p>
      <w:pPr>
        <w:spacing w:line="560" w:lineRule="auto"/>
        <w:ind w:firstLine="480"/>
        <w:rPr>
          <w:rFonts w:ascii="宋体" w:hAnsi="宋体" w:eastAsia="宋体" w:cs="宋体"/>
          <w:color w:val="auto"/>
          <w:sz w:val="24"/>
        </w:rPr>
      </w:pPr>
      <w:r>
        <w:rPr>
          <w:rFonts w:ascii="宋体" w:hAnsi="宋体" w:eastAsia="宋体" w:cs="宋体"/>
          <w:color w:val="auto"/>
          <w:sz w:val="24"/>
        </w:rPr>
        <w:t>17.4供应商有下列情形之一的，采购人将拒绝接受其响应性文件：</w:t>
      </w:r>
    </w:p>
    <w:p>
      <w:pPr>
        <w:spacing w:line="560" w:lineRule="auto"/>
        <w:ind w:firstLine="480"/>
        <w:rPr>
          <w:rFonts w:ascii="宋体" w:hAnsi="宋体" w:eastAsia="宋体" w:cs="宋体"/>
          <w:color w:val="auto"/>
          <w:sz w:val="24"/>
        </w:rPr>
      </w:pPr>
      <w:r>
        <w:rPr>
          <w:rFonts w:ascii="宋体" w:hAnsi="宋体" w:eastAsia="宋体" w:cs="宋体"/>
          <w:color w:val="auto"/>
          <w:sz w:val="24"/>
        </w:rPr>
        <w:t>17.4.1在竞争性磋商文件规定的响应性文件接收截止时间之后递交响应性文件的；</w:t>
      </w:r>
    </w:p>
    <w:p>
      <w:pPr>
        <w:spacing w:line="560" w:lineRule="auto"/>
        <w:ind w:firstLine="480"/>
        <w:rPr>
          <w:rFonts w:ascii="宋体" w:hAnsi="宋体" w:eastAsia="宋体" w:cs="宋体"/>
          <w:color w:val="auto"/>
          <w:sz w:val="24"/>
        </w:rPr>
      </w:pPr>
      <w:r>
        <w:rPr>
          <w:rFonts w:ascii="宋体" w:hAnsi="宋体" w:eastAsia="宋体" w:cs="宋体"/>
          <w:color w:val="auto"/>
          <w:sz w:val="24"/>
        </w:rPr>
        <w:t>17.4.2响应性文件未按竞争性磋商文件规定密封、签署、盖章的；</w:t>
      </w:r>
    </w:p>
    <w:p>
      <w:pPr>
        <w:spacing w:line="560" w:lineRule="auto"/>
        <w:ind w:firstLine="480"/>
        <w:rPr>
          <w:rFonts w:ascii="宋体" w:hAnsi="宋体" w:eastAsia="宋体" w:cs="宋体"/>
          <w:b/>
          <w:color w:val="auto"/>
          <w:sz w:val="24"/>
        </w:rPr>
      </w:pPr>
      <w:r>
        <w:rPr>
          <w:rFonts w:ascii="宋体" w:hAnsi="宋体" w:eastAsia="宋体" w:cs="宋体"/>
          <w:color w:val="auto"/>
          <w:sz w:val="24"/>
        </w:rPr>
        <w:t>17.4.3一个供应商不止递交一套响应性文件的。</w:t>
      </w:r>
    </w:p>
    <w:p>
      <w:pPr>
        <w:spacing w:line="720" w:lineRule="auto"/>
        <w:jc w:val="center"/>
        <w:rPr>
          <w:rFonts w:ascii="宋体" w:hAnsi="宋体" w:eastAsia="宋体" w:cs="宋体"/>
          <w:b/>
          <w:color w:val="auto"/>
          <w:sz w:val="24"/>
        </w:rPr>
      </w:pPr>
      <w:r>
        <w:rPr>
          <w:rFonts w:ascii="宋体" w:hAnsi="宋体" w:eastAsia="宋体" w:cs="宋体"/>
          <w:b/>
          <w:color w:val="auto"/>
          <w:sz w:val="24"/>
        </w:rPr>
        <w:t>五、竞争性磋商</w:t>
      </w:r>
    </w:p>
    <w:p>
      <w:pPr>
        <w:spacing w:line="560" w:lineRule="auto"/>
        <w:ind w:firstLine="482"/>
        <w:rPr>
          <w:rFonts w:ascii="宋体" w:hAnsi="宋体" w:eastAsia="宋体" w:cs="宋体"/>
          <w:b/>
          <w:color w:val="auto"/>
          <w:sz w:val="24"/>
        </w:rPr>
      </w:pPr>
      <w:r>
        <w:rPr>
          <w:rFonts w:ascii="宋体" w:hAnsi="宋体" w:eastAsia="宋体" w:cs="宋体"/>
          <w:b/>
          <w:color w:val="auto"/>
          <w:sz w:val="24"/>
        </w:rPr>
        <w:t>18.组建竞争性磋商小组</w:t>
      </w:r>
    </w:p>
    <w:p>
      <w:pPr>
        <w:spacing w:line="560" w:lineRule="auto"/>
        <w:ind w:firstLine="480"/>
        <w:rPr>
          <w:rFonts w:ascii="宋体" w:hAnsi="宋体" w:eastAsia="宋体" w:cs="宋体"/>
          <w:color w:val="auto"/>
          <w:sz w:val="24"/>
        </w:rPr>
      </w:pPr>
      <w:r>
        <w:rPr>
          <w:rFonts w:ascii="宋体" w:hAnsi="宋体" w:eastAsia="宋体" w:cs="宋体"/>
          <w:color w:val="auto"/>
          <w:sz w:val="24"/>
        </w:rPr>
        <w:t>18.1采购人根据采购项目的特点依法组建竞争性磋商小组。</w:t>
      </w:r>
    </w:p>
    <w:p>
      <w:pPr>
        <w:spacing w:line="560" w:lineRule="auto"/>
        <w:ind w:firstLine="480"/>
        <w:rPr>
          <w:rFonts w:ascii="宋体" w:hAnsi="宋体" w:eastAsia="宋体" w:cs="宋体"/>
          <w:color w:val="auto"/>
          <w:sz w:val="24"/>
        </w:rPr>
      </w:pPr>
      <w:r>
        <w:rPr>
          <w:rFonts w:ascii="宋体" w:hAnsi="宋体" w:eastAsia="宋体" w:cs="宋体"/>
          <w:color w:val="auto"/>
          <w:sz w:val="24"/>
        </w:rPr>
        <w:t>18.2竞争性磋商小组确认竞争性磋商文件，并负责具体评审事务，根据有关法律法规和竞争性磋商文件规定的评审程序，按照评审方法及评审标准独立履行竞争性磋商小组职责。</w:t>
      </w:r>
    </w:p>
    <w:p>
      <w:pPr>
        <w:spacing w:line="560" w:lineRule="auto"/>
        <w:ind w:firstLine="482"/>
        <w:rPr>
          <w:rFonts w:ascii="宋体" w:hAnsi="宋体" w:eastAsia="宋体" w:cs="宋体"/>
          <w:b/>
          <w:color w:val="auto"/>
          <w:sz w:val="24"/>
        </w:rPr>
      </w:pPr>
      <w:r>
        <w:rPr>
          <w:rFonts w:ascii="宋体" w:hAnsi="宋体" w:eastAsia="宋体" w:cs="宋体"/>
          <w:b/>
          <w:color w:val="auto"/>
          <w:sz w:val="24"/>
        </w:rPr>
        <w:t>19.资格性和符合性审查</w:t>
      </w:r>
    </w:p>
    <w:p>
      <w:pPr>
        <w:spacing w:line="560" w:lineRule="auto"/>
        <w:ind w:firstLine="480"/>
        <w:rPr>
          <w:rFonts w:ascii="宋体" w:hAnsi="宋体" w:eastAsia="宋体" w:cs="宋体"/>
          <w:color w:val="auto"/>
          <w:sz w:val="24"/>
        </w:rPr>
      </w:pPr>
      <w:r>
        <w:rPr>
          <w:rFonts w:ascii="宋体" w:hAnsi="宋体" w:eastAsia="宋体" w:cs="宋体"/>
          <w:color w:val="auto"/>
          <w:sz w:val="24"/>
        </w:rPr>
        <w:t>19.1资格性检查。竞争性磋商小组依据有关法律法规和竞争性磋商文件的规定，对响应性文件中资质证明等进行审查，审查每个供应商提交的资质证明材料是否齐全、完整、合法、有效。不同投标人在同一台计算机上制作的投标文件为投标文件无效。</w:t>
      </w:r>
    </w:p>
    <w:p>
      <w:pPr>
        <w:spacing w:line="560" w:lineRule="auto"/>
        <w:ind w:firstLine="480"/>
        <w:rPr>
          <w:rFonts w:ascii="宋体" w:hAnsi="宋体" w:eastAsia="宋体" w:cs="宋体"/>
          <w:b/>
          <w:color w:val="auto"/>
          <w:sz w:val="24"/>
        </w:rPr>
      </w:pPr>
      <w:r>
        <w:rPr>
          <w:rFonts w:ascii="宋体" w:hAnsi="宋体" w:eastAsia="宋体" w:cs="宋体"/>
          <w:color w:val="auto"/>
          <w:sz w:val="24"/>
        </w:rPr>
        <w:t>19.1.1资格性审查的内容包括：竞争性磋商文件规定的供应商资格条件；</w:t>
      </w:r>
    </w:p>
    <w:p>
      <w:pPr>
        <w:spacing w:line="560" w:lineRule="auto"/>
        <w:ind w:firstLine="480"/>
        <w:rPr>
          <w:rFonts w:ascii="宋体" w:hAnsi="宋体" w:eastAsia="宋体" w:cs="宋体"/>
          <w:color w:val="auto"/>
          <w:sz w:val="24"/>
        </w:rPr>
      </w:pPr>
      <w:r>
        <w:rPr>
          <w:rFonts w:ascii="宋体" w:hAnsi="宋体" w:eastAsia="宋体" w:cs="宋体"/>
          <w:color w:val="auto"/>
          <w:sz w:val="24"/>
        </w:rPr>
        <w:t>19.2符合性检查。对资格性检查合格的供应商的响应性文件，依据竞争性磋商文件的规定，从响应性文件的有效性、完整性和对竞争性磋商文件的响应程度，审查响应性文件是否对竞争性磋商文件的实质性要求作出了响应。</w:t>
      </w:r>
    </w:p>
    <w:p>
      <w:pPr>
        <w:spacing w:line="560" w:lineRule="auto"/>
        <w:ind w:firstLine="480"/>
        <w:rPr>
          <w:rFonts w:ascii="宋体" w:hAnsi="宋体" w:eastAsia="宋体" w:cs="宋体"/>
          <w:color w:val="auto"/>
          <w:sz w:val="24"/>
        </w:rPr>
      </w:pPr>
      <w:r>
        <w:rPr>
          <w:rFonts w:ascii="宋体" w:hAnsi="宋体" w:eastAsia="宋体" w:cs="宋体"/>
          <w:color w:val="auto"/>
          <w:sz w:val="24"/>
        </w:rPr>
        <w:t>19.2.1符合性审查的内容包括：</w:t>
      </w:r>
    </w:p>
    <w:p>
      <w:pPr>
        <w:spacing w:line="560" w:lineRule="auto"/>
        <w:ind w:firstLine="480"/>
        <w:rPr>
          <w:rFonts w:ascii="宋体" w:hAnsi="宋体" w:eastAsia="宋体" w:cs="宋体"/>
          <w:color w:val="auto"/>
          <w:sz w:val="24"/>
        </w:rPr>
      </w:pPr>
      <w:r>
        <w:rPr>
          <w:rFonts w:ascii="宋体" w:hAnsi="宋体" w:eastAsia="宋体" w:cs="宋体"/>
          <w:color w:val="auto"/>
          <w:sz w:val="24"/>
        </w:rPr>
        <w:t>（1）响应性文件的有效性(签署情况等)；</w:t>
      </w:r>
    </w:p>
    <w:p>
      <w:pPr>
        <w:spacing w:line="560" w:lineRule="auto"/>
        <w:ind w:firstLine="480"/>
        <w:rPr>
          <w:rFonts w:ascii="宋体" w:hAnsi="宋体" w:eastAsia="宋体" w:cs="宋体"/>
          <w:color w:val="auto"/>
          <w:sz w:val="24"/>
        </w:rPr>
      </w:pPr>
      <w:r>
        <w:rPr>
          <w:rFonts w:ascii="宋体" w:hAnsi="宋体" w:eastAsia="宋体" w:cs="宋体"/>
          <w:color w:val="auto"/>
          <w:sz w:val="24"/>
        </w:rPr>
        <w:t>（2）响应性文件的完整性；</w:t>
      </w:r>
    </w:p>
    <w:p>
      <w:pPr>
        <w:spacing w:line="560" w:lineRule="auto"/>
        <w:ind w:firstLine="480"/>
        <w:rPr>
          <w:rFonts w:ascii="宋体" w:hAnsi="宋体" w:eastAsia="宋体" w:cs="宋体"/>
          <w:color w:val="auto"/>
          <w:sz w:val="24"/>
        </w:rPr>
      </w:pPr>
      <w:r>
        <w:rPr>
          <w:rFonts w:ascii="宋体" w:hAnsi="宋体" w:eastAsia="宋体" w:cs="宋体"/>
          <w:color w:val="auto"/>
          <w:sz w:val="24"/>
        </w:rPr>
        <w:t xml:space="preserve">（3）对竞争性磋商文件的响应程度（是否存在重大负偏离等）。 </w:t>
      </w:r>
    </w:p>
    <w:p>
      <w:pPr>
        <w:spacing w:line="560" w:lineRule="auto"/>
        <w:ind w:firstLine="480"/>
        <w:rPr>
          <w:rFonts w:ascii="宋体" w:hAnsi="宋体" w:eastAsia="宋体" w:cs="宋体"/>
          <w:color w:val="auto"/>
          <w:sz w:val="24"/>
        </w:rPr>
      </w:pPr>
      <w:r>
        <w:rPr>
          <w:rFonts w:ascii="宋体" w:hAnsi="宋体" w:eastAsia="宋体" w:cs="宋体"/>
          <w:color w:val="auto"/>
          <w:sz w:val="24"/>
          <w:u w:val="single"/>
        </w:rPr>
        <w:t>以上资格性审查和符合性审查的内容只要有一条不满足，则响应性文件无效，将不进入竞争性磋商程序。</w:t>
      </w:r>
    </w:p>
    <w:p>
      <w:pPr>
        <w:spacing w:line="560" w:lineRule="auto"/>
        <w:ind w:firstLine="480"/>
        <w:rPr>
          <w:rFonts w:ascii="宋体" w:hAnsi="宋体" w:eastAsia="宋体" w:cs="宋体"/>
          <w:color w:val="auto"/>
          <w:sz w:val="24"/>
        </w:rPr>
      </w:pPr>
      <w:r>
        <w:rPr>
          <w:rFonts w:ascii="宋体" w:hAnsi="宋体" w:eastAsia="宋体" w:cs="宋体"/>
          <w:color w:val="auto"/>
          <w:sz w:val="24"/>
        </w:rPr>
        <w:t>注意事项：资格性、符合性证明材料见竞争性磋商文件第四章规定。</w:t>
      </w:r>
    </w:p>
    <w:p>
      <w:pPr>
        <w:spacing w:line="560" w:lineRule="auto"/>
        <w:ind w:firstLine="480"/>
        <w:rPr>
          <w:rFonts w:ascii="宋体" w:hAnsi="宋体" w:eastAsia="宋体" w:cs="宋体"/>
          <w:color w:val="auto"/>
          <w:sz w:val="24"/>
        </w:rPr>
      </w:pPr>
      <w:r>
        <w:rPr>
          <w:rFonts w:ascii="宋体" w:hAnsi="宋体" w:eastAsia="宋体" w:cs="宋体"/>
          <w:color w:val="auto"/>
          <w:sz w:val="24"/>
        </w:rPr>
        <w:t>19.3实质性响应的响应性文件是指与竞争性磋商文件的全部条款、条件和规格相符，没有重大偏离；重大负偏离的认定须经竞争性磋商小组三分之二以上同意。</w:t>
      </w:r>
    </w:p>
    <w:p>
      <w:pPr>
        <w:spacing w:line="560" w:lineRule="auto"/>
        <w:ind w:firstLine="480"/>
        <w:rPr>
          <w:rFonts w:ascii="宋体" w:hAnsi="宋体" w:eastAsia="宋体" w:cs="宋体"/>
          <w:color w:val="auto"/>
          <w:sz w:val="24"/>
        </w:rPr>
      </w:pPr>
      <w:r>
        <w:rPr>
          <w:rFonts w:ascii="宋体" w:hAnsi="宋体" w:eastAsia="宋体" w:cs="宋体"/>
          <w:color w:val="auto"/>
          <w:sz w:val="24"/>
        </w:rPr>
        <w:t>19.4重大偏离系指供应商资格条件、采购需求等明显不能满足竞争性磋商文件的要求，或者实质上与竞争性磋商文件不一致，而且限制了采购单位的权利或供应商的义务，纠正这些偏离将对其他实质性响应要求的供应商的竞争地位产生不公正的影响；</w:t>
      </w:r>
    </w:p>
    <w:p>
      <w:pPr>
        <w:spacing w:line="560" w:lineRule="auto"/>
        <w:ind w:firstLine="480"/>
        <w:rPr>
          <w:rFonts w:ascii="宋体" w:hAnsi="宋体" w:eastAsia="宋体" w:cs="宋体"/>
          <w:color w:val="auto"/>
          <w:sz w:val="24"/>
        </w:rPr>
      </w:pPr>
      <w:r>
        <w:rPr>
          <w:rFonts w:ascii="宋体" w:hAnsi="宋体" w:eastAsia="宋体" w:cs="宋体"/>
          <w:color w:val="auto"/>
          <w:sz w:val="24"/>
        </w:rPr>
        <w:t>19.5如果响应性文件实质上没有响应竞争性磋商文件的要求，将作为无效处理，供应商不得再对响应性文件进行任何修正从而使其响应性文件成为实质上响应的文件；</w:t>
      </w:r>
    </w:p>
    <w:p>
      <w:pPr>
        <w:spacing w:line="560" w:lineRule="auto"/>
        <w:ind w:firstLine="480"/>
        <w:rPr>
          <w:rFonts w:ascii="宋体" w:hAnsi="宋体" w:eastAsia="宋体" w:cs="宋体"/>
          <w:color w:val="auto"/>
          <w:sz w:val="24"/>
        </w:rPr>
      </w:pPr>
      <w:r>
        <w:rPr>
          <w:rFonts w:ascii="宋体" w:hAnsi="宋体" w:eastAsia="宋体" w:cs="宋体"/>
          <w:color w:val="auto"/>
          <w:sz w:val="24"/>
        </w:rPr>
        <w:t>19.6竞争性磋商小组审定响应性文件的响应性只根据响应性文件本身的内容而不寻求外部证据。</w:t>
      </w:r>
    </w:p>
    <w:p>
      <w:pPr>
        <w:spacing w:line="560" w:lineRule="auto"/>
        <w:ind w:firstLine="480"/>
        <w:rPr>
          <w:rFonts w:ascii="宋体" w:hAnsi="宋体" w:eastAsia="宋体" w:cs="宋体"/>
          <w:color w:val="auto"/>
          <w:sz w:val="24"/>
        </w:rPr>
      </w:pPr>
      <w:r>
        <w:rPr>
          <w:rFonts w:ascii="宋体" w:hAnsi="宋体" w:eastAsia="宋体" w:cs="宋体"/>
          <w:color w:val="auto"/>
          <w:sz w:val="24"/>
        </w:rPr>
        <w:t>19.7凡有下列情况之一的，其响应性文件也被视为未实质性响应竞争性磋商文件，按照无效处理（不再参加竞争性磋商）：</w:t>
      </w:r>
    </w:p>
    <w:p>
      <w:pPr>
        <w:spacing w:line="560" w:lineRule="auto"/>
        <w:ind w:firstLine="480"/>
        <w:rPr>
          <w:rFonts w:ascii="宋体" w:hAnsi="宋体" w:eastAsia="宋体" w:cs="宋体"/>
          <w:color w:val="auto"/>
          <w:sz w:val="24"/>
        </w:rPr>
      </w:pPr>
      <w:r>
        <w:rPr>
          <w:rFonts w:ascii="宋体" w:hAnsi="宋体" w:eastAsia="宋体" w:cs="宋体"/>
          <w:color w:val="auto"/>
          <w:sz w:val="24"/>
        </w:rPr>
        <w:t>19.7.1未按竞争性磋商文件规定要求签署、盖章的；</w:t>
      </w:r>
    </w:p>
    <w:p>
      <w:pPr>
        <w:spacing w:line="560" w:lineRule="auto"/>
        <w:ind w:firstLine="480"/>
        <w:rPr>
          <w:rFonts w:ascii="宋体" w:hAnsi="宋体" w:eastAsia="宋体" w:cs="宋体"/>
          <w:color w:val="auto"/>
          <w:sz w:val="24"/>
        </w:rPr>
      </w:pPr>
      <w:r>
        <w:rPr>
          <w:rFonts w:ascii="宋体" w:hAnsi="宋体" w:eastAsia="宋体" w:cs="宋体"/>
          <w:color w:val="auto"/>
          <w:sz w:val="24"/>
        </w:rPr>
        <w:t>19.7.2资格证明文件不全的，或不符合竞争性磋商文件中规定的资格要求的；</w:t>
      </w:r>
    </w:p>
    <w:p>
      <w:pPr>
        <w:spacing w:line="560" w:lineRule="auto"/>
        <w:ind w:firstLine="480"/>
        <w:rPr>
          <w:rFonts w:ascii="宋体" w:hAnsi="宋体" w:eastAsia="宋体" w:cs="宋体"/>
          <w:color w:val="auto"/>
          <w:sz w:val="24"/>
        </w:rPr>
      </w:pPr>
      <w:r>
        <w:rPr>
          <w:rFonts w:ascii="宋体" w:hAnsi="宋体" w:eastAsia="宋体" w:cs="宋体"/>
          <w:color w:val="auto"/>
          <w:sz w:val="24"/>
        </w:rPr>
        <w:t>19.7.3供应商代表未能出具有效身份证明，或与身份不符的；</w:t>
      </w:r>
    </w:p>
    <w:p>
      <w:pPr>
        <w:spacing w:line="560" w:lineRule="auto"/>
        <w:ind w:firstLine="480"/>
        <w:rPr>
          <w:rFonts w:ascii="宋体" w:hAnsi="宋体" w:eastAsia="宋体" w:cs="宋体"/>
          <w:color w:val="auto"/>
          <w:sz w:val="24"/>
        </w:rPr>
      </w:pPr>
      <w:r>
        <w:rPr>
          <w:rFonts w:ascii="宋体" w:hAnsi="宋体" w:eastAsia="宋体" w:cs="宋体"/>
          <w:color w:val="auto"/>
          <w:sz w:val="24"/>
        </w:rPr>
        <w:t>19.7.4不符合竞争性磋商文件规定的实质性要求的；</w:t>
      </w:r>
    </w:p>
    <w:p>
      <w:pPr>
        <w:spacing w:line="560" w:lineRule="auto"/>
        <w:ind w:firstLine="480"/>
        <w:rPr>
          <w:rFonts w:ascii="宋体" w:hAnsi="宋体" w:eastAsia="宋体" w:cs="宋体"/>
          <w:color w:val="auto"/>
          <w:sz w:val="24"/>
        </w:rPr>
      </w:pPr>
      <w:r>
        <w:rPr>
          <w:rFonts w:ascii="宋体" w:hAnsi="宋体" w:eastAsia="宋体" w:cs="宋体"/>
          <w:color w:val="auto"/>
          <w:sz w:val="24"/>
        </w:rPr>
        <w:t>19.7.5响应性文件内容不齐全或内容虚假的；</w:t>
      </w:r>
    </w:p>
    <w:p>
      <w:pPr>
        <w:spacing w:line="560" w:lineRule="auto"/>
        <w:ind w:firstLine="480"/>
        <w:rPr>
          <w:rFonts w:ascii="宋体" w:hAnsi="宋体" w:eastAsia="宋体" w:cs="宋体"/>
          <w:color w:val="auto"/>
          <w:sz w:val="24"/>
        </w:rPr>
      </w:pPr>
      <w:r>
        <w:rPr>
          <w:rFonts w:ascii="宋体" w:hAnsi="宋体" w:eastAsia="宋体" w:cs="宋体"/>
          <w:color w:val="auto"/>
          <w:sz w:val="24"/>
        </w:rPr>
        <w:t>19.7.6响应性文件的实质性内容未使用中文表述；</w:t>
      </w:r>
    </w:p>
    <w:p>
      <w:pPr>
        <w:spacing w:line="560" w:lineRule="auto"/>
        <w:ind w:firstLine="480"/>
        <w:rPr>
          <w:rFonts w:ascii="宋体" w:hAnsi="宋体" w:eastAsia="宋体" w:cs="宋体"/>
          <w:color w:val="auto"/>
          <w:sz w:val="24"/>
        </w:rPr>
      </w:pPr>
      <w:r>
        <w:rPr>
          <w:rFonts w:ascii="宋体" w:hAnsi="宋体" w:eastAsia="宋体" w:cs="宋体"/>
          <w:color w:val="auto"/>
          <w:sz w:val="24"/>
        </w:rPr>
        <w:t>19.7.</w:t>
      </w:r>
      <w:r>
        <w:rPr>
          <w:rFonts w:hint="eastAsia" w:ascii="宋体" w:hAnsi="宋体" w:eastAsia="宋体" w:cs="宋体"/>
          <w:color w:val="auto"/>
          <w:sz w:val="24"/>
        </w:rPr>
        <w:t>7</w:t>
      </w:r>
      <w:r>
        <w:rPr>
          <w:rFonts w:ascii="宋体" w:hAnsi="宋体" w:eastAsia="宋体" w:cs="宋体"/>
          <w:color w:val="auto"/>
          <w:sz w:val="24"/>
        </w:rPr>
        <w:t>响应性文件的内容修改处未按规定签名或盖章的；</w:t>
      </w:r>
    </w:p>
    <w:p>
      <w:pPr>
        <w:spacing w:line="560" w:lineRule="auto"/>
        <w:ind w:firstLine="480"/>
        <w:rPr>
          <w:rFonts w:ascii="宋体" w:hAnsi="宋体" w:eastAsia="宋体" w:cs="宋体"/>
          <w:color w:val="auto"/>
          <w:sz w:val="24"/>
        </w:rPr>
      </w:pPr>
      <w:r>
        <w:rPr>
          <w:rFonts w:ascii="宋体" w:hAnsi="宋体" w:eastAsia="宋体" w:cs="宋体"/>
          <w:color w:val="auto"/>
          <w:sz w:val="24"/>
        </w:rPr>
        <w:t>19.7.</w:t>
      </w:r>
      <w:r>
        <w:rPr>
          <w:rFonts w:hint="eastAsia" w:ascii="宋体" w:hAnsi="宋体" w:eastAsia="宋体" w:cs="宋体"/>
          <w:color w:val="auto"/>
          <w:sz w:val="24"/>
        </w:rPr>
        <w:t>8</w:t>
      </w:r>
      <w:r>
        <w:rPr>
          <w:rFonts w:ascii="宋体" w:hAnsi="宋体" w:eastAsia="宋体" w:cs="宋体"/>
          <w:color w:val="auto"/>
          <w:sz w:val="24"/>
        </w:rPr>
        <w:t>违反法律、行政法规、竞争性磋商文件规定的其他情形的。</w:t>
      </w:r>
    </w:p>
    <w:p>
      <w:pPr>
        <w:spacing w:line="560" w:lineRule="auto"/>
        <w:ind w:firstLine="480"/>
        <w:rPr>
          <w:rFonts w:ascii="宋体" w:hAnsi="宋体" w:eastAsia="宋体" w:cs="宋体"/>
          <w:color w:val="auto"/>
          <w:sz w:val="24"/>
        </w:rPr>
      </w:pPr>
      <w:r>
        <w:rPr>
          <w:rFonts w:hint="eastAsia" w:ascii="宋体" w:hAnsi="宋体" w:eastAsia="宋体" w:cs="宋体"/>
          <w:color w:val="auto"/>
          <w:sz w:val="24"/>
        </w:rPr>
        <w:t>19.7.9不同供应商的电子投标（响应）文件上传计算机的网卡 MAC 地址、CPU 序列号和硬盘序列号等硬件信息相同的;</w:t>
      </w:r>
    </w:p>
    <w:p>
      <w:pPr>
        <w:spacing w:line="560" w:lineRule="auto"/>
        <w:ind w:firstLine="480"/>
        <w:rPr>
          <w:rFonts w:ascii="宋体" w:hAnsi="宋体" w:eastAsia="宋体" w:cs="宋体"/>
          <w:color w:val="auto"/>
          <w:sz w:val="24"/>
        </w:rPr>
      </w:pPr>
      <w:r>
        <w:rPr>
          <w:rFonts w:hint="eastAsia" w:ascii="宋体" w:hAnsi="宋体" w:eastAsia="宋体" w:cs="宋体"/>
          <w:color w:val="auto"/>
          <w:sz w:val="24"/>
        </w:rPr>
        <w:t>19.7.10不同供应商的投标（响应）文件由同一电子设备编制，打印、复印、加密或者上传的；</w:t>
      </w:r>
    </w:p>
    <w:p>
      <w:pPr>
        <w:spacing w:line="560" w:lineRule="auto"/>
        <w:ind w:firstLine="480"/>
        <w:rPr>
          <w:rFonts w:ascii="宋体" w:hAnsi="宋体" w:eastAsia="宋体" w:cs="宋体"/>
          <w:color w:val="auto"/>
          <w:sz w:val="24"/>
        </w:rPr>
      </w:pPr>
      <w:r>
        <w:rPr>
          <w:rFonts w:hint="eastAsia" w:ascii="宋体" w:hAnsi="宋体" w:eastAsia="宋体" w:cs="宋体"/>
          <w:color w:val="auto"/>
          <w:sz w:val="24"/>
        </w:rPr>
        <w:t>19.7.11不同供应商的投标（响应）文件由同一人送达或者分发，或者不同供应商联系人为同一人或不同联系人的联系电话一致的；</w:t>
      </w:r>
    </w:p>
    <w:p>
      <w:pPr>
        <w:spacing w:line="560" w:lineRule="auto"/>
        <w:ind w:firstLine="480"/>
        <w:rPr>
          <w:rFonts w:ascii="宋体" w:hAnsi="宋体" w:eastAsia="宋体" w:cs="宋体"/>
          <w:color w:val="auto"/>
          <w:sz w:val="24"/>
        </w:rPr>
      </w:pPr>
      <w:r>
        <w:rPr>
          <w:rFonts w:hint="eastAsia" w:ascii="宋体" w:hAnsi="宋体" w:eastAsia="宋体" w:cs="宋体"/>
          <w:color w:val="auto"/>
          <w:sz w:val="24"/>
        </w:rPr>
        <w:t>19.7.12不同供应商的投标（响应）文件的内容存在两处以上细节错误一致；</w:t>
      </w:r>
    </w:p>
    <w:p>
      <w:pPr>
        <w:spacing w:line="560" w:lineRule="auto"/>
        <w:ind w:firstLine="480"/>
        <w:rPr>
          <w:rFonts w:ascii="宋体" w:hAnsi="宋体" w:eastAsia="宋体" w:cs="宋体"/>
          <w:color w:val="auto"/>
          <w:sz w:val="24"/>
        </w:rPr>
      </w:pPr>
      <w:r>
        <w:rPr>
          <w:rFonts w:hint="eastAsia" w:ascii="宋体" w:hAnsi="宋体" w:eastAsia="宋体" w:cs="宋体"/>
          <w:color w:val="auto"/>
          <w:sz w:val="24"/>
        </w:rPr>
        <w:t>19.7.13未提供经会计师事务所或审计机构审计的财务会计报表，包括资产负债表、现金流量表、利润表、和财务情况说明书的或针对本项目所开具的资信证明的；</w:t>
      </w:r>
    </w:p>
    <w:p>
      <w:pPr>
        <w:spacing w:line="560" w:lineRule="auto"/>
        <w:ind w:firstLine="480"/>
        <w:rPr>
          <w:rFonts w:ascii="宋体" w:hAnsi="宋体" w:eastAsia="宋体" w:cs="宋体"/>
          <w:color w:val="auto"/>
          <w:sz w:val="24"/>
        </w:rPr>
      </w:pPr>
      <w:r>
        <w:rPr>
          <w:rFonts w:hint="eastAsia" w:ascii="宋体" w:hAnsi="宋体" w:eastAsia="宋体" w:cs="宋体"/>
          <w:color w:val="auto"/>
          <w:sz w:val="24"/>
        </w:rPr>
        <w:t>19.7.14不同供应商的法定代表人、委托代理人、项目经理、项目负责人等由同一个单位缴纳社会保险或者领取报酬的；</w:t>
      </w:r>
    </w:p>
    <w:p>
      <w:pPr>
        <w:spacing w:line="560" w:lineRule="auto"/>
        <w:ind w:firstLine="480"/>
        <w:rPr>
          <w:rFonts w:ascii="宋体" w:hAnsi="宋体" w:eastAsia="宋体" w:cs="宋体"/>
          <w:color w:val="auto"/>
          <w:sz w:val="24"/>
        </w:rPr>
      </w:pPr>
      <w:r>
        <w:rPr>
          <w:rFonts w:hint="eastAsia" w:ascii="宋体" w:hAnsi="宋体" w:eastAsia="宋体" w:cs="宋体"/>
          <w:color w:val="auto"/>
          <w:sz w:val="24"/>
        </w:rPr>
        <w:t>19.7.15授权委托书中法定代表人和委托代理人未在身份证扫描件正面和反面签字的；</w:t>
      </w:r>
    </w:p>
    <w:p>
      <w:pPr>
        <w:spacing w:line="360" w:lineRule="auto"/>
        <w:ind w:firstLine="480" w:firstLineChars="200"/>
        <w:rPr>
          <w:rFonts w:eastAsia="宋体"/>
          <w:color w:val="auto"/>
        </w:rPr>
      </w:pPr>
      <w:r>
        <w:rPr>
          <w:rFonts w:hint="eastAsia" w:ascii="宋体" w:hAnsi="宋体" w:cs="宋体"/>
          <w:color w:val="auto"/>
          <w:sz w:val="24"/>
        </w:rPr>
        <w:t>19.7.16</w:t>
      </w:r>
      <w:r>
        <w:rPr>
          <w:rFonts w:hint="eastAsia" w:ascii="宋体" w:hAnsi="宋体" w:eastAsia="宋体" w:cs="宋体"/>
          <w:color w:val="auto"/>
          <w:sz w:val="24"/>
        </w:rPr>
        <w:t>不同供应商投标（响应）文件中法定代表人或者负责人签字出自同一人之手。</w:t>
      </w:r>
    </w:p>
    <w:p>
      <w:pPr>
        <w:spacing w:line="560" w:lineRule="auto"/>
        <w:ind w:firstLine="480"/>
        <w:rPr>
          <w:rFonts w:ascii="宋体" w:hAnsi="宋体" w:eastAsia="宋体" w:cs="宋体"/>
          <w:color w:val="auto"/>
          <w:sz w:val="24"/>
        </w:rPr>
      </w:pPr>
      <w:r>
        <w:rPr>
          <w:rFonts w:ascii="宋体" w:hAnsi="宋体" w:eastAsia="宋体" w:cs="宋体"/>
          <w:color w:val="auto"/>
          <w:sz w:val="24"/>
        </w:rPr>
        <w:t>19.</w:t>
      </w:r>
      <w:r>
        <w:rPr>
          <w:rFonts w:hint="eastAsia" w:ascii="宋体" w:hAnsi="宋体" w:eastAsia="宋体" w:cs="宋体"/>
          <w:color w:val="auto"/>
          <w:sz w:val="24"/>
        </w:rPr>
        <w:t>8</w:t>
      </w:r>
      <w:r>
        <w:rPr>
          <w:rFonts w:ascii="宋体" w:hAnsi="宋体" w:eastAsia="宋体" w:cs="宋体"/>
          <w:color w:val="auto"/>
          <w:sz w:val="24"/>
        </w:rPr>
        <w:t>在评审过程中，竞争性磋商小组发现供应商有下列情形之一的，视为供应商相互串通，按照无效处理并依据法律、法规追究其相关责任。具体表现形式如下：</w:t>
      </w:r>
    </w:p>
    <w:p>
      <w:pPr>
        <w:spacing w:line="560" w:lineRule="auto"/>
        <w:ind w:firstLine="480"/>
        <w:rPr>
          <w:rFonts w:ascii="宋体" w:hAnsi="宋体" w:eastAsia="宋体" w:cs="宋体"/>
          <w:color w:val="auto"/>
          <w:sz w:val="24"/>
        </w:rPr>
      </w:pPr>
      <w:r>
        <w:rPr>
          <w:rFonts w:ascii="宋体" w:hAnsi="宋体" w:eastAsia="宋体" w:cs="宋体"/>
          <w:color w:val="auto"/>
          <w:sz w:val="24"/>
        </w:rPr>
        <w:t>19.8.1不同供应商的响应性文件互相混装的；</w:t>
      </w:r>
    </w:p>
    <w:p>
      <w:pPr>
        <w:spacing w:line="560" w:lineRule="auto"/>
        <w:ind w:firstLine="480"/>
        <w:rPr>
          <w:rFonts w:ascii="宋体" w:hAnsi="宋体" w:eastAsia="宋体" w:cs="宋体"/>
          <w:color w:val="auto"/>
          <w:sz w:val="24"/>
        </w:rPr>
      </w:pPr>
      <w:r>
        <w:rPr>
          <w:rFonts w:ascii="宋体" w:hAnsi="宋体" w:eastAsia="宋体" w:cs="宋体"/>
          <w:color w:val="auto"/>
          <w:sz w:val="24"/>
        </w:rPr>
        <w:t>19.8.2不同供应商授权同一人作为供应商委托代理人的；</w:t>
      </w:r>
    </w:p>
    <w:p>
      <w:pPr>
        <w:spacing w:line="560" w:lineRule="auto"/>
        <w:ind w:firstLine="480"/>
        <w:rPr>
          <w:rFonts w:ascii="宋体" w:hAnsi="宋体" w:eastAsia="宋体" w:cs="宋体"/>
          <w:color w:val="auto"/>
          <w:sz w:val="24"/>
        </w:rPr>
      </w:pPr>
      <w:r>
        <w:rPr>
          <w:rFonts w:ascii="宋体" w:hAnsi="宋体" w:eastAsia="宋体" w:cs="宋体"/>
          <w:color w:val="auto"/>
          <w:sz w:val="24"/>
        </w:rPr>
        <w:t>19.8.3不同供应商的响应性文件载明的项目管理成员为同一人的；</w:t>
      </w:r>
    </w:p>
    <w:p>
      <w:pPr>
        <w:spacing w:line="560" w:lineRule="auto"/>
        <w:ind w:firstLine="480"/>
        <w:rPr>
          <w:rFonts w:ascii="宋体" w:hAnsi="宋体" w:eastAsia="宋体" w:cs="宋体"/>
          <w:color w:val="auto"/>
          <w:sz w:val="24"/>
        </w:rPr>
      </w:pPr>
      <w:r>
        <w:rPr>
          <w:rFonts w:ascii="宋体" w:hAnsi="宋体" w:eastAsia="宋体" w:cs="宋体"/>
          <w:color w:val="auto"/>
          <w:sz w:val="24"/>
        </w:rPr>
        <w:t>19.8.4有证据证明供应商与采购人、采购代理机构或者其他供应商串通的其他情形；</w:t>
      </w:r>
    </w:p>
    <w:p>
      <w:pPr>
        <w:spacing w:line="560" w:lineRule="auto"/>
        <w:ind w:firstLine="480"/>
        <w:rPr>
          <w:rFonts w:ascii="宋体" w:hAnsi="宋体" w:eastAsia="宋体" w:cs="宋体"/>
          <w:color w:val="auto"/>
          <w:sz w:val="24"/>
        </w:rPr>
      </w:pPr>
      <w:r>
        <w:rPr>
          <w:rFonts w:ascii="宋体" w:hAnsi="宋体" w:eastAsia="宋体" w:cs="宋体"/>
          <w:color w:val="auto"/>
          <w:sz w:val="24"/>
        </w:rPr>
        <w:t>19.8.5竞争性磋商小组认定的其他串通情形。</w:t>
      </w:r>
    </w:p>
    <w:p>
      <w:pPr>
        <w:rPr>
          <w:rFonts w:ascii="宋体" w:hAnsi="宋体" w:eastAsia="宋体" w:cs="宋体"/>
          <w:color w:val="auto"/>
          <w:sz w:val="24"/>
        </w:rPr>
      </w:pPr>
    </w:p>
    <w:tbl>
      <w:tblPr>
        <w:tblStyle w:val="8"/>
        <w:tblW w:w="0" w:type="auto"/>
        <w:tblInd w:w="108" w:type="dxa"/>
        <w:tblLayout w:type="autofit"/>
        <w:tblCellMar>
          <w:top w:w="0" w:type="dxa"/>
          <w:left w:w="10" w:type="dxa"/>
          <w:bottom w:w="0" w:type="dxa"/>
          <w:right w:w="10" w:type="dxa"/>
        </w:tblCellMar>
      </w:tblPr>
      <w:tblGrid>
        <w:gridCol w:w="703"/>
        <w:gridCol w:w="2640"/>
        <w:gridCol w:w="1913"/>
        <w:gridCol w:w="819"/>
        <w:gridCol w:w="2339"/>
      </w:tblGrid>
      <w:tr>
        <w:tblPrEx>
          <w:tblCellMar>
            <w:top w:w="0" w:type="dxa"/>
            <w:left w:w="10" w:type="dxa"/>
            <w:bottom w:w="0" w:type="dxa"/>
            <w:right w:w="10" w:type="dxa"/>
          </w:tblCellMar>
        </w:tblPrEx>
        <w:trPr>
          <w:cantSplit/>
        </w:trPr>
        <w:tc>
          <w:tcPr>
            <w:tcW w:w="8414" w:type="dxa"/>
            <w:gridSpan w:val="5"/>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tabs>
                <w:tab w:val="left" w:pos="4153"/>
                <w:tab w:val="left" w:pos="8306"/>
              </w:tabs>
              <w:spacing w:line="360" w:lineRule="auto"/>
              <w:ind w:right="-10"/>
              <w:jc w:val="center"/>
              <w:rPr>
                <w:rFonts w:ascii="宋体" w:hAnsi="宋体" w:eastAsia="宋体" w:cs="宋体"/>
                <w:color w:val="auto"/>
              </w:rPr>
            </w:pPr>
            <w:r>
              <w:rPr>
                <w:rFonts w:ascii="宋体" w:hAnsi="宋体" w:eastAsia="宋体" w:cs="宋体"/>
                <w:b/>
                <w:color w:val="auto"/>
                <w:sz w:val="24"/>
              </w:rPr>
              <w:t>项目符合性审查表</w:t>
            </w:r>
          </w:p>
        </w:tc>
      </w:tr>
      <w:tr>
        <w:tblPrEx>
          <w:tblCellMar>
            <w:top w:w="0" w:type="dxa"/>
            <w:left w:w="10" w:type="dxa"/>
            <w:bottom w:w="0" w:type="dxa"/>
            <w:right w:w="10" w:type="dxa"/>
          </w:tblCellMar>
        </w:tblPrEx>
        <w:tc>
          <w:tcPr>
            <w:tcW w:w="70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color w:val="auto"/>
              </w:rPr>
            </w:pPr>
            <w:r>
              <w:rPr>
                <w:rFonts w:ascii="宋体" w:hAnsi="宋体" w:eastAsia="宋体" w:cs="宋体"/>
                <w:color w:val="auto"/>
                <w:sz w:val="24"/>
              </w:rPr>
              <w:t>序号</w:t>
            </w:r>
          </w:p>
        </w:tc>
        <w:tc>
          <w:tcPr>
            <w:tcW w:w="264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tabs>
                <w:tab w:val="left" w:pos="4153"/>
                <w:tab w:val="left" w:pos="8306"/>
              </w:tabs>
              <w:spacing w:line="360" w:lineRule="auto"/>
              <w:ind w:right="-10"/>
              <w:jc w:val="center"/>
              <w:rPr>
                <w:rFonts w:ascii="宋体" w:hAnsi="宋体" w:eastAsia="宋体" w:cs="宋体"/>
                <w:color w:val="auto"/>
              </w:rPr>
            </w:pPr>
            <w:r>
              <w:rPr>
                <w:rFonts w:ascii="宋体" w:hAnsi="宋体" w:eastAsia="宋体" w:cs="宋体"/>
                <w:color w:val="auto"/>
                <w:sz w:val="24"/>
              </w:rPr>
              <w:t>指标名称</w:t>
            </w:r>
          </w:p>
        </w:tc>
        <w:tc>
          <w:tcPr>
            <w:tcW w:w="191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color w:val="auto"/>
              </w:rPr>
            </w:pPr>
            <w:r>
              <w:rPr>
                <w:rFonts w:ascii="宋体" w:hAnsi="宋体" w:eastAsia="宋体" w:cs="宋体"/>
                <w:color w:val="auto"/>
                <w:sz w:val="24"/>
              </w:rPr>
              <w:t>指标要求</w:t>
            </w:r>
          </w:p>
        </w:tc>
        <w:tc>
          <w:tcPr>
            <w:tcW w:w="81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color w:val="auto"/>
                <w:sz w:val="24"/>
              </w:rPr>
            </w:pPr>
            <w:r>
              <w:rPr>
                <w:rFonts w:ascii="宋体" w:hAnsi="宋体" w:eastAsia="宋体" w:cs="宋体"/>
                <w:color w:val="auto"/>
                <w:sz w:val="24"/>
              </w:rPr>
              <w:t>是否</w:t>
            </w:r>
          </w:p>
          <w:p>
            <w:pPr>
              <w:spacing w:line="360" w:lineRule="auto"/>
              <w:ind w:right="-10"/>
              <w:jc w:val="center"/>
              <w:rPr>
                <w:rFonts w:ascii="宋体" w:hAnsi="宋体" w:eastAsia="宋体" w:cs="宋体"/>
                <w:color w:val="auto"/>
              </w:rPr>
            </w:pPr>
            <w:r>
              <w:rPr>
                <w:rFonts w:ascii="宋体" w:hAnsi="宋体" w:eastAsia="宋体" w:cs="宋体"/>
                <w:color w:val="auto"/>
                <w:sz w:val="24"/>
              </w:rPr>
              <w:t>通过</w:t>
            </w:r>
          </w:p>
        </w:tc>
        <w:tc>
          <w:tcPr>
            <w:tcW w:w="233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color w:val="auto"/>
                <w:sz w:val="24"/>
              </w:rPr>
            </w:pPr>
            <w:r>
              <w:rPr>
                <w:rFonts w:ascii="宋体" w:hAnsi="宋体" w:eastAsia="宋体" w:cs="宋体"/>
                <w:color w:val="auto"/>
                <w:sz w:val="24"/>
              </w:rPr>
              <w:t>投标文件格式及</w:t>
            </w:r>
          </w:p>
          <w:p>
            <w:pPr>
              <w:spacing w:line="360" w:lineRule="auto"/>
              <w:ind w:right="-10"/>
              <w:jc w:val="center"/>
              <w:rPr>
                <w:rFonts w:ascii="宋体" w:hAnsi="宋体" w:eastAsia="宋体" w:cs="宋体"/>
                <w:color w:val="auto"/>
              </w:rPr>
            </w:pPr>
            <w:r>
              <w:rPr>
                <w:rFonts w:ascii="宋体" w:hAnsi="宋体" w:eastAsia="宋体" w:cs="宋体"/>
                <w:color w:val="auto"/>
                <w:sz w:val="24"/>
              </w:rPr>
              <w:t>提交资料要求</w:t>
            </w:r>
          </w:p>
        </w:tc>
      </w:tr>
      <w:tr>
        <w:tblPrEx>
          <w:tblCellMar>
            <w:top w:w="0" w:type="dxa"/>
            <w:left w:w="10" w:type="dxa"/>
            <w:bottom w:w="0" w:type="dxa"/>
            <w:right w:w="10" w:type="dxa"/>
          </w:tblCellMar>
        </w:tblPrEx>
        <w:tc>
          <w:tcPr>
            <w:tcW w:w="70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color w:val="auto"/>
              </w:rPr>
            </w:pPr>
            <w:r>
              <w:rPr>
                <w:rFonts w:ascii="宋体" w:hAnsi="宋体" w:eastAsia="宋体" w:cs="宋体"/>
                <w:color w:val="auto"/>
                <w:sz w:val="24"/>
              </w:rPr>
              <w:t>1</w:t>
            </w:r>
          </w:p>
        </w:tc>
        <w:tc>
          <w:tcPr>
            <w:tcW w:w="264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after="50" w:line="360" w:lineRule="auto"/>
              <w:ind w:right="-10"/>
              <w:jc w:val="center"/>
              <w:rPr>
                <w:rFonts w:ascii="宋体" w:hAnsi="宋体" w:eastAsia="宋体" w:cs="宋体"/>
                <w:color w:val="auto"/>
              </w:rPr>
            </w:pPr>
            <w:r>
              <w:rPr>
                <w:rFonts w:ascii="宋体" w:hAnsi="宋体" w:eastAsia="宋体" w:cs="宋体"/>
                <w:color w:val="auto"/>
                <w:sz w:val="24"/>
              </w:rPr>
              <w:t>营业执照</w:t>
            </w:r>
          </w:p>
        </w:tc>
        <w:tc>
          <w:tcPr>
            <w:tcW w:w="191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after="50" w:line="360" w:lineRule="auto"/>
              <w:ind w:right="-10"/>
              <w:jc w:val="center"/>
              <w:rPr>
                <w:rFonts w:ascii="宋体" w:hAnsi="宋体" w:eastAsia="宋体" w:cs="宋体"/>
                <w:color w:val="auto"/>
              </w:rPr>
            </w:pPr>
            <w:r>
              <w:rPr>
                <w:rFonts w:ascii="宋体" w:hAnsi="宋体" w:eastAsia="宋体" w:cs="宋体"/>
                <w:color w:val="auto"/>
                <w:sz w:val="24"/>
              </w:rPr>
              <w:t>见招标文件</w:t>
            </w:r>
          </w:p>
        </w:tc>
        <w:tc>
          <w:tcPr>
            <w:tcW w:w="81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rPr>
                <w:rFonts w:ascii="宋体" w:hAnsi="宋体" w:eastAsia="宋体" w:cs="宋体"/>
                <w:color w:val="auto"/>
                <w:sz w:val="22"/>
              </w:rPr>
            </w:pPr>
          </w:p>
        </w:tc>
        <w:tc>
          <w:tcPr>
            <w:tcW w:w="233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color w:val="auto"/>
              </w:rPr>
            </w:pPr>
            <w:r>
              <w:rPr>
                <w:rFonts w:ascii="宋体" w:hAnsi="宋体" w:eastAsia="宋体" w:cs="宋体"/>
                <w:color w:val="auto"/>
                <w:sz w:val="24"/>
              </w:rPr>
              <w:t>见投标文件</w:t>
            </w:r>
          </w:p>
        </w:tc>
      </w:tr>
      <w:tr>
        <w:tblPrEx>
          <w:tblCellMar>
            <w:top w:w="0" w:type="dxa"/>
            <w:left w:w="10" w:type="dxa"/>
            <w:bottom w:w="0" w:type="dxa"/>
            <w:right w:w="10" w:type="dxa"/>
          </w:tblCellMar>
        </w:tblPrEx>
        <w:tc>
          <w:tcPr>
            <w:tcW w:w="70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color w:val="auto"/>
              </w:rPr>
            </w:pPr>
            <w:r>
              <w:rPr>
                <w:rFonts w:ascii="宋体" w:hAnsi="宋体" w:eastAsia="宋体" w:cs="宋体"/>
                <w:color w:val="auto"/>
                <w:sz w:val="24"/>
              </w:rPr>
              <w:t>2</w:t>
            </w:r>
          </w:p>
        </w:tc>
        <w:tc>
          <w:tcPr>
            <w:tcW w:w="264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after="50" w:line="360" w:lineRule="auto"/>
              <w:ind w:right="-10"/>
              <w:jc w:val="center"/>
              <w:rPr>
                <w:rFonts w:ascii="宋体" w:hAnsi="宋体" w:eastAsia="宋体" w:cs="宋体"/>
                <w:color w:val="auto"/>
              </w:rPr>
            </w:pPr>
            <w:r>
              <w:rPr>
                <w:rFonts w:ascii="宋体" w:hAnsi="宋体" w:eastAsia="宋体" w:cs="宋体"/>
                <w:color w:val="auto"/>
                <w:sz w:val="24"/>
              </w:rPr>
              <w:t>法定代表人及身份证</w:t>
            </w:r>
          </w:p>
        </w:tc>
        <w:tc>
          <w:tcPr>
            <w:tcW w:w="191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after="50" w:line="360" w:lineRule="auto"/>
              <w:ind w:right="-10"/>
              <w:jc w:val="center"/>
              <w:rPr>
                <w:rFonts w:ascii="宋体" w:hAnsi="宋体" w:eastAsia="宋体" w:cs="宋体"/>
                <w:color w:val="auto"/>
              </w:rPr>
            </w:pPr>
            <w:r>
              <w:rPr>
                <w:rFonts w:ascii="宋体" w:hAnsi="宋体" w:eastAsia="宋体" w:cs="宋体"/>
                <w:color w:val="auto"/>
                <w:sz w:val="24"/>
              </w:rPr>
              <w:t>见招标文件</w:t>
            </w:r>
          </w:p>
        </w:tc>
        <w:tc>
          <w:tcPr>
            <w:tcW w:w="81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rPr>
                <w:rFonts w:ascii="宋体" w:hAnsi="宋体" w:eastAsia="宋体" w:cs="宋体"/>
                <w:color w:val="auto"/>
                <w:sz w:val="22"/>
              </w:rPr>
            </w:pPr>
          </w:p>
        </w:tc>
        <w:tc>
          <w:tcPr>
            <w:tcW w:w="233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color w:val="auto"/>
              </w:rPr>
            </w:pPr>
            <w:r>
              <w:rPr>
                <w:rFonts w:ascii="宋体" w:hAnsi="宋体" w:eastAsia="宋体" w:cs="宋体"/>
                <w:color w:val="auto"/>
                <w:sz w:val="24"/>
              </w:rPr>
              <w:t>见投标文件</w:t>
            </w:r>
          </w:p>
        </w:tc>
      </w:tr>
      <w:tr>
        <w:tblPrEx>
          <w:tblCellMar>
            <w:top w:w="0" w:type="dxa"/>
            <w:left w:w="10" w:type="dxa"/>
            <w:bottom w:w="0" w:type="dxa"/>
            <w:right w:w="10" w:type="dxa"/>
          </w:tblCellMar>
        </w:tblPrEx>
        <w:tc>
          <w:tcPr>
            <w:tcW w:w="70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color w:val="auto"/>
              </w:rPr>
            </w:pPr>
            <w:r>
              <w:rPr>
                <w:rFonts w:ascii="宋体" w:hAnsi="宋体" w:eastAsia="宋体" w:cs="宋体"/>
                <w:color w:val="auto"/>
                <w:sz w:val="24"/>
              </w:rPr>
              <w:t>3</w:t>
            </w:r>
          </w:p>
        </w:tc>
        <w:tc>
          <w:tcPr>
            <w:tcW w:w="264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after="50" w:line="360" w:lineRule="auto"/>
              <w:ind w:right="-10"/>
              <w:jc w:val="center"/>
              <w:rPr>
                <w:rFonts w:ascii="宋体" w:hAnsi="宋体" w:eastAsia="宋体" w:cs="宋体"/>
                <w:color w:val="auto"/>
              </w:rPr>
            </w:pPr>
            <w:r>
              <w:rPr>
                <w:rFonts w:ascii="宋体" w:hAnsi="宋体" w:eastAsia="宋体" w:cs="宋体"/>
                <w:color w:val="auto"/>
                <w:sz w:val="24"/>
              </w:rPr>
              <w:t>纳税凭证和社保证明</w:t>
            </w:r>
          </w:p>
        </w:tc>
        <w:tc>
          <w:tcPr>
            <w:tcW w:w="191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after="50" w:line="360" w:lineRule="auto"/>
              <w:ind w:right="-10"/>
              <w:jc w:val="center"/>
              <w:rPr>
                <w:rFonts w:ascii="宋体" w:hAnsi="宋体" w:eastAsia="宋体" w:cs="宋体"/>
                <w:color w:val="auto"/>
              </w:rPr>
            </w:pPr>
            <w:r>
              <w:rPr>
                <w:rFonts w:ascii="宋体" w:hAnsi="宋体" w:eastAsia="宋体" w:cs="宋体"/>
                <w:color w:val="auto"/>
                <w:sz w:val="24"/>
              </w:rPr>
              <w:t>见招标文件</w:t>
            </w:r>
          </w:p>
        </w:tc>
        <w:tc>
          <w:tcPr>
            <w:tcW w:w="81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rPr>
                <w:rFonts w:ascii="宋体" w:hAnsi="宋体" w:eastAsia="宋体" w:cs="宋体"/>
                <w:color w:val="auto"/>
                <w:sz w:val="22"/>
              </w:rPr>
            </w:pPr>
          </w:p>
        </w:tc>
        <w:tc>
          <w:tcPr>
            <w:tcW w:w="233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color w:val="auto"/>
              </w:rPr>
            </w:pPr>
            <w:r>
              <w:rPr>
                <w:rFonts w:ascii="宋体" w:hAnsi="宋体" w:eastAsia="宋体" w:cs="宋体"/>
                <w:color w:val="auto"/>
                <w:sz w:val="24"/>
              </w:rPr>
              <w:t>见投标文件</w:t>
            </w:r>
          </w:p>
        </w:tc>
      </w:tr>
      <w:tr>
        <w:tblPrEx>
          <w:tblCellMar>
            <w:top w:w="0" w:type="dxa"/>
            <w:left w:w="10" w:type="dxa"/>
            <w:bottom w:w="0" w:type="dxa"/>
            <w:right w:w="10" w:type="dxa"/>
          </w:tblCellMar>
        </w:tblPrEx>
        <w:tc>
          <w:tcPr>
            <w:tcW w:w="70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color w:val="auto"/>
              </w:rPr>
            </w:pPr>
            <w:r>
              <w:rPr>
                <w:rFonts w:ascii="宋体" w:hAnsi="宋体" w:eastAsia="宋体" w:cs="宋体"/>
                <w:color w:val="auto"/>
                <w:sz w:val="24"/>
              </w:rPr>
              <w:t>4</w:t>
            </w:r>
          </w:p>
        </w:tc>
        <w:tc>
          <w:tcPr>
            <w:tcW w:w="264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after="50" w:line="360" w:lineRule="auto"/>
              <w:ind w:right="-10"/>
              <w:jc w:val="center"/>
              <w:rPr>
                <w:rFonts w:ascii="宋体" w:hAnsi="宋体" w:eastAsia="宋体" w:cs="宋体"/>
                <w:color w:val="auto"/>
              </w:rPr>
            </w:pPr>
            <w:r>
              <w:rPr>
                <w:rFonts w:ascii="宋体" w:hAnsi="宋体" w:eastAsia="宋体" w:cs="宋体"/>
                <w:color w:val="auto"/>
                <w:sz w:val="24"/>
              </w:rPr>
              <w:t>财务审计报告</w:t>
            </w:r>
          </w:p>
        </w:tc>
        <w:tc>
          <w:tcPr>
            <w:tcW w:w="191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after="50" w:line="360" w:lineRule="auto"/>
              <w:ind w:right="-10"/>
              <w:jc w:val="center"/>
              <w:rPr>
                <w:rFonts w:ascii="宋体" w:hAnsi="宋体" w:eastAsia="宋体" w:cs="宋体"/>
                <w:color w:val="auto"/>
              </w:rPr>
            </w:pPr>
            <w:r>
              <w:rPr>
                <w:rFonts w:ascii="宋体" w:hAnsi="宋体" w:eastAsia="宋体" w:cs="宋体"/>
                <w:color w:val="auto"/>
                <w:sz w:val="24"/>
              </w:rPr>
              <w:t>见招标文件</w:t>
            </w:r>
          </w:p>
        </w:tc>
        <w:tc>
          <w:tcPr>
            <w:tcW w:w="81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rPr>
                <w:rFonts w:ascii="宋体" w:hAnsi="宋体" w:eastAsia="宋体" w:cs="宋体"/>
                <w:color w:val="auto"/>
                <w:sz w:val="22"/>
              </w:rPr>
            </w:pPr>
          </w:p>
        </w:tc>
        <w:tc>
          <w:tcPr>
            <w:tcW w:w="233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color w:val="auto"/>
              </w:rPr>
            </w:pPr>
            <w:r>
              <w:rPr>
                <w:rFonts w:ascii="宋体" w:hAnsi="宋体" w:eastAsia="宋体" w:cs="宋体"/>
                <w:color w:val="auto"/>
                <w:sz w:val="24"/>
              </w:rPr>
              <w:t>见投标文件</w:t>
            </w:r>
          </w:p>
        </w:tc>
      </w:tr>
      <w:tr>
        <w:tblPrEx>
          <w:tblCellMar>
            <w:top w:w="0" w:type="dxa"/>
            <w:left w:w="10" w:type="dxa"/>
            <w:bottom w:w="0" w:type="dxa"/>
            <w:right w:w="10" w:type="dxa"/>
          </w:tblCellMar>
        </w:tblPrEx>
        <w:tc>
          <w:tcPr>
            <w:tcW w:w="70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color w:val="auto"/>
              </w:rPr>
            </w:pPr>
            <w:r>
              <w:rPr>
                <w:rFonts w:ascii="宋体" w:hAnsi="宋体" w:eastAsia="宋体" w:cs="宋体"/>
                <w:color w:val="auto"/>
                <w:sz w:val="24"/>
              </w:rPr>
              <w:t>5</w:t>
            </w:r>
          </w:p>
        </w:tc>
        <w:tc>
          <w:tcPr>
            <w:tcW w:w="264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after="50" w:line="360" w:lineRule="auto"/>
              <w:ind w:right="-10"/>
              <w:jc w:val="center"/>
              <w:rPr>
                <w:rFonts w:ascii="宋体" w:hAnsi="宋体" w:eastAsia="宋体" w:cs="宋体"/>
                <w:color w:val="auto"/>
              </w:rPr>
            </w:pPr>
            <w:r>
              <w:rPr>
                <w:rFonts w:ascii="宋体" w:hAnsi="宋体" w:eastAsia="宋体" w:cs="宋体"/>
                <w:color w:val="auto"/>
                <w:sz w:val="24"/>
              </w:rPr>
              <w:t>“信用中国”“中国政府采购网”查询</w:t>
            </w:r>
          </w:p>
        </w:tc>
        <w:tc>
          <w:tcPr>
            <w:tcW w:w="191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after="50" w:line="360" w:lineRule="auto"/>
              <w:ind w:right="-10"/>
              <w:jc w:val="center"/>
              <w:rPr>
                <w:rFonts w:ascii="宋体" w:hAnsi="宋体" w:eastAsia="宋体" w:cs="宋体"/>
                <w:color w:val="auto"/>
              </w:rPr>
            </w:pPr>
            <w:r>
              <w:rPr>
                <w:rFonts w:ascii="宋体" w:hAnsi="宋体" w:eastAsia="宋体" w:cs="宋体"/>
                <w:color w:val="auto"/>
                <w:sz w:val="24"/>
              </w:rPr>
              <w:t>见招标文件</w:t>
            </w:r>
          </w:p>
        </w:tc>
        <w:tc>
          <w:tcPr>
            <w:tcW w:w="81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rPr>
                <w:rFonts w:ascii="宋体" w:hAnsi="宋体" w:eastAsia="宋体" w:cs="宋体"/>
                <w:color w:val="auto"/>
                <w:sz w:val="22"/>
              </w:rPr>
            </w:pPr>
          </w:p>
        </w:tc>
        <w:tc>
          <w:tcPr>
            <w:tcW w:w="233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color w:val="auto"/>
              </w:rPr>
            </w:pPr>
            <w:r>
              <w:rPr>
                <w:rFonts w:ascii="宋体" w:hAnsi="宋体" w:eastAsia="宋体" w:cs="宋体"/>
                <w:color w:val="auto"/>
                <w:sz w:val="24"/>
              </w:rPr>
              <w:t>见投标文件</w:t>
            </w:r>
          </w:p>
        </w:tc>
      </w:tr>
      <w:tr>
        <w:tblPrEx>
          <w:tblCellMar>
            <w:top w:w="0" w:type="dxa"/>
            <w:left w:w="10" w:type="dxa"/>
            <w:bottom w:w="0" w:type="dxa"/>
            <w:right w:w="10" w:type="dxa"/>
          </w:tblCellMar>
        </w:tblPrEx>
        <w:tc>
          <w:tcPr>
            <w:tcW w:w="70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color w:val="auto"/>
              </w:rPr>
            </w:pPr>
            <w:r>
              <w:rPr>
                <w:rFonts w:ascii="宋体" w:hAnsi="宋体" w:eastAsia="宋体" w:cs="宋体"/>
                <w:color w:val="auto"/>
                <w:sz w:val="24"/>
              </w:rPr>
              <w:t>6</w:t>
            </w:r>
          </w:p>
        </w:tc>
        <w:tc>
          <w:tcPr>
            <w:tcW w:w="264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after="50" w:line="360" w:lineRule="auto"/>
              <w:ind w:right="-10"/>
              <w:jc w:val="center"/>
              <w:rPr>
                <w:rFonts w:ascii="宋体" w:hAnsi="宋体" w:eastAsia="宋体" w:cs="宋体"/>
                <w:color w:val="auto"/>
              </w:rPr>
            </w:pPr>
            <w:r>
              <w:rPr>
                <w:rFonts w:ascii="宋体" w:hAnsi="宋体" w:eastAsia="宋体" w:cs="宋体"/>
                <w:color w:val="auto"/>
                <w:sz w:val="24"/>
              </w:rPr>
              <w:t>投标文件签字盖章格式</w:t>
            </w:r>
          </w:p>
        </w:tc>
        <w:tc>
          <w:tcPr>
            <w:tcW w:w="191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after="50" w:line="360" w:lineRule="auto"/>
              <w:ind w:right="-10"/>
              <w:jc w:val="center"/>
              <w:rPr>
                <w:rFonts w:ascii="宋体" w:hAnsi="宋体" w:eastAsia="宋体" w:cs="宋体"/>
                <w:color w:val="auto"/>
              </w:rPr>
            </w:pPr>
            <w:r>
              <w:rPr>
                <w:rFonts w:ascii="宋体" w:hAnsi="宋体" w:eastAsia="宋体" w:cs="宋体"/>
                <w:color w:val="auto"/>
                <w:sz w:val="24"/>
              </w:rPr>
              <w:t>见招标文件</w:t>
            </w:r>
          </w:p>
        </w:tc>
        <w:tc>
          <w:tcPr>
            <w:tcW w:w="81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rPr>
                <w:rFonts w:ascii="宋体" w:hAnsi="宋体" w:eastAsia="宋体" w:cs="宋体"/>
                <w:color w:val="auto"/>
                <w:sz w:val="22"/>
              </w:rPr>
            </w:pPr>
          </w:p>
        </w:tc>
        <w:tc>
          <w:tcPr>
            <w:tcW w:w="233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color w:val="auto"/>
              </w:rPr>
            </w:pPr>
            <w:r>
              <w:rPr>
                <w:rFonts w:ascii="宋体" w:hAnsi="宋体" w:eastAsia="宋体" w:cs="宋体"/>
                <w:color w:val="auto"/>
                <w:sz w:val="24"/>
              </w:rPr>
              <w:t>见投标文件</w:t>
            </w:r>
          </w:p>
        </w:tc>
      </w:tr>
      <w:tr>
        <w:tblPrEx>
          <w:tblCellMar>
            <w:top w:w="0" w:type="dxa"/>
            <w:left w:w="10" w:type="dxa"/>
            <w:bottom w:w="0" w:type="dxa"/>
            <w:right w:w="10" w:type="dxa"/>
          </w:tblCellMar>
        </w:tblPrEx>
        <w:tc>
          <w:tcPr>
            <w:tcW w:w="70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color w:val="auto"/>
              </w:rPr>
            </w:pPr>
            <w:r>
              <w:rPr>
                <w:rFonts w:ascii="宋体" w:hAnsi="宋体" w:eastAsia="宋体" w:cs="宋体"/>
                <w:color w:val="auto"/>
                <w:sz w:val="24"/>
              </w:rPr>
              <w:t>7</w:t>
            </w:r>
          </w:p>
        </w:tc>
        <w:tc>
          <w:tcPr>
            <w:tcW w:w="264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after="50" w:line="360" w:lineRule="auto"/>
              <w:ind w:right="-10"/>
              <w:jc w:val="center"/>
              <w:rPr>
                <w:rFonts w:ascii="宋体" w:hAnsi="宋体" w:eastAsia="宋体" w:cs="宋体"/>
                <w:color w:val="auto"/>
              </w:rPr>
            </w:pPr>
            <w:r>
              <w:rPr>
                <w:rFonts w:ascii="宋体" w:hAnsi="宋体" w:eastAsia="宋体" w:cs="宋体"/>
                <w:color w:val="auto"/>
                <w:sz w:val="24"/>
              </w:rPr>
              <w:t>合格供应商的声明函和承诺书</w:t>
            </w:r>
          </w:p>
        </w:tc>
        <w:tc>
          <w:tcPr>
            <w:tcW w:w="191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after="50" w:line="360" w:lineRule="auto"/>
              <w:ind w:right="-10"/>
              <w:jc w:val="center"/>
              <w:rPr>
                <w:rFonts w:ascii="宋体" w:hAnsi="宋体" w:eastAsia="宋体" w:cs="宋体"/>
                <w:color w:val="auto"/>
              </w:rPr>
            </w:pPr>
            <w:r>
              <w:rPr>
                <w:rFonts w:ascii="宋体" w:hAnsi="宋体" w:eastAsia="宋体" w:cs="宋体"/>
                <w:color w:val="auto"/>
                <w:sz w:val="24"/>
              </w:rPr>
              <w:t>见招标文件</w:t>
            </w:r>
          </w:p>
        </w:tc>
        <w:tc>
          <w:tcPr>
            <w:tcW w:w="81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rPr>
                <w:rFonts w:ascii="宋体" w:hAnsi="宋体" w:eastAsia="宋体" w:cs="宋体"/>
                <w:color w:val="auto"/>
                <w:sz w:val="22"/>
              </w:rPr>
            </w:pPr>
          </w:p>
        </w:tc>
        <w:tc>
          <w:tcPr>
            <w:tcW w:w="233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color w:val="auto"/>
              </w:rPr>
            </w:pPr>
            <w:r>
              <w:rPr>
                <w:rFonts w:ascii="宋体" w:hAnsi="宋体" w:eastAsia="宋体" w:cs="宋体"/>
                <w:color w:val="auto"/>
                <w:sz w:val="24"/>
              </w:rPr>
              <w:t>见投标文件</w:t>
            </w:r>
          </w:p>
        </w:tc>
      </w:tr>
      <w:tr>
        <w:tblPrEx>
          <w:tblCellMar>
            <w:top w:w="0" w:type="dxa"/>
            <w:left w:w="10" w:type="dxa"/>
            <w:bottom w:w="0" w:type="dxa"/>
            <w:right w:w="10" w:type="dxa"/>
          </w:tblCellMar>
        </w:tblPrEx>
        <w:tc>
          <w:tcPr>
            <w:tcW w:w="70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color w:val="auto"/>
              </w:rPr>
            </w:pPr>
            <w:r>
              <w:rPr>
                <w:rFonts w:ascii="宋体" w:hAnsi="宋体" w:eastAsia="宋体" w:cs="宋体"/>
                <w:color w:val="auto"/>
                <w:sz w:val="24"/>
              </w:rPr>
              <w:t>8</w:t>
            </w:r>
          </w:p>
        </w:tc>
        <w:tc>
          <w:tcPr>
            <w:tcW w:w="264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after="50" w:line="360" w:lineRule="auto"/>
              <w:ind w:right="-10"/>
              <w:jc w:val="center"/>
              <w:rPr>
                <w:rFonts w:ascii="宋体" w:hAnsi="宋体" w:eastAsia="宋体" w:cs="宋体"/>
                <w:color w:val="auto"/>
              </w:rPr>
            </w:pPr>
            <w:r>
              <w:rPr>
                <w:rFonts w:ascii="宋体" w:hAnsi="宋体" w:eastAsia="宋体" w:cs="宋体"/>
                <w:color w:val="auto"/>
                <w:sz w:val="24"/>
              </w:rPr>
              <w:t>供货期</w:t>
            </w:r>
          </w:p>
        </w:tc>
        <w:tc>
          <w:tcPr>
            <w:tcW w:w="191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after="50" w:line="360" w:lineRule="auto"/>
              <w:ind w:right="-10"/>
              <w:jc w:val="center"/>
              <w:rPr>
                <w:rFonts w:ascii="宋体" w:hAnsi="宋体" w:eastAsia="宋体" w:cs="宋体"/>
                <w:color w:val="auto"/>
              </w:rPr>
            </w:pPr>
            <w:r>
              <w:rPr>
                <w:rFonts w:ascii="宋体" w:hAnsi="宋体" w:eastAsia="宋体" w:cs="宋体"/>
                <w:color w:val="auto"/>
                <w:sz w:val="24"/>
              </w:rPr>
              <w:t>见招标文件</w:t>
            </w:r>
          </w:p>
        </w:tc>
        <w:tc>
          <w:tcPr>
            <w:tcW w:w="81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rPr>
                <w:rFonts w:ascii="宋体" w:hAnsi="宋体" w:eastAsia="宋体" w:cs="宋体"/>
                <w:color w:val="auto"/>
                <w:sz w:val="22"/>
              </w:rPr>
            </w:pPr>
          </w:p>
        </w:tc>
        <w:tc>
          <w:tcPr>
            <w:tcW w:w="233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color w:val="auto"/>
              </w:rPr>
            </w:pPr>
            <w:r>
              <w:rPr>
                <w:rFonts w:ascii="宋体" w:hAnsi="宋体" w:eastAsia="宋体" w:cs="宋体"/>
                <w:color w:val="auto"/>
                <w:sz w:val="24"/>
              </w:rPr>
              <w:t>见投标文件</w:t>
            </w:r>
          </w:p>
        </w:tc>
      </w:tr>
      <w:tr>
        <w:tblPrEx>
          <w:tblCellMar>
            <w:top w:w="0" w:type="dxa"/>
            <w:left w:w="10" w:type="dxa"/>
            <w:bottom w:w="0" w:type="dxa"/>
            <w:right w:w="10" w:type="dxa"/>
          </w:tblCellMar>
        </w:tblPrEx>
        <w:tc>
          <w:tcPr>
            <w:tcW w:w="70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color w:val="auto"/>
              </w:rPr>
            </w:pPr>
            <w:r>
              <w:rPr>
                <w:rFonts w:ascii="宋体" w:hAnsi="宋体" w:eastAsia="宋体" w:cs="宋体"/>
                <w:color w:val="auto"/>
                <w:sz w:val="24"/>
              </w:rPr>
              <w:t>9</w:t>
            </w:r>
          </w:p>
        </w:tc>
        <w:tc>
          <w:tcPr>
            <w:tcW w:w="264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after="50" w:line="360" w:lineRule="auto"/>
              <w:ind w:right="-10"/>
              <w:jc w:val="center"/>
              <w:rPr>
                <w:rFonts w:ascii="宋体" w:hAnsi="宋体" w:eastAsia="宋体" w:cs="宋体"/>
                <w:color w:val="auto"/>
              </w:rPr>
            </w:pPr>
            <w:r>
              <w:rPr>
                <w:rFonts w:ascii="宋体" w:hAnsi="宋体" w:eastAsia="宋体" w:cs="宋体"/>
                <w:color w:val="auto"/>
                <w:sz w:val="24"/>
              </w:rPr>
              <w:t>投标有效期</w:t>
            </w:r>
          </w:p>
        </w:tc>
        <w:tc>
          <w:tcPr>
            <w:tcW w:w="191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after="50" w:line="360" w:lineRule="auto"/>
              <w:ind w:right="-10"/>
              <w:jc w:val="center"/>
              <w:rPr>
                <w:rFonts w:ascii="宋体" w:hAnsi="宋体" w:eastAsia="宋体" w:cs="宋体"/>
                <w:color w:val="auto"/>
              </w:rPr>
            </w:pPr>
            <w:r>
              <w:rPr>
                <w:rFonts w:ascii="宋体" w:hAnsi="宋体" w:eastAsia="宋体" w:cs="宋体"/>
                <w:color w:val="auto"/>
                <w:sz w:val="24"/>
              </w:rPr>
              <w:t>见招标文件</w:t>
            </w:r>
          </w:p>
        </w:tc>
        <w:tc>
          <w:tcPr>
            <w:tcW w:w="81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rPr>
                <w:rFonts w:ascii="宋体" w:hAnsi="宋体" w:eastAsia="宋体" w:cs="宋体"/>
                <w:color w:val="auto"/>
                <w:sz w:val="22"/>
              </w:rPr>
            </w:pPr>
          </w:p>
        </w:tc>
        <w:tc>
          <w:tcPr>
            <w:tcW w:w="233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color w:val="auto"/>
              </w:rPr>
            </w:pPr>
            <w:r>
              <w:rPr>
                <w:rFonts w:ascii="宋体" w:hAnsi="宋体" w:eastAsia="宋体" w:cs="宋体"/>
                <w:color w:val="auto"/>
                <w:sz w:val="24"/>
              </w:rPr>
              <w:t>见投标文件</w:t>
            </w:r>
          </w:p>
        </w:tc>
      </w:tr>
      <w:tr>
        <w:tblPrEx>
          <w:tblCellMar>
            <w:top w:w="0" w:type="dxa"/>
            <w:left w:w="10" w:type="dxa"/>
            <w:bottom w:w="0" w:type="dxa"/>
            <w:right w:w="10" w:type="dxa"/>
          </w:tblCellMar>
        </w:tblPrEx>
        <w:tc>
          <w:tcPr>
            <w:tcW w:w="70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color w:val="auto"/>
              </w:rPr>
            </w:pPr>
            <w:r>
              <w:rPr>
                <w:rFonts w:ascii="宋体" w:hAnsi="宋体" w:eastAsia="宋体" w:cs="宋体"/>
                <w:color w:val="auto"/>
                <w:sz w:val="24"/>
              </w:rPr>
              <w:t>10</w:t>
            </w:r>
          </w:p>
        </w:tc>
        <w:tc>
          <w:tcPr>
            <w:tcW w:w="264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after="50" w:line="360" w:lineRule="auto"/>
              <w:ind w:right="-10"/>
              <w:jc w:val="center"/>
              <w:rPr>
                <w:rFonts w:ascii="宋体" w:hAnsi="宋体" w:eastAsia="宋体" w:cs="宋体"/>
                <w:color w:val="auto"/>
              </w:rPr>
            </w:pPr>
            <w:r>
              <w:rPr>
                <w:rFonts w:ascii="宋体" w:hAnsi="宋体" w:eastAsia="宋体" w:cs="宋体"/>
                <w:color w:val="auto"/>
                <w:sz w:val="24"/>
              </w:rPr>
              <w:t>货物技术要求</w:t>
            </w:r>
          </w:p>
        </w:tc>
        <w:tc>
          <w:tcPr>
            <w:tcW w:w="191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after="50" w:line="360" w:lineRule="auto"/>
              <w:ind w:right="-10"/>
              <w:jc w:val="center"/>
              <w:rPr>
                <w:rFonts w:ascii="宋体" w:hAnsi="宋体" w:eastAsia="宋体" w:cs="宋体"/>
                <w:color w:val="auto"/>
              </w:rPr>
            </w:pPr>
            <w:r>
              <w:rPr>
                <w:rFonts w:ascii="宋体" w:hAnsi="宋体" w:eastAsia="宋体" w:cs="宋体"/>
                <w:color w:val="auto"/>
                <w:sz w:val="24"/>
              </w:rPr>
              <w:t>见招标文件</w:t>
            </w:r>
          </w:p>
        </w:tc>
        <w:tc>
          <w:tcPr>
            <w:tcW w:w="81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rPr>
                <w:rFonts w:ascii="宋体" w:hAnsi="宋体" w:eastAsia="宋体" w:cs="宋体"/>
                <w:color w:val="auto"/>
                <w:sz w:val="22"/>
              </w:rPr>
            </w:pPr>
          </w:p>
        </w:tc>
        <w:tc>
          <w:tcPr>
            <w:tcW w:w="233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color w:val="auto"/>
              </w:rPr>
            </w:pPr>
            <w:r>
              <w:rPr>
                <w:rFonts w:ascii="宋体" w:hAnsi="宋体" w:eastAsia="宋体" w:cs="宋体"/>
                <w:color w:val="auto"/>
                <w:sz w:val="24"/>
              </w:rPr>
              <w:t>见投标文件</w:t>
            </w:r>
          </w:p>
        </w:tc>
      </w:tr>
      <w:tr>
        <w:tblPrEx>
          <w:tblCellMar>
            <w:top w:w="0" w:type="dxa"/>
            <w:left w:w="10" w:type="dxa"/>
            <w:bottom w:w="0" w:type="dxa"/>
            <w:right w:w="10" w:type="dxa"/>
          </w:tblCellMar>
        </w:tblPrEx>
        <w:tc>
          <w:tcPr>
            <w:tcW w:w="70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color w:val="auto"/>
              </w:rPr>
            </w:pPr>
            <w:r>
              <w:rPr>
                <w:rFonts w:ascii="宋体" w:hAnsi="宋体" w:eastAsia="宋体" w:cs="宋体"/>
                <w:color w:val="auto"/>
                <w:sz w:val="24"/>
              </w:rPr>
              <w:t>11</w:t>
            </w:r>
          </w:p>
        </w:tc>
        <w:tc>
          <w:tcPr>
            <w:tcW w:w="264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after="50" w:line="360" w:lineRule="auto"/>
              <w:ind w:right="-10"/>
              <w:jc w:val="center"/>
              <w:rPr>
                <w:rFonts w:ascii="宋体" w:hAnsi="宋体" w:eastAsia="宋体" w:cs="宋体"/>
                <w:color w:val="auto"/>
              </w:rPr>
            </w:pPr>
            <w:r>
              <w:rPr>
                <w:rFonts w:ascii="宋体" w:hAnsi="宋体" w:eastAsia="宋体" w:cs="宋体"/>
                <w:color w:val="auto"/>
                <w:sz w:val="24"/>
              </w:rPr>
              <w:t>其他实质性要求</w:t>
            </w:r>
          </w:p>
        </w:tc>
        <w:tc>
          <w:tcPr>
            <w:tcW w:w="191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after="50" w:line="360" w:lineRule="auto"/>
              <w:ind w:right="-10"/>
              <w:jc w:val="center"/>
              <w:rPr>
                <w:rFonts w:ascii="宋体" w:hAnsi="宋体" w:eastAsia="宋体" w:cs="宋体"/>
                <w:color w:val="auto"/>
              </w:rPr>
            </w:pPr>
            <w:r>
              <w:rPr>
                <w:rFonts w:ascii="宋体" w:hAnsi="宋体" w:eastAsia="宋体" w:cs="宋体"/>
                <w:color w:val="auto"/>
                <w:sz w:val="24"/>
              </w:rPr>
              <w:t>见招标文件</w:t>
            </w:r>
          </w:p>
        </w:tc>
        <w:tc>
          <w:tcPr>
            <w:tcW w:w="81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rPr>
                <w:rFonts w:ascii="宋体" w:hAnsi="宋体" w:eastAsia="宋体" w:cs="宋体"/>
                <w:color w:val="auto"/>
                <w:sz w:val="22"/>
              </w:rPr>
            </w:pPr>
          </w:p>
        </w:tc>
        <w:tc>
          <w:tcPr>
            <w:tcW w:w="233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color w:val="auto"/>
              </w:rPr>
            </w:pPr>
            <w:r>
              <w:rPr>
                <w:rFonts w:ascii="宋体" w:hAnsi="宋体" w:eastAsia="宋体" w:cs="宋体"/>
                <w:color w:val="auto"/>
                <w:sz w:val="24"/>
              </w:rPr>
              <w:t>见投标文件</w:t>
            </w:r>
          </w:p>
        </w:tc>
      </w:tr>
      <w:tr>
        <w:tblPrEx>
          <w:tblCellMar>
            <w:top w:w="0" w:type="dxa"/>
            <w:left w:w="10" w:type="dxa"/>
            <w:bottom w:w="0" w:type="dxa"/>
            <w:right w:w="10" w:type="dxa"/>
          </w:tblCellMar>
        </w:tblPrEx>
        <w:tc>
          <w:tcPr>
            <w:tcW w:w="70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color w:val="auto"/>
              </w:rPr>
            </w:pPr>
            <w:r>
              <w:rPr>
                <w:rFonts w:ascii="宋体" w:hAnsi="宋体" w:eastAsia="宋体" w:cs="宋体"/>
                <w:color w:val="auto"/>
                <w:sz w:val="24"/>
              </w:rPr>
              <w:t>1</w:t>
            </w:r>
            <w:r>
              <w:rPr>
                <w:rFonts w:hint="eastAsia" w:ascii="宋体" w:hAnsi="宋体" w:eastAsia="宋体" w:cs="宋体"/>
                <w:color w:val="auto"/>
                <w:sz w:val="24"/>
              </w:rPr>
              <w:t>3</w:t>
            </w:r>
          </w:p>
        </w:tc>
        <w:tc>
          <w:tcPr>
            <w:tcW w:w="264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after="50" w:line="360" w:lineRule="auto"/>
              <w:ind w:right="-10"/>
              <w:jc w:val="center"/>
              <w:rPr>
                <w:rFonts w:ascii="宋体" w:hAnsi="宋体" w:eastAsia="宋体" w:cs="宋体"/>
                <w:color w:val="auto"/>
              </w:rPr>
            </w:pPr>
            <w:r>
              <w:rPr>
                <w:rFonts w:ascii="宋体" w:hAnsi="宋体" w:eastAsia="宋体" w:cs="宋体"/>
                <w:color w:val="auto"/>
                <w:sz w:val="24"/>
              </w:rPr>
              <w:t>结论</w:t>
            </w:r>
          </w:p>
        </w:tc>
        <w:tc>
          <w:tcPr>
            <w:tcW w:w="5071" w:type="dxa"/>
            <w:gridSpan w:val="3"/>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color w:val="auto"/>
              </w:rPr>
            </w:pPr>
            <w:r>
              <w:rPr>
                <w:rFonts w:ascii="宋体" w:hAnsi="宋体" w:eastAsia="宋体" w:cs="宋体"/>
                <w:color w:val="auto"/>
                <w:sz w:val="24"/>
              </w:rPr>
              <w:t>是否通过审查</w:t>
            </w:r>
          </w:p>
        </w:tc>
      </w:tr>
    </w:tbl>
    <w:p>
      <w:pPr>
        <w:rPr>
          <w:rFonts w:ascii="宋体" w:hAnsi="宋体" w:eastAsia="宋体" w:cs="宋体"/>
          <w:color w:val="auto"/>
          <w:sz w:val="24"/>
        </w:rPr>
      </w:pPr>
    </w:p>
    <w:p>
      <w:pPr>
        <w:rPr>
          <w:rFonts w:ascii="宋体" w:hAnsi="宋体" w:eastAsia="宋体" w:cs="宋体"/>
          <w:color w:val="auto"/>
          <w:sz w:val="24"/>
        </w:rPr>
      </w:pPr>
    </w:p>
    <w:p>
      <w:pPr>
        <w:spacing w:line="560" w:lineRule="auto"/>
        <w:ind w:firstLine="482"/>
        <w:rPr>
          <w:rFonts w:ascii="宋体" w:hAnsi="宋体" w:eastAsia="宋体" w:cs="宋体"/>
          <w:b/>
          <w:color w:val="auto"/>
          <w:sz w:val="24"/>
        </w:rPr>
      </w:pPr>
      <w:r>
        <w:rPr>
          <w:rFonts w:ascii="宋体" w:hAnsi="宋体" w:eastAsia="宋体" w:cs="宋体"/>
          <w:b/>
          <w:color w:val="auto"/>
          <w:sz w:val="24"/>
        </w:rPr>
        <w:t>20.响应性文件的澄清</w:t>
      </w:r>
    </w:p>
    <w:p>
      <w:pPr>
        <w:spacing w:line="560" w:lineRule="auto"/>
        <w:ind w:firstLine="480"/>
        <w:rPr>
          <w:rFonts w:ascii="宋体" w:hAnsi="宋体" w:eastAsia="宋体" w:cs="宋体"/>
          <w:color w:val="auto"/>
          <w:sz w:val="24"/>
        </w:rPr>
      </w:pPr>
      <w:r>
        <w:rPr>
          <w:rFonts w:ascii="宋体" w:hAnsi="宋体" w:eastAsia="宋体" w:cs="宋体"/>
          <w:color w:val="auto"/>
          <w:sz w:val="24"/>
        </w:rPr>
        <w:t>20.1竞争性磋商小组在对响应性文件的有效性、完整性和响应程度进行审查时，可以要求供应商对响应性文件中含义不明确、同类问题表述不一致或者有明显文字和计算错误的内容等作出必要的澄清、说明或者更正。供应商的澄清、说明或者更正不得超出响应性文件的范围或者改变响应性文件的实质性内容。</w:t>
      </w:r>
    </w:p>
    <w:p>
      <w:pPr>
        <w:spacing w:line="560" w:lineRule="auto"/>
        <w:ind w:firstLine="480"/>
        <w:rPr>
          <w:rFonts w:ascii="宋体" w:hAnsi="宋体" w:eastAsia="宋体" w:cs="宋体"/>
          <w:color w:val="auto"/>
          <w:sz w:val="24"/>
        </w:rPr>
      </w:pPr>
      <w:r>
        <w:rPr>
          <w:rFonts w:ascii="宋体" w:hAnsi="宋体" w:eastAsia="宋体" w:cs="宋体"/>
          <w:color w:val="auto"/>
          <w:sz w:val="24"/>
        </w:rPr>
        <w:t>20.2竞争性磋商小组要求供应商澄清、说明或者更正响应文件应当以书面形式作出。供应商的澄清、说明或者更正应当由法定代表人或其委托代理人签字或者加盖公章。供应商为自然人的，应当由本人签字并附身份证明。</w:t>
      </w:r>
    </w:p>
    <w:p>
      <w:pPr>
        <w:spacing w:line="560" w:lineRule="auto"/>
        <w:ind w:firstLine="480"/>
        <w:rPr>
          <w:rFonts w:ascii="宋体" w:hAnsi="宋体" w:eastAsia="宋体" w:cs="宋体"/>
          <w:color w:val="auto"/>
          <w:sz w:val="24"/>
        </w:rPr>
      </w:pPr>
      <w:r>
        <w:rPr>
          <w:rFonts w:ascii="宋体" w:hAnsi="宋体" w:eastAsia="宋体" w:cs="宋体"/>
          <w:color w:val="auto"/>
          <w:sz w:val="24"/>
        </w:rPr>
        <w:t>20.3供应商拒不进行澄清、说明、补正的，或者不能在竞争性磋商小组规定时间内作出书面澄清、说明、补正的，其响应性文件将被作为无效处理。</w:t>
      </w:r>
    </w:p>
    <w:p>
      <w:pPr>
        <w:spacing w:line="560" w:lineRule="auto"/>
        <w:ind w:firstLine="480"/>
        <w:rPr>
          <w:rFonts w:ascii="宋体" w:hAnsi="宋体" w:eastAsia="宋体" w:cs="宋体"/>
          <w:color w:val="auto"/>
          <w:sz w:val="24"/>
        </w:rPr>
      </w:pPr>
      <w:r>
        <w:rPr>
          <w:rFonts w:ascii="宋体" w:hAnsi="宋体" w:eastAsia="宋体" w:cs="宋体"/>
          <w:color w:val="auto"/>
          <w:sz w:val="24"/>
        </w:rPr>
        <w:t xml:space="preserve">20.4供应商的书面澄清材料作为响应性文件的补充。 </w:t>
      </w:r>
    </w:p>
    <w:p>
      <w:pPr>
        <w:spacing w:line="560" w:lineRule="auto"/>
        <w:ind w:firstLine="480"/>
        <w:rPr>
          <w:rFonts w:ascii="宋体" w:hAnsi="宋体" w:eastAsia="宋体" w:cs="宋体"/>
          <w:color w:val="auto"/>
          <w:sz w:val="24"/>
        </w:rPr>
      </w:pPr>
      <w:r>
        <w:rPr>
          <w:rFonts w:ascii="宋体" w:hAnsi="宋体" w:eastAsia="宋体" w:cs="宋体"/>
          <w:color w:val="auto"/>
          <w:sz w:val="24"/>
        </w:rPr>
        <w:t xml:space="preserve">20.5竞争性磋商小组不得接受供应商主动提出的澄清和解释。 </w:t>
      </w:r>
    </w:p>
    <w:p>
      <w:pPr>
        <w:spacing w:line="560" w:lineRule="auto"/>
        <w:ind w:firstLine="480"/>
        <w:rPr>
          <w:rFonts w:ascii="宋体" w:hAnsi="宋体" w:eastAsia="宋体" w:cs="宋体"/>
          <w:color w:val="auto"/>
          <w:sz w:val="24"/>
        </w:rPr>
      </w:pPr>
      <w:r>
        <w:rPr>
          <w:rFonts w:ascii="宋体" w:hAnsi="宋体" w:eastAsia="宋体" w:cs="宋体"/>
          <w:color w:val="auto"/>
          <w:sz w:val="24"/>
        </w:rPr>
        <w:t>20.6并非每个供应商都将被询问、澄清。</w:t>
      </w:r>
    </w:p>
    <w:p>
      <w:pPr>
        <w:spacing w:line="560" w:lineRule="auto"/>
        <w:ind w:firstLine="482"/>
        <w:rPr>
          <w:rFonts w:ascii="宋体" w:hAnsi="宋体" w:eastAsia="宋体" w:cs="宋体"/>
          <w:b/>
          <w:color w:val="auto"/>
          <w:sz w:val="24"/>
        </w:rPr>
      </w:pPr>
      <w:r>
        <w:rPr>
          <w:rFonts w:ascii="宋体" w:hAnsi="宋体" w:eastAsia="宋体" w:cs="宋体"/>
          <w:b/>
          <w:color w:val="auto"/>
          <w:sz w:val="24"/>
        </w:rPr>
        <w:t>21.竞争性磋商</w:t>
      </w:r>
    </w:p>
    <w:p>
      <w:pPr>
        <w:spacing w:line="560" w:lineRule="auto"/>
        <w:ind w:firstLine="480"/>
        <w:rPr>
          <w:rFonts w:ascii="宋体" w:hAnsi="宋体" w:eastAsia="宋体" w:cs="宋体"/>
          <w:color w:val="auto"/>
          <w:sz w:val="24"/>
        </w:rPr>
      </w:pPr>
      <w:r>
        <w:rPr>
          <w:rFonts w:ascii="宋体" w:hAnsi="宋体" w:eastAsia="宋体" w:cs="宋体"/>
          <w:color w:val="auto"/>
          <w:sz w:val="24"/>
        </w:rPr>
        <w:t>21.1资格性审查和符合性审查合格的供应商，将进入本次竞争性磋商程序。</w:t>
      </w:r>
    </w:p>
    <w:p>
      <w:pPr>
        <w:spacing w:line="560" w:lineRule="auto"/>
        <w:ind w:firstLine="480"/>
        <w:rPr>
          <w:rFonts w:ascii="宋体" w:hAnsi="宋体" w:eastAsia="宋体" w:cs="宋体"/>
          <w:color w:val="auto"/>
          <w:sz w:val="24"/>
        </w:rPr>
      </w:pPr>
      <w:r>
        <w:rPr>
          <w:rFonts w:ascii="宋体" w:hAnsi="宋体" w:eastAsia="宋体" w:cs="宋体"/>
          <w:color w:val="auto"/>
          <w:sz w:val="24"/>
        </w:rPr>
        <w:t>21.2竞争性磋商将按照供应商的签到顺序进行。</w:t>
      </w:r>
    </w:p>
    <w:p>
      <w:pPr>
        <w:spacing w:line="560" w:lineRule="auto"/>
        <w:ind w:firstLine="480"/>
        <w:rPr>
          <w:rFonts w:ascii="宋体" w:hAnsi="宋体" w:eastAsia="宋体" w:cs="宋体"/>
          <w:color w:val="auto"/>
          <w:sz w:val="24"/>
        </w:rPr>
      </w:pPr>
      <w:r>
        <w:rPr>
          <w:rFonts w:ascii="宋体" w:hAnsi="宋体" w:eastAsia="宋体" w:cs="宋体"/>
          <w:color w:val="auto"/>
          <w:sz w:val="24"/>
        </w:rPr>
        <w:t>21.3磋商内容包括：</w:t>
      </w:r>
    </w:p>
    <w:p>
      <w:pPr>
        <w:spacing w:line="560" w:lineRule="auto"/>
        <w:ind w:firstLine="480"/>
        <w:rPr>
          <w:rFonts w:ascii="宋体" w:hAnsi="宋体" w:eastAsia="宋体" w:cs="宋体"/>
          <w:color w:val="auto"/>
          <w:sz w:val="24"/>
        </w:rPr>
      </w:pPr>
      <w:r>
        <w:rPr>
          <w:rFonts w:ascii="宋体" w:hAnsi="宋体" w:eastAsia="宋体" w:cs="宋体"/>
          <w:color w:val="auto"/>
          <w:sz w:val="24"/>
        </w:rPr>
        <w:t>21.3.1按照竞争性磋商文件中商务部分的内容，对照供应商提交的响应文件逐一进行比较各项指标和要求。</w:t>
      </w:r>
    </w:p>
    <w:p>
      <w:pPr>
        <w:spacing w:line="560" w:lineRule="auto"/>
        <w:ind w:firstLine="480"/>
        <w:rPr>
          <w:rFonts w:ascii="宋体" w:hAnsi="宋体" w:eastAsia="宋体" w:cs="宋体"/>
          <w:color w:val="auto"/>
          <w:sz w:val="24"/>
        </w:rPr>
      </w:pPr>
      <w:r>
        <w:rPr>
          <w:rFonts w:ascii="宋体" w:hAnsi="宋体" w:eastAsia="宋体" w:cs="宋体"/>
          <w:color w:val="auto"/>
          <w:sz w:val="24"/>
        </w:rPr>
        <w:t>21.3.2按照竞争性磋商文件中技术部分的内容，对照供应商提交的响应文件逐一进行比较各项指标和要求。</w:t>
      </w:r>
    </w:p>
    <w:p>
      <w:pPr>
        <w:spacing w:line="560" w:lineRule="auto"/>
        <w:ind w:firstLine="480"/>
        <w:rPr>
          <w:rFonts w:ascii="宋体" w:hAnsi="宋体" w:eastAsia="宋体" w:cs="宋体"/>
          <w:color w:val="auto"/>
          <w:sz w:val="24"/>
        </w:rPr>
      </w:pPr>
      <w:r>
        <w:rPr>
          <w:rFonts w:ascii="宋体" w:hAnsi="宋体" w:eastAsia="宋体" w:cs="宋体"/>
          <w:color w:val="auto"/>
          <w:sz w:val="24"/>
        </w:rPr>
        <w:t>21.3.3按照竞争性磋商文件中合同条款部分的内容，对照供应商提交的响应文件逐一进行比较各项指标和要求。</w:t>
      </w:r>
    </w:p>
    <w:p>
      <w:pPr>
        <w:spacing w:line="560" w:lineRule="auto"/>
        <w:ind w:firstLine="480"/>
        <w:rPr>
          <w:rFonts w:ascii="宋体" w:hAnsi="宋体" w:eastAsia="宋体" w:cs="宋体"/>
          <w:color w:val="auto"/>
          <w:sz w:val="24"/>
        </w:rPr>
      </w:pPr>
      <w:r>
        <w:rPr>
          <w:rFonts w:ascii="宋体" w:hAnsi="宋体" w:eastAsia="宋体" w:cs="宋体"/>
          <w:color w:val="auto"/>
          <w:sz w:val="24"/>
        </w:rPr>
        <w:t>21.3.4在磋商中，磋商的任何一方不得透露与磋商有关的其他供应商的技术资料及其他信息。</w:t>
      </w:r>
    </w:p>
    <w:p>
      <w:pPr>
        <w:spacing w:line="560" w:lineRule="auto"/>
        <w:ind w:firstLine="480"/>
        <w:rPr>
          <w:rFonts w:ascii="宋体" w:hAnsi="宋体" w:eastAsia="宋体" w:cs="宋体"/>
          <w:color w:val="auto"/>
          <w:sz w:val="24"/>
        </w:rPr>
      </w:pPr>
      <w:r>
        <w:rPr>
          <w:rFonts w:ascii="宋体" w:hAnsi="宋体" w:eastAsia="宋体" w:cs="宋体"/>
          <w:color w:val="auto"/>
          <w:sz w:val="24"/>
        </w:rPr>
        <w:t>21.4在竞争性磋商过程中，竞争性磋商小组可以根据竞争性磋商文件和竞争性磋商情况实质性变动采购需求中的技术、服务要求以及合同草案条款，但不得变动竞争性磋商文件中的其他内容。实质性变动的内容，须经采购人代表确定。</w:t>
      </w:r>
    </w:p>
    <w:p>
      <w:pPr>
        <w:spacing w:line="560" w:lineRule="auto"/>
        <w:ind w:firstLine="480"/>
        <w:rPr>
          <w:rFonts w:ascii="宋体" w:hAnsi="宋体" w:eastAsia="宋体" w:cs="宋体"/>
          <w:color w:val="auto"/>
          <w:sz w:val="24"/>
        </w:rPr>
      </w:pPr>
      <w:r>
        <w:rPr>
          <w:rFonts w:ascii="宋体" w:hAnsi="宋体" w:eastAsia="宋体" w:cs="宋体"/>
          <w:color w:val="auto"/>
          <w:sz w:val="24"/>
        </w:rPr>
        <w:t>21.4.1对竞争性磋商文件作出实质性变动是竞争性磋商文件的有效组成部分，竞争性磋商小组应当及时以书面形式同时通知所有参加竞争性磋商的供应商。</w:t>
      </w:r>
    </w:p>
    <w:p>
      <w:pPr>
        <w:spacing w:line="560" w:lineRule="auto"/>
        <w:ind w:firstLine="480"/>
        <w:rPr>
          <w:rFonts w:ascii="宋体" w:hAnsi="宋体" w:eastAsia="宋体" w:cs="宋体"/>
          <w:color w:val="auto"/>
          <w:sz w:val="24"/>
        </w:rPr>
      </w:pPr>
      <w:r>
        <w:rPr>
          <w:rFonts w:ascii="宋体" w:hAnsi="宋体" w:eastAsia="宋体" w:cs="宋体"/>
          <w:color w:val="auto"/>
          <w:sz w:val="24"/>
        </w:rPr>
        <w:t>21.4.2供应商应当按照竞争性磋商文件的变动情况和竞争性磋商小组的要求重新提交响应性文件，并由其法定代表人或授权代表签字或者加盖公章。</w:t>
      </w:r>
    </w:p>
    <w:p>
      <w:pPr>
        <w:spacing w:line="560" w:lineRule="exact"/>
        <w:ind w:firstLine="480" w:firstLineChars="200"/>
        <w:rPr>
          <w:rFonts w:ascii="宋体" w:hAnsi="宋体" w:cs="宋体"/>
          <w:color w:val="auto"/>
          <w:sz w:val="24"/>
          <w:lang w:val="zh-CN"/>
        </w:rPr>
      </w:pPr>
      <w:r>
        <w:rPr>
          <w:rFonts w:hint="eastAsia" w:ascii="宋体" w:hAnsi="宋体" w:cs="宋体"/>
          <w:color w:val="auto"/>
          <w:sz w:val="24"/>
          <w:lang w:val="zh-CN"/>
        </w:rPr>
        <w:t>21.5报价</w:t>
      </w:r>
    </w:p>
    <w:p>
      <w:pPr>
        <w:spacing w:line="560" w:lineRule="exact"/>
        <w:ind w:firstLine="480" w:firstLineChars="200"/>
        <w:rPr>
          <w:rFonts w:ascii="宋体" w:hAnsi="宋体" w:eastAsia="宋体" w:cs="宋体"/>
          <w:color w:val="auto"/>
          <w:sz w:val="24"/>
          <w:lang w:val="zh-CN"/>
        </w:rPr>
      </w:pPr>
      <w:r>
        <w:rPr>
          <w:rFonts w:hint="eastAsia" w:ascii="宋体" w:hAnsi="宋体" w:eastAsia="宋体" w:cs="宋体"/>
          <w:color w:val="auto"/>
          <w:sz w:val="24"/>
        </w:rPr>
        <w:t>1.</w:t>
      </w:r>
      <w:r>
        <w:rPr>
          <w:rFonts w:hint="eastAsia" w:ascii="宋体" w:hAnsi="宋体" w:eastAsia="宋体" w:cs="宋体"/>
          <w:color w:val="auto"/>
          <w:sz w:val="24"/>
          <w:lang w:val="zh-CN"/>
        </w:rPr>
        <w:t>一次报价依据</w:t>
      </w:r>
      <w:r>
        <w:rPr>
          <w:rFonts w:hint="eastAsia" w:ascii="宋体" w:hAnsi="宋体" w:eastAsia="宋体" w:cs="宋体"/>
          <w:color w:val="auto"/>
          <w:sz w:val="24"/>
        </w:rPr>
        <w:t>是</w:t>
      </w:r>
      <w:r>
        <w:rPr>
          <w:rFonts w:hint="eastAsia" w:ascii="宋体" w:hAnsi="宋体" w:eastAsia="宋体" w:cs="宋体"/>
          <w:color w:val="auto"/>
          <w:sz w:val="24"/>
          <w:lang w:val="zh-CN"/>
        </w:rPr>
        <w:t>供应商的投标函和开标记。</w:t>
      </w:r>
    </w:p>
    <w:p>
      <w:pPr>
        <w:spacing w:line="560" w:lineRule="exact"/>
        <w:ind w:firstLine="480" w:firstLineChars="200"/>
        <w:rPr>
          <w:rFonts w:ascii="宋体" w:hAnsi="宋体" w:eastAsia="宋体" w:cs="宋体"/>
          <w:color w:val="auto"/>
          <w:sz w:val="24"/>
          <w:lang w:val="zh-CN"/>
        </w:rPr>
      </w:pPr>
      <w:r>
        <w:rPr>
          <w:rFonts w:hint="eastAsia" w:ascii="宋体" w:hAnsi="宋体" w:eastAsia="宋体" w:cs="宋体"/>
          <w:color w:val="auto"/>
          <w:sz w:val="24"/>
        </w:rPr>
        <w:t>2.如有多次报价，</w:t>
      </w:r>
      <w:r>
        <w:rPr>
          <w:rFonts w:hint="eastAsia" w:ascii="宋体" w:hAnsi="宋体" w:eastAsia="宋体" w:cs="宋体"/>
          <w:color w:val="auto"/>
          <w:sz w:val="24"/>
          <w:lang w:val="zh-CN"/>
        </w:rPr>
        <w:t>资格评审过通后的供应商须使用本单位CA锁在网上系统进行二次或多次报价（请在周口市公共资源交易中心网站报名系统等待报价），每次的报价由供应商自定，评审小组不作限制，但每次的报价不得高于上次报价（可以等于或小于）。</w:t>
      </w:r>
      <w:r>
        <w:rPr>
          <w:rFonts w:hint="eastAsia" w:ascii="宋体" w:hAnsi="宋体" w:eastAsia="宋体" w:cs="宋体"/>
          <w:color w:val="auto"/>
          <w:sz w:val="24"/>
        </w:rPr>
        <w:t>报价次数见供应商须知前附表。</w:t>
      </w:r>
    </w:p>
    <w:p>
      <w:pPr>
        <w:spacing w:line="560" w:lineRule="exact"/>
        <w:ind w:firstLine="480" w:firstLineChars="200"/>
        <w:rPr>
          <w:rFonts w:ascii="宋体" w:hAnsi="宋体" w:eastAsia="宋体" w:cs="宋体"/>
          <w:color w:val="auto"/>
          <w:sz w:val="24"/>
        </w:rPr>
      </w:pPr>
      <w:r>
        <w:rPr>
          <w:rFonts w:hint="eastAsia" w:ascii="宋体" w:hAnsi="宋体" w:eastAsia="宋体" w:cs="宋体"/>
          <w:color w:val="auto"/>
          <w:sz w:val="24"/>
        </w:rPr>
        <w:t>开标后请供应商在计算前等待报价，网上报价</w:t>
      </w:r>
      <w:r>
        <w:rPr>
          <w:rFonts w:hint="eastAsia" w:ascii="宋体" w:hAnsi="宋体" w:eastAsia="宋体" w:cs="宋体"/>
          <w:color w:val="auto"/>
          <w:sz w:val="24"/>
          <w:lang w:val="zh-CN"/>
        </w:rPr>
        <w:t>，见周口市公共资源交易中心</w:t>
      </w:r>
      <w:r>
        <w:rPr>
          <w:rFonts w:hint="eastAsia" w:ascii="宋体" w:hAnsi="宋体" w:eastAsia="宋体" w:cs="宋体"/>
          <w:color w:val="auto"/>
          <w:sz w:val="24"/>
        </w:rPr>
        <w:t>网站下载中心版块</w:t>
      </w:r>
      <w:r>
        <w:rPr>
          <w:rFonts w:hint="eastAsia" w:ascii="宋体" w:hAnsi="宋体" w:eastAsia="宋体" w:cs="宋体"/>
          <w:color w:val="auto"/>
          <w:sz w:val="24"/>
          <w:lang w:val="zh-CN"/>
        </w:rPr>
        <w:t>《投标</w:t>
      </w:r>
      <w:r>
        <w:rPr>
          <w:rFonts w:hint="eastAsia" w:ascii="宋体" w:hAnsi="宋体" w:eastAsia="宋体" w:cs="宋体"/>
          <w:color w:val="auto"/>
          <w:sz w:val="24"/>
        </w:rPr>
        <w:t>单位-电子投标文件视频制作手册》</w:t>
      </w:r>
      <w:r>
        <w:rPr>
          <w:rFonts w:hint="eastAsia" w:cs="宋体"/>
          <w:color w:val="auto"/>
          <w:sz w:val="24"/>
        </w:rPr>
        <w:t>中的《周口市公共资源交易系统政府采购供应商操作手册》相关规定。</w:t>
      </w:r>
    </w:p>
    <w:p>
      <w:pPr>
        <w:spacing w:line="560" w:lineRule="auto"/>
        <w:rPr>
          <w:rFonts w:ascii="宋体" w:hAnsi="宋体" w:eastAsia="宋体" w:cs="宋体"/>
          <w:b/>
          <w:color w:val="auto"/>
          <w:sz w:val="24"/>
        </w:rPr>
      </w:pPr>
    </w:p>
    <w:p>
      <w:pPr>
        <w:spacing w:line="720" w:lineRule="auto"/>
        <w:jc w:val="center"/>
        <w:rPr>
          <w:rFonts w:ascii="宋体" w:hAnsi="宋体" w:eastAsia="宋体" w:cs="宋体"/>
          <w:b/>
          <w:color w:val="auto"/>
          <w:sz w:val="24"/>
        </w:rPr>
      </w:pPr>
      <w:r>
        <w:rPr>
          <w:rFonts w:ascii="宋体" w:hAnsi="宋体" w:eastAsia="宋体" w:cs="宋体"/>
          <w:b/>
          <w:color w:val="auto"/>
          <w:sz w:val="24"/>
        </w:rPr>
        <w:t>六、评定标准</w:t>
      </w:r>
    </w:p>
    <w:p>
      <w:pPr>
        <w:spacing w:line="560" w:lineRule="auto"/>
        <w:ind w:firstLine="482"/>
        <w:rPr>
          <w:rFonts w:ascii="宋体" w:hAnsi="宋体" w:eastAsia="宋体" w:cs="宋体"/>
          <w:b/>
          <w:color w:val="auto"/>
          <w:sz w:val="24"/>
        </w:rPr>
      </w:pPr>
      <w:r>
        <w:rPr>
          <w:rFonts w:ascii="宋体" w:hAnsi="宋体" w:eastAsia="宋体" w:cs="宋体"/>
          <w:b/>
          <w:color w:val="auto"/>
          <w:sz w:val="24"/>
        </w:rPr>
        <w:t>22.竞争性磋商过程及保密原则</w:t>
      </w:r>
    </w:p>
    <w:p>
      <w:pPr>
        <w:spacing w:line="460" w:lineRule="auto"/>
        <w:ind w:firstLine="480"/>
        <w:rPr>
          <w:rFonts w:ascii="宋体" w:hAnsi="宋体" w:eastAsia="宋体" w:cs="宋体"/>
          <w:color w:val="auto"/>
          <w:sz w:val="24"/>
        </w:rPr>
      </w:pPr>
      <w:r>
        <w:rPr>
          <w:rFonts w:ascii="宋体" w:hAnsi="宋体" w:eastAsia="宋体" w:cs="宋体"/>
          <w:color w:val="auto"/>
          <w:sz w:val="24"/>
        </w:rPr>
        <w:t>22.1磋商小组采用综合评分法对有效供应商的响应文件和报价进行评审。磋商委员会按照投标人综合得分由高到低推荐中标候选人，采购人将从评委会推荐的中标候选人中依次选取成交供应商。</w:t>
      </w:r>
    </w:p>
    <w:p>
      <w:pPr>
        <w:spacing w:line="460" w:lineRule="auto"/>
        <w:ind w:firstLine="480"/>
        <w:rPr>
          <w:rFonts w:ascii="宋体" w:hAnsi="宋体" w:eastAsia="宋体" w:cs="宋体"/>
          <w:color w:val="auto"/>
          <w:sz w:val="24"/>
        </w:rPr>
      </w:pPr>
      <w:r>
        <w:rPr>
          <w:rFonts w:ascii="宋体" w:hAnsi="宋体" w:eastAsia="宋体" w:cs="宋体"/>
          <w:color w:val="auto"/>
          <w:sz w:val="24"/>
        </w:rPr>
        <w:t>采购代理机构在评标结束后2个工作日内将评标报告送采购人。采购人自收到评标报告之日起５个工作日内，在评标报告确定的中标候选人名单中确定中标人。</w:t>
      </w:r>
    </w:p>
    <w:p>
      <w:pPr>
        <w:spacing w:line="560" w:lineRule="auto"/>
        <w:ind w:firstLine="480"/>
        <w:rPr>
          <w:rFonts w:ascii="宋体" w:hAnsi="宋体" w:eastAsia="宋体" w:cs="宋体"/>
          <w:color w:val="auto"/>
          <w:sz w:val="24"/>
        </w:rPr>
      </w:pPr>
      <w:r>
        <w:rPr>
          <w:rFonts w:ascii="宋体" w:hAnsi="宋体" w:eastAsia="宋体" w:cs="宋体"/>
          <w:color w:val="auto"/>
          <w:sz w:val="24"/>
        </w:rPr>
        <w:t>22.2对通过初步审查的响应文件，采用百分制综合评分法进行评价。</w:t>
      </w:r>
    </w:p>
    <w:p>
      <w:pPr>
        <w:spacing w:line="360" w:lineRule="auto"/>
        <w:ind w:right="-92"/>
        <w:rPr>
          <w:rFonts w:ascii="宋体" w:hAnsi="宋体" w:eastAsia="宋体" w:cs="宋体"/>
          <w:color w:val="auto"/>
          <w:sz w:val="24"/>
        </w:rPr>
      </w:pPr>
      <w:r>
        <w:rPr>
          <w:rFonts w:ascii="宋体" w:hAnsi="宋体" w:eastAsia="宋体" w:cs="宋体"/>
          <w:color w:val="auto"/>
          <w:sz w:val="24"/>
        </w:rPr>
        <w:t>评标方法：</w:t>
      </w:r>
    </w:p>
    <w:p>
      <w:pPr>
        <w:tabs>
          <w:tab w:val="left" w:pos="0"/>
          <w:tab w:val="left" w:pos="993"/>
          <w:tab w:val="left" w:pos="1134"/>
        </w:tabs>
        <w:ind w:firstLine="480"/>
        <w:rPr>
          <w:rFonts w:ascii="宋体" w:hAnsi="宋体" w:eastAsia="宋体" w:cs="宋体"/>
          <w:color w:val="auto"/>
          <w:sz w:val="24"/>
        </w:rPr>
      </w:pPr>
      <w:r>
        <w:rPr>
          <w:rFonts w:ascii="宋体" w:hAnsi="宋体" w:eastAsia="宋体" w:cs="宋体"/>
          <w:color w:val="auto"/>
          <w:sz w:val="24"/>
        </w:rPr>
        <w:br w:type="page"/>
      </w:r>
    </w:p>
    <w:tbl>
      <w:tblPr>
        <w:tblStyle w:val="8"/>
        <w:tblW w:w="0" w:type="auto"/>
        <w:jc w:val="center"/>
        <w:tblLayout w:type="autofit"/>
        <w:tblCellMar>
          <w:top w:w="0" w:type="dxa"/>
          <w:left w:w="10" w:type="dxa"/>
          <w:bottom w:w="0" w:type="dxa"/>
          <w:right w:w="10" w:type="dxa"/>
        </w:tblCellMar>
      </w:tblPr>
      <w:tblGrid>
        <w:gridCol w:w="1811"/>
        <w:gridCol w:w="1815"/>
        <w:gridCol w:w="2807"/>
        <w:gridCol w:w="2089"/>
      </w:tblGrid>
      <w:tr>
        <w:tblPrEx>
          <w:tblCellMar>
            <w:top w:w="0" w:type="dxa"/>
            <w:left w:w="10" w:type="dxa"/>
            <w:bottom w:w="0" w:type="dxa"/>
            <w:right w:w="10" w:type="dxa"/>
          </w:tblCellMar>
        </w:tblPrEx>
        <w:trPr>
          <w:jc w:val="center"/>
        </w:trPr>
        <w:tc>
          <w:tcPr>
            <w:tcW w:w="181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auto"/>
                <w:sz w:val="24"/>
                <w:szCs w:val="24"/>
              </w:rPr>
            </w:pPr>
            <w:r>
              <w:rPr>
                <w:rFonts w:ascii="宋体" w:hAnsi="宋体" w:eastAsia="宋体" w:cs="宋体"/>
                <w:b/>
                <w:color w:val="auto"/>
                <w:sz w:val="24"/>
                <w:szCs w:val="24"/>
              </w:rPr>
              <w:t>评分指标</w:t>
            </w:r>
          </w:p>
        </w:tc>
        <w:tc>
          <w:tcPr>
            <w:tcW w:w="181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auto"/>
                <w:sz w:val="24"/>
                <w:szCs w:val="24"/>
              </w:rPr>
            </w:pPr>
            <w:r>
              <w:rPr>
                <w:rFonts w:ascii="宋体" w:hAnsi="宋体" w:eastAsia="宋体" w:cs="宋体"/>
                <w:b/>
                <w:color w:val="auto"/>
                <w:sz w:val="24"/>
                <w:szCs w:val="24"/>
              </w:rPr>
              <w:t>分值</w:t>
            </w:r>
          </w:p>
        </w:tc>
        <w:tc>
          <w:tcPr>
            <w:tcW w:w="280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auto"/>
                <w:sz w:val="24"/>
                <w:szCs w:val="24"/>
              </w:rPr>
            </w:pPr>
            <w:r>
              <w:rPr>
                <w:rFonts w:ascii="宋体" w:hAnsi="宋体" w:eastAsia="宋体" w:cs="宋体"/>
                <w:b/>
                <w:color w:val="auto"/>
                <w:sz w:val="24"/>
                <w:szCs w:val="24"/>
              </w:rPr>
              <w:t>指标说明及评分标准</w:t>
            </w:r>
          </w:p>
        </w:tc>
        <w:tc>
          <w:tcPr>
            <w:tcW w:w="208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auto"/>
                <w:sz w:val="24"/>
                <w:szCs w:val="24"/>
              </w:rPr>
            </w:pPr>
            <w:r>
              <w:rPr>
                <w:rFonts w:ascii="宋体" w:hAnsi="宋体" w:eastAsia="宋体" w:cs="宋体"/>
                <w:b/>
                <w:color w:val="auto"/>
                <w:sz w:val="24"/>
                <w:szCs w:val="24"/>
              </w:rPr>
              <w:t>评分依据</w:t>
            </w:r>
          </w:p>
        </w:tc>
      </w:tr>
      <w:tr>
        <w:tblPrEx>
          <w:tblCellMar>
            <w:top w:w="0" w:type="dxa"/>
            <w:left w:w="10" w:type="dxa"/>
            <w:bottom w:w="0" w:type="dxa"/>
            <w:right w:w="10" w:type="dxa"/>
          </w:tblCellMar>
        </w:tblPrEx>
        <w:trPr>
          <w:jc w:val="center"/>
        </w:trPr>
        <w:tc>
          <w:tcPr>
            <w:tcW w:w="181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left"/>
              <w:rPr>
                <w:rFonts w:ascii="宋体" w:hAnsi="宋体" w:eastAsia="宋体" w:cs="宋体"/>
                <w:color w:val="auto"/>
                <w:sz w:val="24"/>
                <w:szCs w:val="24"/>
              </w:rPr>
            </w:pPr>
            <w:r>
              <w:rPr>
                <w:rFonts w:ascii="宋体" w:hAnsi="宋体" w:eastAsia="宋体" w:cs="宋体"/>
                <w:b/>
                <w:color w:val="auto"/>
                <w:sz w:val="24"/>
                <w:szCs w:val="24"/>
              </w:rPr>
              <w:t>报价得分（30）</w:t>
            </w:r>
          </w:p>
        </w:tc>
        <w:tc>
          <w:tcPr>
            <w:tcW w:w="181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auto"/>
                <w:sz w:val="24"/>
                <w:szCs w:val="24"/>
              </w:rPr>
            </w:pPr>
            <w:r>
              <w:rPr>
                <w:rFonts w:ascii="宋体" w:hAnsi="宋体" w:eastAsia="宋体" w:cs="宋体"/>
                <w:b/>
                <w:color w:val="auto"/>
                <w:sz w:val="24"/>
                <w:szCs w:val="24"/>
              </w:rPr>
              <w:t>（30分）</w:t>
            </w:r>
          </w:p>
        </w:tc>
        <w:tc>
          <w:tcPr>
            <w:tcW w:w="4896" w:type="dxa"/>
            <w:gridSpan w:val="2"/>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20" w:lineRule="auto"/>
              <w:rPr>
                <w:rFonts w:ascii="宋体" w:hAnsi="宋体" w:eastAsia="宋体" w:cs="宋体"/>
                <w:color w:val="auto"/>
                <w:sz w:val="24"/>
                <w:szCs w:val="24"/>
              </w:rPr>
            </w:pPr>
            <w:r>
              <w:rPr>
                <w:rFonts w:hint="eastAsia" w:ascii="宋体" w:hAnsi="宋体" w:eastAsia="宋体" w:cs="宋体"/>
                <w:color w:val="auto"/>
                <w:sz w:val="24"/>
                <w:szCs w:val="24"/>
              </w:rPr>
              <w:t>满足磋商文件要求且最后报价最低的供应商的价格为磋商基准价，其价格分为满分。其他供应商的价格分统一按照下列公式计算：</w:t>
            </w:r>
          </w:p>
          <w:p>
            <w:pPr>
              <w:spacing w:line="320" w:lineRule="auto"/>
              <w:rPr>
                <w:rFonts w:ascii="宋体" w:hAnsi="宋体" w:eastAsia="宋体" w:cs="宋体"/>
                <w:color w:val="auto"/>
                <w:sz w:val="24"/>
                <w:szCs w:val="24"/>
              </w:rPr>
            </w:pPr>
            <w:r>
              <w:rPr>
                <w:rFonts w:hint="eastAsia" w:ascii="宋体" w:hAnsi="宋体" w:eastAsia="宋体" w:cs="宋体"/>
                <w:color w:val="auto"/>
                <w:sz w:val="24"/>
                <w:szCs w:val="24"/>
              </w:rPr>
              <w:t>磋商报价得分=（磋商基准价/最后磋商报价）×30</w:t>
            </w:r>
          </w:p>
          <w:p>
            <w:pPr>
              <w:spacing w:line="320" w:lineRule="auto"/>
              <w:rPr>
                <w:rFonts w:ascii="宋体" w:hAnsi="宋体" w:eastAsia="宋体" w:cs="宋体"/>
                <w:color w:val="auto"/>
                <w:sz w:val="24"/>
                <w:szCs w:val="24"/>
              </w:rPr>
            </w:pPr>
            <w:r>
              <w:rPr>
                <w:rFonts w:hint="eastAsia" w:ascii="宋体" w:hAnsi="宋体" w:eastAsia="宋体" w:cs="宋体"/>
                <w:color w:val="auto"/>
                <w:sz w:val="24"/>
                <w:szCs w:val="24"/>
              </w:rPr>
              <w:t>备注：价格分计算保留小数点后二位。</w:t>
            </w:r>
          </w:p>
          <w:p>
            <w:pPr>
              <w:spacing w:line="320" w:lineRule="auto"/>
              <w:rPr>
                <w:rFonts w:ascii="宋体" w:hAnsi="宋体" w:eastAsia="宋体" w:cs="宋体"/>
                <w:b/>
                <w:color w:val="auto"/>
                <w:sz w:val="24"/>
                <w:szCs w:val="24"/>
              </w:rPr>
            </w:pPr>
            <w:r>
              <w:rPr>
                <w:rFonts w:ascii="宋体" w:hAnsi="宋体" w:eastAsia="宋体" w:cs="宋体"/>
                <w:b/>
                <w:color w:val="auto"/>
                <w:sz w:val="24"/>
                <w:szCs w:val="24"/>
              </w:rPr>
              <w:t>注：</w:t>
            </w:r>
          </w:p>
          <w:p>
            <w:pPr>
              <w:spacing w:line="320" w:lineRule="auto"/>
              <w:rPr>
                <w:rFonts w:ascii="宋体" w:hAnsi="宋体" w:eastAsia="宋体" w:cs="宋体"/>
                <w:color w:val="auto"/>
                <w:sz w:val="24"/>
                <w:szCs w:val="24"/>
              </w:rPr>
            </w:pPr>
            <w:r>
              <w:rPr>
                <w:rFonts w:ascii="宋体" w:hAnsi="宋体" w:eastAsia="宋体" w:cs="宋体"/>
                <w:color w:val="auto"/>
                <w:sz w:val="24"/>
                <w:szCs w:val="24"/>
              </w:rPr>
              <w:t>1.若投标人投标价格均超过控制价，做废标处理。</w:t>
            </w:r>
          </w:p>
          <w:p>
            <w:pPr>
              <w:spacing w:line="320" w:lineRule="auto"/>
              <w:rPr>
                <w:rFonts w:ascii="宋体" w:hAnsi="宋体" w:eastAsia="宋体" w:cs="宋体"/>
                <w:color w:val="auto"/>
                <w:sz w:val="24"/>
                <w:szCs w:val="24"/>
              </w:rPr>
            </w:pPr>
            <w:r>
              <w:rPr>
                <w:rFonts w:ascii="宋体" w:hAnsi="宋体" w:eastAsia="宋体" w:cs="宋体"/>
                <w:color w:val="auto"/>
                <w:sz w:val="24"/>
                <w:szCs w:val="24"/>
              </w:rPr>
              <w:t>2.对小型、微型、监狱企业、残疾人福利性单位投标报价给予</w:t>
            </w:r>
            <w:r>
              <w:rPr>
                <w:rFonts w:hint="eastAsia" w:ascii="宋体" w:hAnsi="宋体" w:eastAsia="宋体" w:cs="宋体"/>
                <w:color w:val="auto"/>
                <w:sz w:val="24"/>
                <w:szCs w:val="24"/>
              </w:rPr>
              <w:t>10</w:t>
            </w:r>
            <w:r>
              <w:rPr>
                <w:rFonts w:ascii="宋体" w:hAnsi="宋体" w:eastAsia="宋体" w:cs="宋体"/>
                <w:color w:val="auto"/>
                <w:sz w:val="24"/>
                <w:szCs w:val="24"/>
              </w:rPr>
              <w:t>%的扣除，用扣除后的价格参与评审。参加本项目的中小企业应当提供《中小企业声明函》（格式详见《政府采购促进中小企业发展管理办法》）。</w:t>
            </w:r>
          </w:p>
          <w:p>
            <w:pPr>
              <w:spacing w:line="276" w:lineRule="auto"/>
              <w:jc w:val="left"/>
              <w:rPr>
                <w:rFonts w:ascii="宋体" w:hAnsi="宋体" w:eastAsia="宋体" w:cs="宋体"/>
                <w:color w:val="auto"/>
                <w:sz w:val="24"/>
                <w:szCs w:val="24"/>
              </w:rPr>
            </w:pPr>
            <w:r>
              <w:rPr>
                <w:rFonts w:ascii="宋体" w:hAnsi="宋体" w:eastAsia="宋体" w:cs="宋体"/>
                <w:color w:val="auto"/>
                <w:sz w:val="24"/>
                <w:szCs w:val="24"/>
              </w:rPr>
              <w:t>3.没有提供证明材料的投标人（供应商）将被视为不接受评标报价的扣除，用原投标报价参与评审。监狱企业参加政府采购活动时，应当提供由省级以上监狱管理局、戒毒管理局（含新疆生产建设兵团）出具的属于监狱企业的证明文件。没有提供证明材料的投标人（供应商）将被视为不接受评标报价的扣除，用原投标报价参与评审。根据财库〔2017〕141 号《三部门联合发布关于促进残疾人就业政府采购政策的通知》残疾人福利性单位视同小型、微型企业，残疾人福利性单位在参加政府采购活动时提供《残疾人福利性单位声明函》，不再提供《中小微企业声明函》，投标人（供应商）在《残疾人福利性单位声明函》中的承诺如有虚假，其中标资格将被取消，并根据相关规定进行处罚。</w:t>
            </w:r>
          </w:p>
        </w:tc>
      </w:tr>
      <w:tr>
        <w:tblPrEx>
          <w:tblCellMar>
            <w:top w:w="0" w:type="dxa"/>
            <w:left w:w="10" w:type="dxa"/>
            <w:bottom w:w="0" w:type="dxa"/>
            <w:right w:w="10" w:type="dxa"/>
          </w:tblCellMar>
        </w:tblPrEx>
        <w:trPr>
          <w:jc w:val="center"/>
        </w:trPr>
        <w:tc>
          <w:tcPr>
            <w:tcW w:w="1811" w:type="dxa"/>
            <w:tcBorders>
              <w:top w:val="single" w:color="000000" w:sz="4" w:space="0"/>
              <w:left w:val="single" w:color="000000" w:sz="4" w:space="0"/>
              <w:bottom w:val="single" w:color="000000" w:sz="0" w:space="0"/>
              <w:right w:val="single" w:color="000000" w:sz="4" w:space="0"/>
            </w:tcBorders>
            <w:shd w:val="clear" w:color="000000" w:fill="FFFFFF"/>
            <w:tcMar>
              <w:left w:w="108" w:type="dxa"/>
              <w:right w:w="108" w:type="dxa"/>
            </w:tcMar>
            <w:vAlign w:val="center"/>
          </w:tcPr>
          <w:p>
            <w:pPr>
              <w:spacing w:line="276" w:lineRule="auto"/>
              <w:jc w:val="left"/>
              <w:rPr>
                <w:rFonts w:ascii="宋体" w:hAnsi="宋体" w:eastAsia="宋体" w:cs="宋体"/>
                <w:color w:val="auto"/>
                <w:sz w:val="24"/>
                <w:szCs w:val="24"/>
              </w:rPr>
            </w:pPr>
            <w:r>
              <w:rPr>
                <w:rFonts w:hint="eastAsia" w:ascii="宋体" w:hAnsi="宋体" w:eastAsia="宋体" w:cs="宋体"/>
                <w:color w:val="auto"/>
                <w:sz w:val="24"/>
                <w:szCs w:val="24"/>
              </w:rPr>
              <w:t>技术部分</w:t>
            </w:r>
          </w:p>
          <w:p>
            <w:pPr>
              <w:spacing w:line="276" w:lineRule="auto"/>
              <w:jc w:val="left"/>
              <w:rPr>
                <w:rFonts w:ascii="宋体" w:hAnsi="宋体" w:eastAsia="宋体" w:cs="宋体"/>
                <w:color w:val="auto"/>
                <w:sz w:val="24"/>
                <w:szCs w:val="24"/>
              </w:rPr>
            </w:pP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40</w:t>
            </w:r>
            <w:r>
              <w:rPr>
                <w:rFonts w:hint="eastAsia" w:ascii="宋体" w:hAnsi="宋体" w:eastAsia="宋体" w:cs="宋体"/>
                <w:color w:val="auto"/>
                <w:sz w:val="24"/>
                <w:szCs w:val="24"/>
              </w:rPr>
              <w:t>分）</w:t>
            </w:r>
          </w:p>
        </w:tc>
        <w:tc>
          <w:tcPr>
            <w:tcW w:w="1815" w:type="dxa"/>
            <w:tcBorders>
              <w:top w:val="single" w:color="000000" w:sz="4" w:space="0"/>
              <w:left w:val="single" w:color="000000" w:sz="4" w:space="0"/>
              <w:bottom w:val="single" w:color="000000" w:sz="0" w:space="0"/>
              <w:right w:val="single" w:color="000000" w:sz="4" w:space="0"/>
            </w:tcBorders>
            <w:shd w:val="clear" w:color="000000" w:fill="FFFFFF"/>
            <w:tcMar>
              <w:left w:w="108" w:type="dxa"/>
              <w:right w:w="108" w:type="dxa"/>
            </w:tcMar>
            <w:vAlign w:val="center"/>
          </w:tcPr>
          <w:p>
            <w:pPr>
              <w:spacing w:line="276" w:lineRule="auto"/>
              <w:jc w:val="left"/>
              <w:rPr>
                <w:rFonts w:ascii="宋体" w:hAnsi="宋体" w:eastAsia="宋体" w:cs="宋体"/>
                <w:color w:val="auto"/>
                <w:sz w:val="24"/>
                <w:szCs w:val="24"/>
              </w:rPr>
            </w:pPr>
            <w:r>
              <w:rPr>
                <w:rFonts w:hint="eastAsia" w:ascii="宋体" w:hAnsi="宋体" w:eastAsia="宋体" w:cs="宋体"/>
                <w:color w:val="auto"/>
                <w:sz w:val="24"/>
                <w:szCs w:val="24"/>
              </w:rPr>
              <w:t>技术部分</w:t>
            </w:r>
          </w:p>
          <w:p>
            <w:pPr>
              <w:spacing w:line="276" w:lineRule="auto"/>
              <w:jc w:val="left"/>
              <w:rPr>
                <w:rFonts w:ascii="宋体" w:hAnsi="宋体" w:eastAsia="宋体" w:cs="宋体"/>
                <w:color w:val="auto"/>
                <w:sz w:val="24"/>
                <w:szCs w:val="24"/>
              </w:rPr>
            </w:pP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40</w:t>
            </w:r>
            <w:r>
              <w:rPr>
                <w:rFonts w:hint="eastAsia" w:ascii="宋体" w:hAnsi="宋体" w:eastAsia="宋体" w:cs="宋体"/>
                <w:color w:val="auto"/>
                <w:sz w:val="24"/>
                <w:szCs w:val="24"/>
              </w:rPr>
              <w:t>分）</w:t>
            </w:r>
          </w:p>
        </w:tc>
        <w:tc>
          <w:tcPr>
            <w:tcW w:w="4896" w:type="dxa"/>
            <w:gridSpan w:val="2"/>
            <w:tcBorders>
              <w:top w:val="single" w:color="000000" w:sz="4" w:space="0"/>
              <w:left w:val="single" w:color="000000" w:sz="4" w:space="0"/>
              <w:bottom w:val="single" w:color="000000" w:sz="0" w:space="0"/>
              <w:right w:val="single" w:color="000000" w:sz="4" w:space="0"/>
            </w:tcBorders>
            <w:shd w:val="clear" w:color="000000" w:fill="FFFFFF"/>
            <w:tcMar>
              <w:left w:w="108" w:type="dxa"/>
              <w:right w:w="108" w:type="dxa"/>
            </w:tcMar>
            <w:vAlign w:val="center"/>
          </w:tcPr>
          <w:p>
            <w:pPr>
              <w:spacing w:line="276" w:lineRule="auto"/>
              <w:jc w:val="left"/>
              <w:rPr>
                <w:rFonts w:ascii="宋体" w:hAnsi="宋体" w:eastAsia="宋体" w:cs="宋体"/>
                <w:color w:val="auto"/>
                <w:sz w:val="24"/>
                <w:szCs w:val="24"/>
              </w:rPr>
            </w:pPr>
            <w:r>
              <w:rPr>
                <w:rFonts w:hint="eastAsia" w:ascii="宋体" w:hAnsi="宋体" w:cs="宋体"/>
                <w:bCs/>
                <w:color w:val="auto"/>
                <w:sz w:val="24"/>
                <w:szCs w:val="24"/>
              </w:rPr>
              <w:t>技术参数及响应：投标人完全响应采购文件的得</w:t>
            </w:r>
            <w:r>
              <w:rPr>
                <w:rFonts w:hint="eastAsia" w:ascii="宋体" w:hAnsi="宋体" w:cs="宋体"/>
                <w:bCs/>
                <w:color w:val="auto"/>
                <w:sz w:val="24"/>
                <w:szCs w:val="24"/>
                <w:lang w:val="en-US" w:eastAsia="zh-CN"/>
              </w:rPr>
              <w:t>40</w:t>
            </w:r>
            <w:r>
              <w:rPr>
                <w:rFonts w:hint="eastAsia" w:ascii="宋体" w:hAnsi="宋体" w:cs="宋体"/>
                <w:bCs/>
                <w:color w:val="auto"/>
                <w:sz w:val="24"/>
                <w:szCs w:val="24"/>
              </w:rPr>
              <w:t>分，如有一项不满足则作无效响应处理。</w:t>
            </w:r>
          </w:p>
        </w:tc>
      </w:tr>
      <w:tr>
        <w:tblPrEx>
          <w:tblCellMar>
            <w:top w:w="0" w:type="dxa"/>
            <w:left w:w="10" w:type="dxa"/>
            <w:bottom w:w="0" w:type="dxa"/>
            <w:right w:w="10" w:type="dxa"/>
          </w:tblCellMar>
        </w:tblPrEx>
        <w:trPr>
          <w:jc w:val="center"/>
        </w:trPr>
        <w:tc>
          <w:tcPr>
            <w:tcW w:w="1811" w:type="dxa"/>
            <w:vMerge w:val="restart"/>
            <w:tcBorders>
              <w:top w:val="single" w:color="000000" w:sz="4" w:space="0"/>
              <w:left w:val="single" w:color="000000" w:sz="4" w:space="0"/>
              <w:right w:val="single" w:color="000000" w:sz="4" w:space="0"/>
            </w:tcBorders>
            <w:shd w:val="clear" w:color="000000" w:fill="FFFFFF"/>
            <w:tcMar>
              <w:left w:w="108" w:type="dxa"/>
              <w:right w:w="108" w:type="dxa"/>
            </w:tcMar>
            <w:vAlign w:val="center"/>
          </w:tcPr>
          <w:p>
            <w:pPr>
              <w:spacing w:line="276" w:lineRule="auto"/>
              <w:jc w:val="left"/>
              <w:rPr>
                <w:rFonts w:ascii="宋体" w:hAnsi="宋体" w:eastAsia="宋体" w:cs="宋体"/>
                <w:color w:val="auto"/>
                <w:sz w:val="24"/>
                <w:szCs w:val="24"/>
              </w:rPr>
            </w:pPr>
            <w:r>
              <w:rPr>
                <w:rFonts w:hint="eastAsia" w:ascii="宋体" w:hAnsi="宋体" w:eastAsia="宋体" w:cs="宋体"/>
                <w:color w:val="auto"/>
                <w:sz w:val="24"/>
                <w:szCs w:val="24"/>
              </w:rPr>
              <w:t>商务部分</w:t>
            </w:r>
          </w:p>
          <w:p>
            <w:pPr>
              <w:spacing w:line="276" w:lineRule="auto"/>
              <w:jc w:val="left"/>
              <w:rPr>
                <w:rFonts w:ascii="宋体" w:hAnsi="宋体" w:eastAsia="宋体" w:cs="宋体"/>
                <w:color w:val="auto"/>
                <w:sz w:val="24"/>
                <w:szCs w:val="24"/>
              </w:rPr>
            </w:pP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0分）</w:t>
            </w:r>
          </w:p>
        </w:tc>
        <w:tc>
          <w:tcPr>
            <w:tcW w:w="181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276" w:lineRule="auto"/>
              <w:jc w:val="left"/>
              <w:rPr>
                <w:rFonts w:ascii="宋体" w:hAnsi="宋体" w:eastAsia="宋体" w:cs="宋体"/>
                <w:color w:val="auto"/>
                <w:sz w:val="24"/>
                <w:szCs w:val="24"/>
              </w:rPr>
            </w:pPr>
            <w:r>
              <w:rPr>
                <w:rFonts w:hint="eastAsia" w:ascii="宋体" w:hAnsi="宋体"/>
                <w:color w:val="auto"/>
                <w:sz w:val="24"/>
                <w:szCs w:val="24"/>
              </w:rPr>
              <w:t>应急预案</w:t>
            </w:r>
            <w:r>
              <w:rPr>
                <w:rFonts w:hint="eastAsia" w:ascii="宋体" w:hAnsi="宋体" w:cs="宋体"/>
                <w:bCs/>
                <w:color w:val="auto"/>
                <w:sz w:val="24"/>
                <w:szCs w:val="24"/>
              </w:rPr>
              <w:t>(10分)</w:t>
            </w:r>
          </w:p>
        </w:tc>
        <w:tc>
          <w:tcPr>
            <w:tcW w:w="4896" w:type="dxa"/>
            <w:gridSpan w:val="2"/>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276" w:lineRule="auto"/>
              <w:jc w:val="left"/>
              <w:rPr>
                <w:rFonts w:ascii="宋体" w:hAnsi="宋体" w:eastAsia="宋体" w:cs="宋体"/>
                <w:color w:val="auto"/>
                <w:sz w:val="24"/>
                <w:szCs w:val="24"/>
              </w:rPr>
            </w:pPr>
            <w:r>
              <w:rPr>
                <w:rFonts w:hint="eastAsia" w:ascii="宋体" w:hAnsi="宋体" w:eastAsia="宋体" w:cs="宋体"/>
                <w:color w:val="auto"/>
                <w:sz w:val="24"/>
                <w:szCs w:val="24"/>
              </w:rPr>
              <w:t>供应商提供的应急预案，对本项目监测设备的故障排除和紧急、突发事件的保障措施包括但不限于服务供应商提供的: ①事件发生的预警措施；②处理紧急、突发事件保障措施；③故障处理排除措施；④事后的保障措施，每提供一项得2.5分，不提供不得分；</w:t>
            </w:r>
          </w:p>
        </w:tc>
      </w:tr>
      <w:tr>
        <w:tblPrEx>
          <w:tblCellMar>
            <w:top w:w="0" w:type="dxa"/>
            <w:left w:w="10" w:type="dxa"/>
            <w:bottom w:w="0" w:type="dxa"/>
            <w:right w:w="10" w:type="dxa"/>
          </w:tblCellMar>
        </w:tblPrEx>
        <w:trPr>
          <w:jc w:val="center"/>
        </w:trPr>
        <w:tc>
          <w:tcPr>
            <w:tcW w:w="1811" w:type="dxa"/>
            <w:vMerge w:val="continue"/>
            <w:tcBorders>
              <w:left w:val="single" w:color="000000" w:sz="4" w:space="0"/>
              <w:right w:val="single" w:color="000000" w:sz="4" w:space="0"/>
            </w:tcBorders>
            <w:shd w:val="clear" w:color="000000" w:fill="FFFFFF"/>
            <w:tcMar>
              <w:left w:w="108" w:type="dxa"/>
              <w:right w:w="108" w:type="dxa"/>
            </w:tcMar>
            <w:vAlign w:val="center"/>
          </w:tcPr>
          <w:p>
            <w:pPr>
              <w:tabs>
                <w:tab w:val="left" w:pos="5130"/>
              </w:tabs>
              <w:spacing w:line="360" w:lineRule="auto"/>
              <w:rPr>
                <w:rFonts w:ascii="宋体" w:hAnsi="宋体" w:eastAsia="宋体" w:cs="宋体"/>
                <w:color w:val="auto"/>
                <w:sz w:val="24"/>
                <w:szCs w:val="24"/>
              </w:rPr>
            </w:pPr>
          </w:p>
        </w:tc>
        <w:tc>
          <w:tcPr>
            <w:tcW w:w="181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276" w:lineRule="auto"/>
              <w:jc w:val="left"/>
              <w:rPr>
                <w:rFonts w:ascii="宋体" w:hAnsi="宋体" w:eastAsia="宋体" w:cs="宋体"/>
                <w:color w:val="auto"/>
                <w:sz w:val="24"/>
                <w:szCs w:val="24"/>
              </w:rPr>
            </w:pPr>
            <w:r>
              <w:rPr>
                <w:rFonts w:hint="eastAsia" w:ascii="宋体" w:hAnsi="宋体" w:eastAsia="宋体" w:cs="宋体"/>
                <w:color w:val="auto"/>
                <w:sz w:val="24"/>
                <w:szCs w:val="24"/>
              </w:rPr>
              <w:t>供货方案</w:t>
            </w:r>
          </w:p>
          <w:p>
            <w:pPr>
              <w:spacing w:line="276" w:lineRule="auto"/>
              <w:jc w:val="left"/>
              <w:rPr>
                <w:rFonts w:ascii="宋体" w:hAnsi="宋体" w:eastAsia="宋体" w:cs="宋体"/>
                <w:color w:val="auto"/>
                <w:sz w:val="24"/>
                <w:szCs w:val="24"/>
              </w:rPr>
            </w:pP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分）</w:t>
            </w:r>
          </w:p>
        </w:tc>
        <w:tc>
          <w:tcPr>
            <w:tcW w:w="4896" w:type="dxa"/>
            <w:gridSpan w:val="2"/>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276" w:lineRule="auto"/>
              <w:jc w:val="left"/>
              <w:rPr>
                <w:rFonts w:hint="eastAsia"/>
                <w:color w:val="auto"/>
                <w:sz w:val="24"/>
                <w:szCs w:val="24"/>
              </w:rPr>
            </w:pPr>
            <w:r>
              <w:rPr>
                <w:rFonts w:hint="eastAsia" w:ascii="宋体" w:hAnsi="宋体" w:eastAsia="宋体" w:cs="宋体"/>
                <w:color w:val="auto"/>
                <w:sz w:val="24"/>
                <w:szCs w:val="24"/>
              </w:rPr>
              <w:t>供应商针对技术要求提供系统集成方案，仪器设备安装调试方案。</w:t>
            </w:r>
            <w:r>
              <w:rPr>
                <w:rFonts w:hint="eastAsia"/>
                <w:color w:val="auto"/>
                <w:sz w:val="24"/>
                <w:szCs w:val="24"/>
              </w:rPr>
              <w:t xml:space="preserve">得 </w:t>
            </w:r>
            <w:r>
              <w:rPr>
                <w:rFonts w:hint="eastAsia"/>
                <w:color w:val="auto"/>
                <w:sz w:val="24"/>
                <w:szCs w:val="24"/>
                <w:lang w:val="en-US" w:eastAsia="zh-CN"/>
              </w:rPr>
              <w:t>3</w:t>
            </w:r>
            <w:r>
              <w:rPr>
                <w:rFonts w:hint="eastAsia"/>
                <w:color w:val="auto"/>
                <w:sz w:val="24"/>
                <w:szCs w:val="24"/>
              </w:rPr>
              <w:t xml:space="preserve">分， </w:t>
            </w:r>
            <w:r>
              <w:rPr>
                <w:rFonts w:hint="eastAsia" w:ascii="宋体" w:hAnsi="宋体" w:eastAsia="宋体" w:cs="宋体"/>
                <w:color w:val="auto"/>
                <w:sz w:val="24"/>
                <w:szCs w:val="24"/>
              </w:rPr>
              <w:t>不提供不得分。</w:t>
            </w:r>
          </w:p>
        </w:tc>
      </w:tr>
      <w:tr>
        <w:tblPrEx>
          <w:tblCellMar>
            <w:top w:w="0" w:type="dxa"/>
            <w:left w:w="10" w:type="dxa"/>
            <w:bottom w:w="0" w:type="dxa"/>
            <w:right w:w="10" w:type="dxa"/>
          </w:tblCellMar>
        </w:tblPrEx>
        <w:trPr>
          <w:jc w:val="center"/>
        </w:trPr>
        <w:tc>
          <w:tcPr>
            <w:tcW w:w="1811" w:type="dxa"/>
            <w:vMerge w:val="continue"/>
            <w:tcBorders>
              <w:left w:val="single" w:color="000000" w:sz="4" w:space="0"/>
              <w:right w:val="single" w:color="000000" w:sz="4" w:space="0"/>
            </w:tcBorders>
            <w:shd w:val="clear" w:color="000000" w:fill="FFFFFF"/>
            <w:tcMar>
              <w:left w:w="108" w:type="dxa"/>
              <w:right w:w="108" w:type="dxa"/>
            </w:tcMar>
            <w:vAlign w:val="center"/>
          </w:tcPr>
          <w:p>
            <w:pPr>
              <w:tabs>
                <w:tab w:val="left" w:pos="5130"/>
              </w:tabs>
              <w:spacing w:line="360" w:lineRule="auto"/>
              <w:rPr>
                <w:rFonts w:ascii="宋体" w:hAnsi="宋体" w:eastAsia="宋体" w:cs="宋体"/>
                <w:color w:val="auto"/>
                <w:sz w:val="24"/>
                <w:szCs w:val="24"/>
              </w:rPr>
            </w:pPr>
          </w:p>
        </w:tc>
        <w:tc>
          <w:tcPr>
            <w:tcW w:w="181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276" w:lineRule="auto"/>
              <w:jc w:val="left"/>
              <w:rPr>
                <w:rFonts w:ascii="宋体" w:hAnsi="宋体" w:eastAsia="宋体" w:cs="宋体"/>
                <w:color w:val="auto"/>
                <w:sz w:val="24"/>
                <w:szCs w:val="24"/>
              </w:rPr>
            </w:pPr>
            <w:r>
              <w:rPr>
                <w:rFonts w:hint="eastAsia" w:ascii="宋体" w:hAnsi="宋体" w:eastAsia="宋体" w:cs="宋体"/>
                <w:color w:val="auto"/>
                <w:sz w:val="24"/>
                <w:szCs w:val="24"/>
              </w:rPr>
              <w:t>质量保证措施（5分）</w:t>
            </w:r>
          </w:p>
        </w:tc>
        <w:tc>
          <w:tcPr>
            <w:tcW w:w="4896" w:type="dxa"/>
            <w:gridSpan w:val="2"/>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276" w:lineRule="auto"/>
              <w:jc w:val="left"/>
              <w:rPr>
                <w:rFonts w:ascii="宋体" w:hAnsi="宋体" w:eastAsia="宋体" w:cs="宋体"/>
                <w:color w:val="auto"/>
                <w:sz w:val="24"/>
                <w:szCs w:val="24"/>
              </w:rPr>
            </w:pPr>
            <w:r>
              <w:rPr>
                <w:rFonts w:hint="eastAsia" w:ascii="宋体" w:hAnsi="宋体" w:eastAsia="宋体" w:cs="宋体"/>
                <w:color w:val="auto"/>
                <w:sz w:val="24"/>
                <w:szCs w:val="24"/>
              </w:rPr>
              <w:t>提供质量保证措施的得 5 分，不提供不得分。</w:t>
            </w:r>
          </w:p>
        </w:tc>
      </w:tr>
      <w:tr>
        <w:tblPrEx>
          <w:tblCellMar>
            <w:top w:w="0" w:type="dxa"/>
            <w:left w:w="10" w:type="dxa"/>
            <w:bottom w:w="0" w:type="dxa"/>
            <w:right w:w="10" w:type="dxa"/>
          </w:tblCellMar>
        </w:tblPrEx>
        <w:trPr>
          <w:jc w:val="center"/>
        </w:trPr>
        <w:tc>
          <w:tcPr>
            <w:tcW w:w="1811" w:type="dxa"/>
            <w:vMerge w:val="continue"/>
            <w:tcBorders>
              <w:left w:val="single" w:color="000000" w:sz="4" w:space="0"/>
              <w:right w:val="single" w:color="000000" w:sz="4" w:space="0"/>
            </w:tcBorders>
            <w:shd w:val="clear" w:color="000000" w:fill="FFFFFF"/>
            <w:tcMar>
              <w:left w:w="108" w:type="dxa"/>
              <w:right w:w="108" w:type="dxa"/>
            </w:tcMar>
            <w:vAlign w:val="center"/>
          </w:tcPr>
          <w:p>
            <w:pPr>
              <w:tabs>
                <w:tab w:val="left" w:pos="5130"/>
              </w:tabs>
              <w:spacing w:line="360" w:lineRule="auto"/>
              <w:rPr>
                <w:rFonts w:ascii="宋体" w:hAnsi="宋体" w:eastAsia="宋体" w:cs="宋体"/>
                <w:color w:val="auto"/>
                <w:sz w:val="24"/>
                <w:szCs w:val="24"/>
              </w:rPr>
            </w:pPr>
          </w:p>
        </w:tc>
        <w:tc>
          <w:tcPr>
            <w:tcW w:w="181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276" w:lineRule="auto"/>
              <w:jc w:val="left"/>
              <w:rPr>
                <w:rFonts w:ascii="宋体" w:hAnsi="宋体" w:eastAsia="宋体" w:cs="宋体"/>
                <w:color w:val="auto"/>
                <w:sz w:val="24"/>
                <w:szCs w:val="24"/>
              </w:rPr>
            </w:pPr>
            <w:r>
              <w:rPr>
                <w:rFonts w:hint="eastAsia" w:ascii="宋体" w:hAnsi="宋体" w:eastAsia="宋体" w:cs="宋体"/>
                <w:color w:val="auto"/>
                <w:sz w:val="24"/>
                <w:szCs w:val="24"/>
              </w:rPr>
              <w:t>现场勘察报告（5分）</w:t>
            </w:r>
          </w:p>
        </w:tc>
        <w:tc>
          <w:tcPr>
            <w:tcW w:w="4896" w:type="dxa"/>
            <w:gridSpan w:val="2"/>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276" w:lineRule="auto"/>
              <w:jc w:val="left"/>
              <w:rPr>
                <w:rFonts w:ascii="宋体" w:hAnsi="宋体" w:eastAsia="宋体" w:cs="宋体"/>
                <w:color w:val="auto"/>
                <w:sz w:val="24"/>
                <w:szCs w:val="24"/>
              </w:rPr>
            </w:pPr>
            <w:r>
              <w:rPr>
                <w:rFonts w:hint="eastAsia" w:ascii="宋体" w:hAnsi="宋体"/>
                <w:color w:val="auto"/>
                <w:sz w:val="24"/>
                <w:szCs w:val="24"/>
              </w:rPr>
              <w:t>供应商承诺提供现场勘察报告的得5分，不提供不得分。</w:t>
            </w:r>
          </w:p>
        </w:tc>
      </w:tr>
      <w:tr>
        <w:tblPrEx>
          <w:tblCellMar>
            <w:top w:w="0" w:type="dxa"/>
            <w:left w:w="10" w:type="dxa"/>
            <w:bottom w:w="0" w:type="dxa"/>
            <w:right w:w="10" w:type="dxa"/>
          </w:tblCellMar>
        </w:tblPrEx>
        <w:trPr>
          <w:jc w:val="center"/>
        </w:trPr>
        <w:tc>
          <w:tcPr>
            <w:tcW w:w="1811" w:type="dxa"/>
            <w:vMerge w:val="continue"/>
            <w:tcBorders>
              <w:left w:val="single" w:color="000000" w:sz="4" w:space="0"/>
              <w:right w:val="single" w:color="000000" w:sz="4" w:space="0"/>
            </w:tcBorders>
            <w:shd w:val="clear" w:color="000000" w:fill="FFFFFF"/>
            <w:tcMar>
              <w:left w:w="108" w:type="dxa"/>
              <w:right w:w="108" w:type="dxa"/>
            </w:tcMar>
            <w:vAlign w:val="center"/>
          </w:tcPr>
          <w:p>
            <w:pPr>
              <w:tabs>
                <w:tab w:val="left" w:pos="5130"/>
              </w:tabs>
              <w:spacing w:line="360" w:lineRule="auto"/>
              <w:rPr>
                <w:rFonts w:ascii="宋体" w:hAnsi="宋体" w:eastAsia="宋体" w:cs="宋体"/>
                <w:color w:val="auto"/>
                <w:sz w:val="24"/>
                <w:szCs w:val="24"/>
              </w:rPr>
            </w:pPr>
          </w:p>
        </w:tc>
        <w:tc>
          <w:tcPr>
            <w:tcW w:w="181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276" w:lineRule="auto"/>
              <w:jc w:val="left"/>
              <w:rPr>
                <w:rFonts w:hint="eastAsia" w:ascii="宋体" w:hAnsi="宋体" w:eastAsia="宋体" w:cs="宋体"/>
                <w:color w:val="auto"/>
                <w:sz w:val="24"/>
                <w:szCs w:val="24"/>
              </w:rPr>
            </w:pPr>
            <w:r>
              <w:rPr>
                <w:rFonts w:hint="eastAsia" w:ascii="宋体" w:hAnsi="宋体" w:eastAsia="宋体" w:cs="宋体"/>
                <w:color w:val="auto"/>
                <w:sz w:val="24"/>
                <w:szCs w:val="24"/>
              </w:rPr>
              <w:t>业绩（</w:t>
            </w: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分）</w:t>
            </w:r>
          </w:p>
        </w:tc>
        <w:tc>
          <w:tcPr>
            <w:tcW w:w="4896" w:type="dxa"/>
            <w:gridSpan w:val="2"/>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276" w:lineRule="auto"/>
              <w:jc w:val="left"/>
              <w:rPr>
                <w:rFonts w:hint="eastAsia" w:ascii="宋体" w:hAnsi="宋体"/>
                <w:color w:val="auto"/>
                <w:sz w:val="24"/>
                <w:szCs w:val="24"/>
              </w:rPr>
            </w:pPr>
            <w:r>
              <w:rPr>
                <w:rFonts w:hint="eastAsia" w:ascii="宋体" w:hAnsi="宋体"/>
                <w:color w:val="auto"/>
                <w:sz w:val="24"/>
                <w:szCs w:val="24"/>
              </w:rPr>
              <w:t>供应商具有自2021年1月1日起至今（以合同签署日期为准）所投环保仪器类或水污染监测类产品</w:t>
            </w:r>
            <w:r>
              <w:rPr>
                <w:rFonts w:hint="eastAsia" w:ascii="宋体" w:hAnsi="宋体"/>
                <w:color w:val="auto"/>
                <w:sz w:val="24"/>
                <w:szCs w:val="24"/>
                <w:lang w:val="en-US" w:eastAsia="zh-CN"/>
              </w:rPr>
              <w:t>类似</w:t>
            </w:r>
            <w:r>
              <w:rPr>
                <w:rFonts w:hint="eastAsia" w:ascii="宋体" w:hAnsi="宋体"/>
                <w:color w:val="auto"/>
                <w:sz w:val="24"/>
                <w:szCs w:val="24"/>
              </w:rPr>
              <w:t>业绩</w:t>
            </w:r>
            <w:r>
              <w:rPr>
                <w:rFonts w:hint="eastAsia" w:ascii="宋体" w:hAnsi="宋体"/>
                <w:color w:val="auto"/>
                <w:sz w:val="24"/>
                <w:szCs w:val="24"/>
                <w:lang w:eastAsia="zh-CN"/>
              </w:rPr>
              <w:t>，</w:t>
            </w:r>
            <w:r>
              <w:rPr>
                <w:rFonts w:hint="eastAsia" w:ascii="宋体" w:hAnsi="宋体"/>
                <w:color w:val="auto"/>
                <w:sz w:val="24"/>
                <w:szCs w:val="24"/>
                <w:lang w:val="en-US" w:eastAsia="zh-CN"/>
              </w:rPr>
              <w:t>需提供</w:t>
            </w:r>
            <w:r>
              <w:rPr>
                <w:rFonts w:hint="eastAsia" w:ascii="宋体" w:hAnsi="宋体"/>
                <w:color w:val="auto"/>
                <w:sz w:val="24"/>
                <w:szCs w:val="24"/>
              </w:rPr>
              <w:t>合同复印件，每有1个得</w:t>
            </w:r>
            <w:r>
              <w:rPr>
                <w:rFonts w:hint="eastAsia" w:ascii="宋体" w:hAnsi="宋体"/>
                <w:color w:val="auto"/>
                <w:sz w:val="24"/>
                <w:szCs w:val="24"/>
                <w:lang w:val="en-US" w:eastAsia="zh-CN"/>
              </w:rPr>
              <w:t>2</w:t>
            </w:r>
            <w:r>
              <w:rPr>
                <w:rFonts w:hint="eastAsia" w:ascii="宋体" w:hAnsi="宋体"/>
                <w:color w:val="auto"/>
                <w:sz w:val="24"/>
                <w:szCs w:val="24"/>
              </w:rPr>
              <w:t>分，最多得</w:t>
            </w:r>
            <w:r>
              <w:rPr>
                <w:rFonts w:hint="eastAsia" w:ascii="宋体" w:hAnsi="宋体"/>
                <w:color w:val="auto"/>
                <w:sz w:val="24"/>
                <w:szCs w:val="24"/>
                <w:lang w:val="en-US" w:eastAsia="zh-CN"/>
              </w:rPr>
              <w:t>4</w:t>
            </w:r>
            <w:r>
              <w:rPr>
                <w:rFonts w:hint="eastAsia" w:ascii="宋体" w:hAnsi="宋体"/>
                <w:color w:val="auto"/>
                <w:sz w:val="24"/>
                <w:szCs w:val="24"/>
              </w:rPr>
              <w:t>分。</w:t>
            </w:r>
          </w:p>
        </w:tc>
      </w:tr>
      <w:tr>
        <w:tblPrEx>
          <w:tblCellMar>
            <w:top w:w="0" w:type="dxa"/>
            <w:left w:w="10" w:type="dxa"/>
            <w:bottom w:w="0" w:type="dxa"/>
            <w:right w:w="10" w:type="dxa"/>
          </w:tblCellMar>
        </w:tblPrEx>
        <w:trPr>
          <w:jc w:val="center"/>
        </w:trPr>
        <w:tc>
          <w:tcPr>
            <w:tcW w:w="1811" w:type="dxa"/>
            <w:vMerge w:val="continue"/>
            <w:tcBorders>
              <w:left w:val="single" w:color="000000" w:sz="4" w:space="0"/>
              <w:bottom w:val="single" w:color="000000" w:sz="0" w:space="0"/>
              <w:right w:val="single" w:color="000000" w:sz="4" w:space="0"/>
            </w:tcBorders>
            <w:shd w:val="clear" w:color="000000" w:fill="FFFFFF"/>
            <w:tcMar>
              <w:left w:w="108" w:type="dxa"/>
              <w:right w:w="108" w:type="dxa"/>
            </w:tcMar>
            <w:vAlign w:val="center"/>
          </w:tcPr>
          <w:p>
            <w:pPr>
              <w:tabs>
                <w:tab w:val="left" w:pos="5130"/>
              </w:tabs>
              <w:spacing w:line="360" w:lineRule="auto"/>
              <w:rPr>
                <w:rFonts w:ascii="宋体" w:hAnsi="宋体" w:eastAsia="宋体" w:cs="宋体"/>
                <w:color w:val="auto"/>
                <w:sz w:val="24"/>
                <w:szCs w:val="24"/>
              </w:rPr>
            </w:pPr>
          </w:p>
        </w:tc>
        <w:tc>
          <w:tcPr>
            <w:tcW w:w="1815" w:type="dxa"/>
            <w:tcBorders>
              <w:top w:val="single" w:color="000000" w:sz="4" w:space="0"/>
              <w:left w:val="single" w:color="000000" w:sz="4" w:space="0"/>
              <w:bottom w:val="single" w:color="000000" w:sz="0" w:space="0"/>
              <w:right w:val="single" w:color="000000" w:sz="4" w:space="0"/>
            </w:tcBorders>
            <w:shd w:val="clear" w:color="000000" w:fill="FFFFFF"/>
            <w:tcMar>
              <w:left w:w="108" w:type="dxa"/>
              <w:right w:w="108" w:type="dxa"/>
            </w:tcMar>
            <w:vAlign w:val="center"/>
          </w:tcPr>
          <w:p>
            <w:pPr>
              <w:spacing w:line="276" w:lineRule="auto"/>
              <w:jc w:val="left"/>
              <w:rPr>
                <w:rFonts w:hint="eastAsia" w:ascii="宋体" w:hAnsi="宋体" w:eastAsia="宋体" w:cs="宋体"/>
                <w:color w:val="auto"/>
                <w:sz w:val="24"/>
                <w:szCs w:val="24"/>
              </w:rPr>
            </w:pPr>
            <w:r>
              <w:rPr>
                <w:color w:val="auto"/>
                <w:sz w:val="24"/>
              </w:rPr>
              <w:t>技术培训方案</w:t>
            </w:r>
            <w:r>
              <w:rPr>
                <w:rFonts w:hint="eastAsia"/>
                <w:color w:val="auto"/>
                <w:sz w:val="24"/>
              </w:rPr>
              <w:t>（</w:t>
            </w:r>
            <w:r>
              <w:rPr>
                <w:rFonts w:hint="eastAsia"/>
                <w:color w:val="auto"/>
                <w:sz w:val="24"/>
                <w:lang w:val="en-US" w:eastAsia="zh-CN"/>
              </w:rPr>
              <w:t>3</w:t>
            </w:r>
            <w:r>
              <w:rPr>
                <w:rFonts w:hint="eastAsia"/>
                <w:color w:val="auto"/>
                <w:sz w:val="24"/>
              </w:rPr>
              <w:t>分）</w:t>
            </w:r>
          </w:p>
        </w:tc>
        <w:tc>
          <w:tcPr>
            <w:tcW w:w="4896" w:type="dxa"/>
            <w:gridSpan w:val="2"/>
            <w:tcBorders>
              <w:top w:val="single" w:color="000000" w:sz="4" w:space="0"/>
              <w:left w:val="single" w:color="000000" w:sz="4" w:space="0"/>
              <w:bottom w:val="single" w:color="000000" w:sz="0" w:space="0"/>
              <w:right w:val="single" w:color="000000" w:sz="4" w:space="0"/>
            </w:tcBorders>
            <w:shd w:val="clear" w:color="000000" w:fill="FFFFFF"/>
            <w:tcMar>
              <w:left w:w="108" w:type="dxa"/>
              <w:right w:w="108" w:type="dxa"/>
            </w:tcMar>
            <w:vAlign w:val="center"/>
          </w:tcPr>
          <w:p>
            <w:pPr>
              <w:spacing w:line="276" w:lineRule="auto"/>
              <w:jc w:val="left"/>
              <w:rPr>
                <w:rFonts w:hint="eastAsia" w:ascii="宋体" w:hAnsi="宋体"/>
                <w:color w:val="auto"/>
                <w:sz w:val="24"/>
                <w:szCs w:val="24"/>
              </w:rPr>
            </w:pPr>
            <w:r>
              <w:rPr>
                <w:rFonts w:hint="eastAsia"/>
                <w:color w:val="auto"/>
                <w:sz w:val="24"/>
              </w:rPr>
              <w:t>提供的技术培训方案</w:t>
            </w:r>
            <w:r>
              <w:rPr>
                <w:rFonts w:hint="eastAsia"/>
                <w:color w:val="auto"/>
                <w:sz w:val="24"/>
                <w:lang w:val="en-US" w:eastAsia="zh-CN"/>
              </w:rPr>
              <w:t>包括但不限于（</w:t>
            </w:r>
            <w:r>
              <w:rPr>
                <w:rFonts w:hint="eastAsia"/>
                <w:color w:val="auto"/>
                <w:sz w:val="24"/>
              </w:rPr>
              <w:t>培训计划、培训内容、培训目标</w:t>
            </w:r>
            <w:r>
              <w:rPr>
                <w:rFonts w:hint="eastAsia"/>
                <w:color w:val="auto"/>
                <w:sz w:val="24"/>
                <w:lang w:eastAsia="zh-CN"/>
              </w:rPr>
              <w:t>）</w:t>
            </w:r>
            <w:r>
              <w:rPr>
                <w:rFonts w:hint="eastAsia"/>
                <w:color w:val="auto"/>
                <w:sz w:val="24"/>
                <w:lang w:val="en-US" w:eastAsia="zh-CN"/>
              </w:rPr>
              <w:t>等内容</w:t>
            </w:r>
            <w:r>
              <w:rPr>
                <w:rFonts w:hint="eastAsia"/>
                <w:color w:val="auto"/>
                <w:sz w:val="24"/>
              </w:rPr>
              <w:t>，每提供一项得</w:t>
            </w:r>
            <w:r>
              <w:rPr>
                <w:rFonts w:hint="eastAsia"/>
                <w:color w:val="auto"/>
                <w:sz w:val="24"/>
                <w:lang w:val="en-US" w:eastAsia="zh-CN"/>
              </w:rPr>
              <w:t>1</w:t>
            </w:r>
            <w:r>
              <w:rPr>
                <w:rFonts w:hint="eastAsia"/>
                <w:color w:val="auto"/>
                <w:sz w:val="24"/>
              </w:rPr>
              <w:t>分，共</w:t>
            </w:r>
            <w:r>
              <w:rPr>
                <w:rFonts w:hint="eastAsia"/>
                <w:color w:val="auto"/>
                <w:sz w:val="24"/>
                <w:lang w:val="en-US" w:eastAsia="zh-CN"/>
              </w:rPr>
              <w:t>3</w:t>
            </w:r>
            <w:r>
              <w:rPr>
                <w:rFonts w:hint="eastAsia"/>
                <w:color w:val="auto"/>
                <w:sz w:val="24"/>
              </w:rPr>
              <w:t>分。</w:t>
            </w:r>
          </w:p>
        </w:tc>
      </w:tr>
    </w:tbl>
    <w:p>
      <w:pPr>
        <w:tabs>
          <w:tab w:val="left" w:pos="0"/>
          <w:tab w:val="left" w:pos="993"/>
          <w:tab w:val="left" w:pos="1134"/>
        </w:tabs>
        <w:ind w:firstLine="480"/>
        <w:rPr>
          <w:rFonts w:ascii="宋体" w:hAnsi="宋体" w:eastAsia="宋体" w:cs="宋体"/>
          <w:color w:val="auto"/>
          <w:sz w:val="24"/>
        </w:rPr>
      </w:pPr>
    </w:p>
    <w:p>
      <w:pPr>
        <w:spacing w:line="560" w:lineRule="auto"/>
        <w:rPr>
          <w:rFonts w:ascii="宋体" w:hAnsi="宋体" w:eastAsia="宋体" w:cs="宋体"/>
          <w:b/>
          <w:color w:val="auto"/>
          <w:sz w:val="24"/>
        </w:rPr>
      </w:pPr>
      <w:r>
        <w:rPr>
          <w:rFonts w:ascii="宋体" w:hAnsi="宋体" w:eastAsia="宋体" w:cs="宋体"/>
          <w:b/>
          <w:color w:val="auto"/>
          <w:sz w:val="24"/>
        </w:rPr>
        <w:t xml:space="preserve">  最终得分为磋商小组所有成员计分的算术平均值，计算保留小数点两位，小数点后第三位四舍五入。</w:t>
      </w:r>
    </w:p>
    <w:p>
      <w:pPr>
        <w:spacing w:line="560" w:lineRule="auto"/>
        <w:ind w:firstLine="480"/>
        <w:rPr>
          <w:rFonts w:ascii="宋体" w:hAnsi="宋体" w:eastAsia="宋体" w:cs="宋体"/>
          <w:color w:val="auto"/>
          <w:sz w:val="24"/>
        </w:rPr>
      </w:pPr>
      <w:r>
        <w:rPr>
          <w:rFonts w:ascii="宋体" w:hAnsi="宋体" w:eastAsia="宋体" w:cs="宋体"/>
          <w:color w:val="auto"/>
          <w:sz w:val="24"/>
        </w:rPr>
        <w:t>22.3磋商小组根据综合评分情况，按照评审得分由高到低顺序推荐成交候选供应商，并编写评审报告。综合得分相同的供应商，报价较低者优先；报价也相同的，由采购人自行确定。</w:t>
      </w:r>
    </w:p>
    <w:p>
      <w:pPr>
        <w:spacing w:line="560" w:lineRule="auto"/>
        <w:ind w:firstLine="480"/>
        <w:rPr>
          <w:rFonts w:ascii="宋体" w:hAnsi="宋体" w:eastAsia="宋体" w:cs="宋体"/>
          <w:color w:val="auto"/>
          <w:sz w:val="24"/>
        </w:rPr>
      </w:pPr>
      <w:r>
        <w:rPr>
          <w:rFonts w:ascii="宋体" w:hAnsi="宋体" w:eastAsia="宋体" w:cs="宋体"/>
          <w:color w:val="auto"/>
          <w:sz w:val="24"/>
        </w:rPr>
        <w:t>22.4采购人应当从评审报告提出的成交候选供应商中，按照排序由高到低的原则确定成交供应商，也可以书面授权磋商小组直接确定成交供应商。采购人逾期未确定成交供应商且不提出异议的，视为确定评审报告提出的排序第一的供应商为成交供应商。</w:t>
      </w:r>
    </w:p>
    <w:p>
      <w:pPr>
        <w:spacing w:line="560" w:lineRule="auto"/>
        <w:ind w:firstLine="480"/>
        <w:rPr>
          <w:rFonts w:ascii="宋体" w:hAnsi="宋体" w:eastAsia="宋体" w:cs="宋体"/>
          <w:b/>
          <w:color w:val="auto"/>
          <w:sz w:val="24"/>
        </w:rPr>
      </w:pPr>
      <w:r>
        <w:rPr>
          <w:rFonts w:ascii="宋体" w:hAnsi="宋体" w:eastAsia="宋体" w:cs="宋体"/>
          <w:color w:val="auto"/>
          <w:sz w:val="24"/>
        </w:rPr>
        <w:t>22.5若供应商的报价高于项目预算，磋商小组有权根据采购人意见及其实际情况，拒绝该报价。</w:t>
      </w:r>
    </w:p>
    <w:p>
      <w:pPr>
        <w:spacing w:line="560" w:lineRule="auto"/>
        <w:ind w:firstLine="480"/>
        <w:rPr>
          <w:rFonts w:ascii="宋体" w:hAnsi="宋体" w:eastAsia="宋体" w:cs="宋体"/>
          <w:color w:val="auto"/>
          <w:sz w:val="24"/>
        </w:rPr>
      </w:pPr>
      <w:r>
        <w:rPr>
          <w:rFonts w:ascii="宋体" w:hAnsi="宋体" w:eastAsia="宋体" w:cs="宋体"/>
          <w:color w:val="auto"/>
          <w:sz w:val="24"/>
        </w:rPr>
        <w:t>22.6为保证成交结果的公正性，竞争性磋商期间直至授予供应商合同时，竞争性磋商小组成员不得与供应商私下交换意见。在竞争性磋商结束后，凡与竞争性磋商情况有接触的任何人不得将竞争性磋商情况扩散出竞争性磋商小组成员之外。</w:t>
      </w:r>
    </w:p>
    <w:p>
      <w:pPr>
        <w:spacing w:line="560" w:lineRule="auto"/>
        <w:ind w:firstLine="480"/>
        <w:rPr>
          <w:rFonts w:ascii="宋体" w:hAnsi="宋体" w:eastAsia="宋体" w:cs="宋体"/>
          <w:color w:val="auto"/>
          <w:sz w:val="24"/>
        </w:rPr>
      </w:pPr>
      <w:r>
        <w:rPr>
          <w:rFonts w:ascii="宋体" w:hAnsi="宋体" w:eastAsia="宋体" w:cs="宋体"/>
          <w:color w:val="auto"/>
          <w:sz w:val="24"/>
        </w:rPr>
        <w:t>22.7在竞争性磋商期间，</w:t>
      </w:r>
      <w:r>
        <w:rPr>
          <w:rFonts w:hint="eastAsia" w:ascii="宋体" w:hAnsi="宋体" w:eastAsia="宋体" w:cs="宋体"/>
          <w:color w:val="auto"/>
          <w:sz w:val="24"/>
        </w:rPr>
        <w:t>供应商需保证并承诺</w:t>
      </w:r>
      <w:r>
        <w:rPr>
          <w:rFonts w:ascii="宋体" w:hAnsi="宋体" w:eastAsia="宋体" w:cs="宋体"/>
          <w:color w:val="auto"/>
          <w:sz w:val="24"/>
        </w:rPr>
        <w:t>不得向竞争性磋商小组成员询问其它供应商竞争性磋商情况，不得进行旨在影响成交结果的活动。</w:t>
      </w:r>
    </w:p>
    <w:p>
      <w:pPr>
        <w:spacing w:line="560" w:lineRule="auto"/>
        <w:ind w:firstLine="480"/>
        <w:rPr>
          <w:rFonts w:ascii="宋体" w:hAnsi="宋体" w:eastAsia="宋体" w:cs="宋体"/>
          <w:color w:val="auto"/>
          <w:sz w:val="24"/>
        </w:rPr>
      </w:pPr>
      <w:r>
        <w:rPr>
          <w:rFonts w:ascii="宋体" w:hAnsi="宋体" w:eastAsia="宋体" w:cs="宋体"/>
          <w:color w:val="auto"/>
          <w:sz w:val="24"/>
        </w:rPr>
        <w:t>22.8在竞争性磋商期间，采购人将有专门人员与供应商进行联络。</w:t>
      </w:r>
    </w:p>
    <w:p>
      <w:pPr>
        <w:spacing w:line="560" w:lineRule="auto"/>
        <w:ind w:firstLine="482"/>
        <w:rPr>
          <w:rFonts w:ascii="宋体" w:hAnsi="宋体" w:eastAsia="宋体" w:cs="宋体"/>
          <w:b/>
          <w:color w:val="auto"/>
          <w:sz w:val="24"/>
        </w:rPr>
      </w:pPr>
      <w:r>
        <w:rPr>
          <w:rFonts w:ascii="宋体" w:hAnsi="宋体" w:eastAsia="宋体" w:cs="宋体"/>
          <w:b/>
          <w:color w:val="auto"/>
          <w:sz w:val="24"/>
        </w:rPr>
        <w:t>23.竞争性磋商终止</w:t>
      </w:r>
    </w:p>
    <w:p>
      <w:pPr>
        <w:spacing w:line="560" w:lineRule="auto"/>
        <w:ind w:firstLine="480"/>
        <w:rPr>
          <w:rFonts w:ascii="宋体" w:hAnsi="宋体" w:eastAsia="宋体" w:cs="宋体"/>
          <w:b/>
          <w:color w:val="auto"/>
          <w:sz w:val="24"/>
        </w:rPr>
      </w:pPr>
      <w:r>
        <w:rPr>
          <w:rFonts w:ascii="宋体" w:hAnsi="宋体" w:eastAsia="宋体" w:cs="宋体"/>
          <w:color w:val="auto"/>
          <w:sz w:val="24"/>
        </w:rPr>
        <w:t>23.1出现下列情形之一时，采购人有权宣布竞争性磋商终止，并将理由通知所有供应商：</w:t>
      </w:r>
    </w:p>
    <w:p>
      <w:pPr>
        <w:spacing w:line="560" w:lineRule="auto"/>
        <w:ind w:firstLine="480"/>
        <w:rPr>
          <w:rFonts w:ascii="宋体" w:hAnsi="宋体" w:eastAsia="宋体" w:cs="宋体"/>
          <w:color w:val="auto"/>
          <w:sz w:val="24"/>
        </w:rPr>
      </w:pPr>
      <w:r>
        <w:rPr>
          <w:rFonts w:ascii="宋体" w:hAnsi="宋体" w:eastAsia="宋体" w:cs="宋体"/>
          <w:color w:val="auto"/>
          <w:sz w:val="24"/>
        </w:rPr>
        <w:t>（1）因情况变化，不再符合竞争性磋商适用情形的；</w:t>
      </w:r>
    </w:p>
    <w:p>
      <w:pPr>
        <w:spacing w:line="560" w:lineRule="auto"/>
        <w:ind w:firstLine="480"/>
        <w:rPr>
          <w:rFonts w:ascii="宋体" w:hAnsi="宋体" w:eastAsia="宋体" w:cs="宋体"/>
          <w:color w:val="auto"/>
          <w:sz w:val="24"/>
        </w:rPr>
      </w:pPr>
      <w:r>
        <w:rPr>
          <w:rFonts w:ascii="宋体" w:hAnsi="宋体" w:eastAsia="宋体" w:cs="宋体"/>
          <w:color w:val="auto"/>
          <w:sz w:val="24"/>
        </w:rPr>
        <w:t>（2）出现影响采购公正的违法、违规行为的；</w:t>
      </w:r>
    </w:p>
    <w:p>
      <w:pPr>
        <w:spacing w:line="560" w:lineRule="auto"/>
        <w:ind w:firstLine="480"/>
        <w:rPr>
          <w:rFonts w:ascii="宋体" w:hAnsi="宋体" w:eastAsia="宋体" w:cs="宋体"/>
          <w:color w:val="auto"/>
          <w:sz w:val="24"/>
        </w:rPr>
      </w:pPr>
      <w:r>
        <w:rPr>
          <w:rFonts w:ascii="宋体" w:hAnsi="宋体" w:eastAsia="宋体" w:cs="宋体"/>
          <w:color w:val="auto"/>
          <w:sz w:val="24"/>
        </w:rPr>
        <w:t>（3）在采购过程中符合磋商文件要求的供应商不足3家的；</w:t>
      </w:r>
    </w:p>
    <w:p>
      <w:pPr>
        <w:spacing w:line="560" w:lineRule="auto"/>
        <w:ind w:firstLine="480"/>
        <w:rPr>
          <w:rFonts w:ascii="宋体" w:hAnsi="宋体" w:eastAsia="宋体" w:cs="宋体"/>
          <w:b/>
          <w:color w:val="auto"/>
          <w:sz w:val="24"/>
        </w:rPr>
      </w:pPr>
      <w:r>
        <w:rPr>
          <w:rFonts w:ascii="宋体" w:hAnsi="宋体" w:eastAsia="宋体" w:cs="宋体"/>
          <w:color w:val="auto"/>
          <w:sz w:val="24"/>
        </w:rPr>
        <w:t>（4）在采购活动中因重大变故，采购任务取消的；</w:t>
      </w:r>
    </w:p>
    <w:p>
      <w:pPr>
        <w:spacing w:line="720" w:lineRule="auto"/>
        <w:jc w:val="center"/>
        <w:rPr>
          <w:rFonts w:ascii="宋体" w:hAnsi="宋体" w:eastAsia="宋体" w:cs="宋体"/>
          <w:b/>
          <w:color w:val="auto"/>
          <w:sz w:val="24"/>
        </w:rPr>
      </w:pPr>
      <w:r>
        <w:rPr>
          <w:rFonts w:ascii="宋体" w:hAnsi="宋体" w:eastAsia="宋体" w:cs="宋体"/>
          <w:b/>
          <w:color w:val="auto"/>
          <w:sz w:val="24"/>
        </w:rPr>
        <w:t>七、成交通知</w:t>
      </w:r>
    </w:p>
    <w:p>
      <w:pPr>
        <w:spacing w:line="560" w:lineRule="auto"/>
        <w:ind w:firstLine="482"/>
        <w:rPr>
          <w:rFonts w:ascii="宋体" w:hAnsi="宋体" w:eastAsia="宋体" w:cs="宋体"/>
          <w:b/>
          <w:color w:val="auto"/>
          <w:sz w:val="24"/>
        </w:rPr>
      </w:pPr>
      <w:r>
        <w:rPr>
          <w:rFonts w:ascii="宋体" w:hAnsi="宋体" w:eastAsia="宋体" w:cs="宋体"/>
          <w:b/>
          <w:color w:val="auto"/>
          <w:sz w:val="24"/>
        </w:rPr>
        <w:t>24.成交通知</w:t>
      </w:r>
    </w:p>
    <w:p>
      <w:pPr>
        <w:tabs>
          <w:tab w:val="left" w:pos="1800"/>
        </w:tabs>
        <w:spacing w:line="560" w:lineRule="auto"/>
        <w:ind w:firstLine="480"/>
        <w:rPr>
          <w:rFonts w:ascii="宋体" w:hAnsi="宋体" w:eastAsia="宋体" w:cs="宋体"/>
          <w:color w:val="auto"/>
          <w:sz w:val="24"/>
        </w:rPr>
      </w:pPr>
      <w:r>
        <w:rPr>
          <w:rFonts w:ascii="宋体" w:hAnsi="宋体" w:eastAsia="宋体" w:cs="宋体"/>
          <w:color w:val="auto"/>
          <w:sz w:val="24"/>
        </w:rPr>
        <w:t>24.1在发出成交公告后请采购人、中标人登录周口市公共资源交易中心网（http://jyzx.zhoukou.gov.cn）自行下载成交通知书，成交通知书将作为签订合同的依据。</w:t>
      </w:r>
    </w:p>
    <w:p>
      <w:pPr>
        <w:tabs>
          <w:tab w:val="left" w:pos="1800"/>
        </w:tabs>
        <w:spacing w:line="560" w:lineRule="auto"/>
        <w:ind w:firstLine="480"/>
        <w:rPr>
          <w:rFonts w:ascii="宋体" w:hAnsi="宋体" w:eastAsia="宋体" w:cs="宋体"/>
          <w:color w:val="auto"/>
          <w:sz w:val="24"/>
        </w:rPr>
      </w:pPr>
      <w:r>
        <w:rPr>
          <w:rFonts w:ascii="宋体" w:hAnsi="宋体" w:eastAsia="宋体" w:cs="宋体"/>
          <w:color w:val="auto"/>
          <w:sz w:val="24"/>
        </w:rPr>
        <w:t>24.2成交通知书对采购人和成交供应商具有同等法律效力。成交通知书发出后，采购人改变成交结果，或者成交供应商放弃成交，应当承担相应的法律责任。</w:t>
      </w:r>
    </w:p>
    <w:p>
      <w:pPr>
        <w:spacing w:line="720" w:lineRule="auto"/>
        <w:jc w:val="center"/>
        <w:rPr>
          <w:rFonts w:ascii="宋体" w:hAnsi="宋体" w:eastAsia="宋体" w:cs="宋体"/>
          <w:color w:val="auto"/>
          <w:sz w:val="24"/>
        </w:rPr>
      </w:pPr>
      <w:r>
        <w:rPr>
          <w:rFonts w:ascii="宋体" w:hAnsi="宋体" w:eastAsia="宋体" w:cs="宋体"/>
          <w:b/>
          <w:color w:val="auto"/>
          <w:sz w:val="24"/>
        </w:rPr>
        <w:t>八、合同授予</w:t>
      </w:r>
    </w:p>
    <w:p>
      <w:pPr>
        <w:tabs>
          <w:tab w:val="left" w:pos="1620"/>
        </w:tabs>
        <w:spacing w:line="560" w:lineRule="auto"/>
        <w:ind w:firstLine="482"/>
        <w:rPr>
          <w:rFonts w:ascii="宋体" w:hAnsi="宋体" w:eastAsia="宋体" w:cs="宋体"/>
          <w:b/>
          <w:color w:val="auto"/>
          <w:sz w:val="24"/>
        </w:rPr>
      </w:pPr>
      <w:r>
        <w:rPr>
          <w:rFonts w:ascii="宋体" w:hAnsi="宋体" w:eastAsia="宋体" w:cs="宋体"/>
          <w:b/>
          <w:color w:val="auto"/>
          <w:sz w:val="24"/>
        </w:rPr>
        <w:t>25.签订合同及合同的执行</w:t>
      </w:r>
    </w:p>
    <w:p>
      <w:pPr>
        <w:spacing w:line="560" w:lineRule="auto"/>
        <w:ind w:firstLine="480"/>
        <w:rPr>
          <w:rFonts w:ascii="宋体" w:hAnsi="宋体" w:eastAsia="宋体" w:cs="宋体"/>
          <w:color w:val="auto"/>
          <w:sz w:val="24"/>
        </w:rPr>
      </w:pPr>
      <w:r>
        <w:rPr>
          <w:rFonts w:hint="eastAsia" w:ascii="宋体" w:hAnsi="宋体" w:eastAsia="宋体" w:cs="宋体"/>
          <w:color w:val="auto"/>
          <w:sz w:val="24"/>
        </w:rPr>
        <w:t>25.1成交供应商应在成交公告发布2个工作日内领取中标通知书并与采购人签订合同（在响应文件中做出承诺）。</w:t>
      </w:r>
    </w:p>
    <w:p>
      <w:pPr>
        <w:spacing w:line="560" w:lineRule="auto"/>
        <w:ind w:firstLine="480"/>
        <w:rPr>
          <w:rFonts w:ascii="宋体" w:hAnsi="宋体" w:eastAsia="宋体" w:cs="宋体"/>
          <w:color w:val="auto"/>
          <w:sz w:val="24"/>
        </w:rPr>
      </w:pPr>
      <w:r>
        <w:rPr>
          <w:rFonts w:ascii="宋体" w:hAnsi="宋体" w:eastAsia="宋体" w:cs="宋体"/>
          <w:color w:val="auto"/>
          <w:sz w:val="24"/>
        </w:rPr>
        <w:t>25.2采购人不得向成交供应商提出超过竞争性磋商文件以外的任何要求作为签订合同的条件，不得与成交供应商订立背离竞争性磋商文件确定的合同文本协议。</w:t>
      </w:r>
    </w:p>
    <w:p>
      <w:pPr>
        <w:spacing w:line="560" w:lineRule="auto"/>
        <w:ind w:firstLine="480"/>
        <w:rPr>
          <w:rFonts w:ascii="宋体" w:hAnsi="宋体" w:eastAsia="宋体" w:cs="宋体"/>
          <w:color w:val="auto"/>
          <w:sz w:val="24"/>
        </w:rPr>
      </w:pPr>
      <w:r>
        <w:rPr>
          <w:rFonts w:hint="eastAsia" w:ascii="宋体" w:hAnsi="宋体" w:eastAsia="宋体" w:cs="宋体"/>
          <w:color w:val="auto"/>
          <w:sz w:val="24"/>
        </w:rPr>
        <w:t>25.3采购人、成交供应商按照竞争性磋商文件确定的合同文本签订政府采购合同。成交供应商应按照成交通知规定的时间、地点与采购人签订成交合同，否则给采购人造成损失的，谈判供应商还应承担赔偿责任。供应商在响应文件中必须提供交货期承诺书，承诺在交货期内交付合格的货物，逾期交货的取消其成交资格并承担所有责任。否则视为不响应招标文件实质性内容。</w:t>
      </w:r>
    </w:p>
    <w:p>
      <w:pPr>
        <w:spacing w:line="560" w:lineRule="auto"/>
        <w:ind w:firstLine="480"/>
        <w:rPr>
          <w:rFonts w:ascii="宋体" w:hAnsi="宋体" w:eastAsia="宋体" w:cs="宋体"/>
          <w:color w:val="auto"/>
          <w:sz w:val="24"/>
        </w:rPr>
      </w:pPr>
      <w:r>
        <w:rPr>
          <w:rFonts w:hint="eastAsia" w:ascii="宋体" w:hAnsi="宋体" w:eastAsia="宋体" w:cs="宋体"/>
          <w:color w:val="auto"/>
          <w:sz w:val="24"/>
        </w:rPr>
        <w:t>25.4供应商需在响应文件中出具保证书，保证本项目不挂靠、不违法分包，一旦发现挂靠、违法分包等情形，甲方有权解除合同，且供应商承诺自愿接受甲方的经济处罚及其他处罚，否则视为不响应招标文件实质性内容。</w:t>
      </w:r>
    </w:p>
    <w:p>
      <w:pPr>
        <w:pStyle w:val="2"/>
        <w:rPr>
          <w:color w:val="auto"/>
        </w:rPr>
      </w:pPr>
    </w:p>
    <w:p>
      <w:pPr>
        <w:spacing w:line="720" w:lineRule="auto"/>
        <w:jc w:val="center"/>
        <w:rPr>
          <w:rFonts w:ascii="宋体" w:hAnsi="宋体" w:eastAsia="宋体" w:cs="宋体"/>
          <w:b/>
          <w:color w:val="auto"/>
          <w:sz w:val="24"/>
        </w:rPr>
      </w:pPr>
      <w:r>
        <w:rPr>
          <w:rFonts w:ascii="宋体" w:hAnsi="宋体" w:eastAsia="宋体" w:cs="宋体"/>
          <w:b/>
          <w:color w:val="auto"/>
          <w:sz w:val="24"/>
        </w:rPr>
        <w:t>九、质疑处理</w:t>
      </w:r>
    </w:p>
    <w:p>
      <w:pPr>
        <w:spacing w:line="560" w:lineRule="auto"/>
        <w:ind w:firstLine="482"/>
        <w:rPr>
          <w:rFonts w:ascii="宋体" w:hAnsi="宋体" w:eastAsia="宋体" w:cs="宋体"/>
          <w:b/>
          <w:color w:val="auto"/>
          <w:sz w:val="24"/>
        </w:rPr>
      </w:pPr>
      <w:r>
        <w:rPr>
          <w:rFonts w:ascii="宋体" w:hAnsi="宋体" w:eastAsia="宋体" w:cs="宋体"/>
          <w:b/>
          <w:color w:val="auto"/>
          <w:sz w:val="24"/>
        </w:rPr>
        <w:t>26.质疑程序及处理</w:t>
      </w:r>
    </w:p>
    <w:p>
      <w:pPr>
        <w:spacing w:line="560" w:lineRule="auto"/>
        <w:ind w:firstLine="480"/>
        <w:rPr>
          <w:rFonts w:ascii="宋体" w:hAnsi="宋体" w:eastAsia="宋体" w:cs="宋体"/>
          <w:color w:val="auto"/>
          <w:sz w:val="24"/>
        </w:rPr>
      </w:pPr>
      <w:r>
        <w:rPr>
          <w:rFonts w:ascii="宋体" w:hAnsi="宋体" w:eastAsia="宋体" w:cs="宋体"/>
          <w:color w:val="auto"/>
          <w:sz w:val="24"/>
        </w:rPr>
        <w:t>26.1供应商认为采购过程、成交结果使自己的合法权益受到损害的，可以在知道或应当知道自己的权益受到损害之日起7个工作日内，由投标人授权代表（或法人代表）按照相关规定，向采购人提出质疑，逾期不予受理。</w:t>
      </w:r>
    </w:p>
    <w:p>
      <w:pPr>
        <w:spacing w:line="560" w:lineRule="auto"/>
        <w:ind w:firstLine="480"/>
        <w:rPr>
          <w:rFonts w:ascii="宋体" w:hAnsi="宋体" w:eastAsia="宋体" w:cs="宋体"/>
          <w:color w:val="auto"/>
          <w:sz w:val="24"/>
        </w:rPr>
      </w:pPr>
      <w:r>
        <w:rPr>
          <w:rFonts w:ascii="宋体" w:hAnsi="宋体" w:eastAsia="宋体" w:cs="宋体"/>
          <w:color w:val="auto"/>
          <w:sz w:val="24"/>
        </w:rPr>
        <w:t>26.2采购人在收到供应商的书面质疑后七个工作日内做出答复，并以书面形式通知质疑供应商和其他供应商，但答复内容不得涉及商业秘密。</w:t>
      </w:r>
    </w:p>
    <w:p>
      <w:pPr>
        <w:spacing w:line="560" w:lineRule="auto"/>
        <w:ind w:firstLine="480"/>
        <w:rPr>
          <w:rFonts w:ascii="宋体" w:hAnsi="宋体" w:eastAsia="宋体" w:cs="宋体"/>
          <w:color w:val="auto"/>
          <w:sz w:val="24"/>
        </w:rPr>
      </w:pPr>
      <w:r>
        <w:rPr>
          <w:rFonts w:ascii="宋体" w:hAnsi="宋体" w:eastAsia="宋体" w:cs="宋体"/>
          <w:color w:val="auto"/>
          <w:sz w:val="24"/>
        </w:rPr>
        <w:t>26.3质疑供应商行使质疑权时，必须遵守“实事求是”和“谨慎性”原则，承担使用虚假材料或恶意方式质疑的法律责任，采购人将遵循“谁过错谁负担”的原则，由过错方提交相关的调查论证费用。</w:t>
      </w:r>
    </w:p>
    <w:p>
      <w:pPr>
        <w:spacing w:line="560" w:lineRule="auto"/>
        <w:ind w:firstLine="480"/>
        <w:rPr>
          <w:rFonts w:ascii="宋体" w:hAnsi="宋体" w:eastAsia="宋体" w:cs="宋体"/>
          <w:color w:val="auto"/>
          <w:sz w:val="24"/>
        </w:rPr>
      </w:pPr>
      <w:r>
        <w:rPr>
          <w:rFonts w:ascii="宋体" w:hAnsi="宋体" w:eastAsia="宋体" w:cs="宋体"/>
          <w:color w:val="auto"/>
          <w:sz w:val="24"/>
        </w:rPr>
        <w:t>26.4质疑必须由供应商的法定代表人或委托代理人（响应性文件中所确定的，如递交质疑者不是响应性文件中确定的委托代理人，须由供应商另行出具授权）以送达的方式提交，未按上述要求提交的质疑函采购人有权不予受理。</w:t>
      </w:r>
    </w:p>
    <w:p>
      <w:pPr>
        <w:spacing w:line="560" w:lineRule="auto"/>
        <w:rPr>
          <w:rFonts w:ascii="宋体" w:hAnsi="宋体" w:eastAsia="宋体" w:cs="宋体"/>
          <w:color w:val="auto"/>
          <w:sz w:val="24"/>
        </w:rPr>
      </w:pPr>
      <w:r>
        <w:rPr>
          <w:rFonts w:ascii="宋体" w:hAnsi="宋体" w:eastAsia="宋体" w:cs="宋体"/>
          <w:color w:val="auto"/>
          <w:sz w:val="24"/>
        </w:rPr>
        <w:br w:type="page"/>
      </w:r>
    </w:p>
    <w:p>
      <w:pPr>
        <w:jc w:val="center"/>
        <w:rPr>
          <w:rFonts w:ascii="宋体" w:hAnsi="宋体" w:eastAsia="宋体" w:cs="宋体"/>
          <w:b/>
          <w:color w:val="auto"/>
          <w:sz w:val="24"/>
        </w:rPr>
      </w:pPr>
      <w:r>
        <w:rPr>
          <w:rFonts w:ascii="宋体" w:hAnsi="宋体" w:eastAsia="宋体" w:cs="宋体"/>
          <w:b/>
          <w:color w:val="auto"/>
          <w:sz w:val="24"/>
        </w:rPr>
        <w:t>第三章 采购项目内容及要求</w:t>
      </w:r>
    </w:p>
    <w:p>
      <w:pPr>
        <w:numPr>
          <w:ilvl w:val="0"/>
          <w:numId w:val="25"/>
        </w:numPr>
        <w:spacing w:line="480" w:lineRule="auto"/>
        <w:ind w:left="350"/>
        <w:rPr>
          <w:rFonts w:ascii="宋体" w:hAnsi="宋体" w:eastAsia="宋体" w:cs="宋体"/>
          <w:color w:val="auto"/>
          <w:sz w:val="24"/>
        </w:rPr>
      </w:pPr>
      <w:r>
        <w:rPr>
          <w:rFonts w:ascii="宋体" w:hAnsi="宋体" w:eastAsia="宋体" w:cs="宋体"/>
          <w:color w:val="auto"/>
          <w:sz w:val="24"/>
        </w:rPr>
        <w:t>本项目采购内容：</w:t>
      </w:r>
    </w:p>
    <w:tbl>
      <w:tblPr>
        <w:tblStyle w:val="8"/>
        <w:tblW w:w="9456" w:type="dxa"/>
        <w:tblInd w:w="0" w:type="dxa"/>
        <w:tblLayout w:type="fixed"/>
        <w:tblCellMar>
          <w:top w:w="0" w:type="dxa"/>
          <w:left w:w="10" w:type="dxa"/>
          <w:bottom w:w="0" w:type="dxa"/>
          <w:right w:w="10" w:type="dxa"/>
        </w:tblCellMar>
      </w:tblPr>
      <w:tblGrid>
        <w:gridCol w:w="566"/>
        <w:gridCol w:w="2237"/>
        <w:gridCol w:w="5116"/>
        <w:gridCol w:w="659"/>
        <w:gridCol w:w="466"/>
        <w:gridCol w:w="412"/>
      </w:tblGrid>
      <w:tr>
        <w:trPr>
          <w:trHeight w:val="566" w:hRule="atLeast"/>
        </w:trPr>
        <w:tc>
          <w:tcPr>
            <w:tcW w:w="566"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pPr>
              <w:jc w:val="center"/>
              <w:rPr>
                <w:rFonts w:ascii="宋体" w:hAnsi="宋体" w:eastAsia="宋体" w:cs="宋体"/>
                <w:color w:val="auto"/>
              </w:rPr>
            </w:pPr>
            <w:r>
              <w:rPr>
                <w:rFonts w:ascii="宋体" w:hAnsi="宋体" w:eastAsia="宋体" w:cs="宋体"/>
                <w:b/>
                <w:color w:val="auto"/>
                <w:sz w:val="24"/>
              </w:rPr>
              <w:t>序号</w:t>
            </w:r>
          </w:p>
        </w:tc>
        <w:tc>
          <w:tcPr>
            <w:tcW w:w="2237" w:type="dxa"/>
            <w:tcBorders>
              <w:top w:val="single" w:color="000000" w:sz="4" w:space="0"/>
              <w:left w:val="single" w:color="000000" w:sz="0" w:space="0"/>
              <w:bottom w:val="single" w:color="000000" w:sz="4" w:space="0"/>
              <w:right w:val="single" w:color="000000" w:sz="4" w:space="0"/>
            </w:tcBorders>
            <w:shd w:val="clear" w:color="auto" w:fill="auto"/>
            <w:tcMar>
              <w:left w:w="108" w:type="dxa"/>
              <w:right w:w="108" w:type="dxa"/>
            </w:tcMar>
            <w:vAlign w:val="center"/>
          </w:tcPr>
          <w:p>
            <w:pPr>
              <w:jc w:val="center"/>
              <w:rPr>
                <w:rFonts w:ascii="宋体" w:hAnsi="宋体" w:eastAsia="宋体" w:cs="宋体"/>
                <w:color w:val="auto"/>
              </w:rPr>
            </w:pPr>
            <w:r>
              <w:rPr>
                <w:rFonts w:ascii="宋体" w:hAnsi="宋体" w:eastAsia="宋体" w:cs="宋体"/>
                <w:b/>
                <w:color w:val="auto"/>
                <w:sz w:val="24"/>
              </w:rPr>
              <w:t>货物名称</w:t>
            </w:r>
          </w:p>
        </w:tc>
        <w:tc>
          <w:tcPr>
            <w:tcW w:w="5116" w:type="dxa"/>
            <w:tcBorders>
              <w:top w:val="single" w:color="000000" w:sz="4" w:space="0"/>
              <w:left w:val="single" w:color="000000" w:sz="0" w:space="0"/>
              <w:bottom w:val="single" w:color="000000" w:sz="4" w:space="0"/>
              <w:right w:val="single" w:color="000000" w:sz="4" w:space="0"/>
            </w:tcBorders>
            <w:shd w:val="clear" w:color="auto" w:fill="auto"/>
            <w:tcMar>
              <w:left w:w="108" w:type="dxa"/>
              <w:right w:w="108" w:type="dxa"/>
            </w:tcMar>
            <w:vAlign w:val="center"/>
          </w:tcPr>
          <w:p>
            <w:pPr>
              <w:rPr>
                <w:rFonts w:ascii="宋体" w:hAnsi="宋体" w:eastAsia="宋体" w:cs="宋体"/>
                <w:color w:val="auto"/>
              </w:rPr>
            </w:pPr>
            <w:r>
              <w:rPr>
                <w:rFonts w:ascii="宋体" w:hAnsi="宋体" w:eastAsia="宋体" w:cs="宋体"/>
                <w:b/>
                <w:color w:val="auto"/>
                <w:sz w:val="24"/>
              </w:rPr>
              <w:t>参数需求</w:t>
            </w:r>
          </w:p>
        </w:tc>
        <w:tc>
          <w:tcPr>
            <w:tcW w:w="659" w:type="dxa"/>
            <w:tcBorders>
              <w:top w:val="single" w:color="000000" w:sz="4" w:space="0"/>
              <w:left w:val="single" w:color="000000" w:sz="0" w:space="0"/>
              <w:bottom w:val="single" w:color="000000" w:sz="4" w:space="0"/>
              <w:right w:val="single" w:color="000000" w:sz="4" w:space="0"/>
            </w:tcBorders>
            <w:shd w:val="clear" w:color="auto" w:fill="auto"/>
            <w:tcMar>
              <w:left w:w="108" w:type="dxa"/>
              <w:right w:w="108" w:type="dxa"/>
            </w:tcMar>
            <w:vAlign w:val="center"/>
          </w:tcPr>
          <w:p>
            <w:pPr>
              <w:jc w:val="center"/>
              <w:rPr>
                <w:rFonts w:ascii="宋体" w:hAnsi="宋体" w:eastAsia="宋体" w:cs="宋体"/>
                <w:color w:val="auto"/>
              </w:rPr>
            </w:pPr>
            <w:r>
              <w:rPr>
                <w:rFonts w:ascii="宋体" w:hAnsi="宋体" w:eastAsia="宋体" w:cs="宋体"/>
                <w:b/>
                <w:color w:val="auto"/>
                <w:sz w:val="24"/>
              </w:rPr>
              <w:t>单位</w:t>
            </w:r>
          </w:p>
        </w:tc>
        <w:tc>
          <w:tcPr>
            <w:tcW w:w="466" w:type="dxa"/>
            <w:tcBorders>
              <w:top w:val="single" w:color="000000" w:sz="4" w:space="0"/>
              <w:left w:val="single" w:color="000000" w:sz="0" w:space="0"/>
              <w:bottom w:val="single" w:color="000000" w:sz="4" w:space="0"/>
              <w:right w:val="single" w:color="000000" w:sz="4" w:space="0"/>
            </w:tcBorders>
            <w:shd w:val="clear" w:color="auto" w:fill="auto"/>
            <w:tcMar>
              <w:left w:w="108" w:type="dxa"/>
              <w:right w:w="108" w:type="dxa"/>
            </w:tcMar>
            <w:vAlign w:val="center"/>
          </w:tcPr>
          <w:p>
            <w:pPr>
              <w:jc w:val="center"/>
              <w:rPr>
                <w:rFonts w:ascii="宋体" w:hAnsi="宋体" w:eastAsia="宋体" w:cs="宋体"/>
                <w:color w:val="auto"/>
              </w:rPr>
            </w:pPr>
            <w:r>
              <w:rPr>
                <w:rFonts w:ascii="宋体" w:hAnsi="宋体" w:eastAsia="宋体" w:cs="宋体"/>
                <w:b/>
                <w:color w:val="auto"/>
                <w:sz w:val="24"/>
              </w:rPr>
              <w:t>数量</w:t>
            </w:r>
          </w:p>
        </w:tc>
        <w:tc>
          <w:tcPr>
            <w:tcW w:w="412" w:type="dxa"/>
            <w:tcBorders>
              <w:top w:val="single" w:color="000000" w:sz="4" w:space="0"/>
              <w:left w:val="single" w:color="000000" w:sz="0" w:space="0"/>
              <w:bottom w:val="single" w:color="000000" w:sz="4" w:space="0"/>
              <w:right w:val="single" w:color="000000" w:sz="4" w:space="0"/>
            </w:tcBorders>
            <w:shd w:val="clear" w:color="auto" w:fill="auto"/>
            <w:tcMar>
              <w:left w:w="108" w:type="dxa"/>
              <w:right w:w="108" w:type="dxa"/>
            </w:tcMar>
            <w:vAlign w:val="center"/>
          </w:tcPr>
          <w:p>
            <w:pPr>
              <w:jc w:val="center"/>
              <w:rPr>
                <w:rFonts w:ascii="宋体" w:hAnsi="宋体" w:eastAsia="宋体" w:cs="宋体"/>
                <w:b/>
                <w:color w:val="auto"/>
                <w:sz w:val="24"/>
              </w:rPr>
            </w:pPr>
            <w:r>
              <w:rPr>
                <w:rFonts w:hint="eastAsia" w:ascii="宋体" w:hAnsi="宋体" w:eastAsia="宋体" w:cs="宋体"/>
                <w:b/>
                <w:color w:val="auto"/>
                <w:sz w:val="24"/>
              </w:rPr>
              <w:t>备注</w:t>
            </w:r>
          </w:p>
        </w:tc>
      </w:tr>
      <w:tr>
        <w:tblPrEx>
          <w:tblCellMar>
            <w:top w:w="0" w:type="dxa"/>
            <w:left w:w="10" w:type="dxa"/>
            <w:bottom w:w="0" w:type="dxa"/>
            <w:right w:w="10" w:type="dxa"/>
          </w:tblCellMar>
        </w:tblPrEx>
        <w:trPr>
          <w:trHeight w:val="464" w:hRule="atLeast"/>
        </w:trPr>
        <w:tc>
          <w:tcPr>
            <w:tcW w:w="566" w:type="dxa"/>
            <w:tcBorders>
              <w:top w:val="single" w:color="000000" w:sz="0" w:space="0"/>
              <w:left w:val="single" w:color="000000" w:sz="4" w:space="0"/>
              <w:bottom w:val="single" w:color="000000" w:sz="4" w:space="0"/>
              <w:right w:val="single" w:color="000000" w:sz="4" w:space="0"/>
            </w:tcBorders>
            <w:shd w:val="clear" w:color="auto" w:fill="auto"/>
            <w:tcMar>
              <w:left w:w="108" w:type="dxa"/>
              <w:right w:w="108" w:type="dxa"/>
            </w:tcMar>
            <w:vAlign w:val="center"/>
          </w:tcPr>
          <w:p>
            <w:pPr>
              <w:spacing w:line="560" w:lineRule="auto"/>
              <w:ind w:firstLine="480"/>
              <w:rPr>
                <w:rFonts w:ascii="宋体" w:hAnsi="宋体" w:eastAsia="宋体" w:cs="宋体"/>
                <w:color w:val="auto"/>
                <w:sz w:val="24"/>
              </w:rPr>
            </w:pPr>
            <w:r>
              <w:rPr>
                <w:rFonts w:hint="eastAsia" w:ascii="宋体" w:hAnsi="宋体" w:eastAsia="宋体" w:cs="宋体"/>
                <w:color w:val="auto"/>
                <w:sz w:val="24"/>
              </w:rPr>
              <w:t>11</w:t>
            </w:r>
          </w:p>
        </w:tc>
        <w:tc>
          <w:tcPr>
            <w:tcW w:w="2237" w:type="dxa"/>
            <w:tcBorders>
              <w:top w:val="single" w:color="000000" w:sz="0" w:space="0"/>
              <w:left w:val="single" w:color="000000" w:sz="0" w:space="0"/>
              <w:bottom w:val="single" w:color="000000" w:sz="4" w:space="0"/>
              <w:right w:val="single" w:color="000000" w:sz="4" w:space="0"/>
            </w:tcBorders>
            <w:shd w:val="clear" w:color="auto" w:fill="auto"/>
            <w:tcMar>
              <w:left w:w="108" w:type="dxa"/>
              <w:right w:w="108" w:type="dxa"/>
            </w:tcMar>
            <w:vAlign w:val="center"/>
          </w:tcPr>
          <w:p>
            <w:pPr>
              <w:spacing w:line="560" w:lineRule="auto"/>
              <w:rPr>
                <w:rFonts w:ascii="宋体" w:hAnsi="宋体" w:eastAsia="宋体" w:cs="宋体"/>
                <w:color w:val="auto"/>
                <w:sz w:val="24"/>
              </w:rPr>
            </w:pPr>
            <w:r>
              <w:rPr>
                <w:rFonts w:hint="eastAsia"/>
                <w:color w:val="auto"/>
                <w:sz w:val="24"/>
                <w:szCs w:val="24"/>
              </w:rPr>
              <w:t>一体化医院污水处理设备</w:t>
            </w:r>
          </w:p>
        </w:tc>
        <w:tc>
          <w:tcPr>
            <w:tcW w:w="5116" w:type="dxa"/>
            <w:tcBorders>
              <w:top w:val="single" w:color="000000" w:sz="0" w:space="0"/>
              <w:left w:val="single" w:color="000000" w:sz="0" w:space="0"/>
              <w:bottom w:val="single" w:color="000000" w:sz="4" w:space="0"/>
              <w:right w:val="single" w:color="000000" w:sz="4" w:space="0"/>
            </w:tcBorders>
            <w:shd w:val="clear" w:color="auto" w:fill="auto"/>
            <w:tcMar>
              <w:left w:w="108" w:type="dxa"/>
              <w:right w:w="108" w:type="dxa"/>
            </w:tcMar>
            <w:vAlign w:val="center"/>
          </w:tcPr>
          <w:p>
            <w:pPr>
              <w:wordWrap w:val="0"/>
              <w:jc w:val="left"/>
              <w:rPr>
                <w:rFonts w:asciiTheme="minorEastAsia" w:hAnsiTheme="minorEastAsia" w:cstheme="minorEastAsia"/>
                <w:color w:val="auto"/>
                <w:sz w:val="24"/>
                <w:szCs w:val="24"/>
              </w:rPr>
            </w:pPr>
            <w:r>
              <w:rPr>
                <w:rFonts w:hint="eastAsia" w:asciiTheme="minorEastAsia" w:hAnsiTheme="minorEastAsia" w:cstheme="minorEastAsia"/>
                <w:color w:val="auto"/>
                <w:sz w:val="24"/>
                <w:szCs w:val="24"/>
              </w:rPr>
              <w:t>1.1一体化医院污水处理设备进水水质:COD:150~350mg/L;BOD:80~150mg/L;AN:10~50 mg/L;PH:6~9;SS:40~120mg/L;粪大肠菌:1*10</w:t>
            </w:r>
            <w:r>
              <w:rPr>
                <w:rFonts w:hint="eastAsia" w:asciiTheme="minorEastAsia" w:hAnsiTheme="minorEastAsia" w:cstheme="minorEastAsia"/>
                <w:color w:val="auto"/>
                <w:sz w:val="24"/>
                <w:szCs w:val="24"/>
                <w:vertAlign w:val="superscript"/>
              </w:rPr>
              <w:t>6</w:t>
            </w:r>
            <w:r>
              <w:rPr>
                <w:rFonts w:hint="eastAsia" w:asciiTheme="minorEastAsia" w:hAnsiTheme="minorEastAsia" w:cstheme="minorEastAsia"/>
                <w:color w:val="auto"/>
                <w:sz w:val="24"/>
                <w:szCs w:val="24"/>
              </w:rPr>
              <w:t>~“3*10</w:t>
            </w:r>
            <w:r>
              <w:rPr>
                <w:rFonts w:hint="eastAsia" w:asciiTheme="minorEastAsia" w:hAnsiTheme="minorEastAsia" w:cstheme="minorEastAsia"/>
                <w:color w:val="auto"/>
                <w:sz w:val="24"/>
                <w:szCs w:val="24"/>
                <w:vertAlign w:val="superscript"/>
              </w:rPr>
              <w:t>8</w:t>
            </w:r>
            <w:r>
              <w:rPr>
                <w:rFonts w:hint="eastAsia" w:asciiTheme="minorEastAsia" w:hAnsiTheme="minorEastAsia" w:cstheme="minorEastAsia"/>
                <w:color w:val="auto"/>
                <w:sz w:val="24"/>
                <w:szCs w:val="24"/>
              </w:rPr>
              <w:t>MPN/I</w:t>
            </w:r>
          </w:p>
          <w:p>
            <w:pPr>
              <w:wordWrap w:val="0"/>
              <w:jc w:val="left"/>
              <w:rPr>
                <w:rFonts w:asciiTheme="minorEastAsia" w:hAnsiTheme="minorEastAsia" w:cstheme="minorEastAsia"/>
                <w:color w:val="auto"/>
                <w:sz w:val="24"/>
                <w:szCs w:val="24"/>
              </w:rPr>
            </w:pPr>
            <w:r>
              <w:rPr>
                <w:rFonts w:hint="eastAsia" w:asciiTheme="minorEastAsia" w:hAnsiTheme="minorEastAsia" w:cstheme="minorEastAsia"/>
                <w:color w:val="auto"/>
                <w:sz w:val="24"/>
                <w:szCs w:val="24"/>
              </w:rPr>
              <w:t>1.2 出水水质:COD:60mg/L;BOD:20mg/L;AN:15mg/L;PH:6~9;SS:20mg/L;类大肠菌:100 MPN/L</w:t>
            </w:r>
          </w:p>
          <w:p>
            <w:pPr>
              <w:jc w:val="left"/>
              <w:rPr>
                <w:rFonts w:asciiTheme="minorEastAsia" w:hAnsiTheme="minorEastAsia" w:cstheme="minorEastAsia"/>
                <w:color w:val="auto"/>
                <w:sz w:val="24"/>
                <w:szCs w:val="24"/>
              </w:rPr>
            </w:pPr>
            <w:r>
              <w:rPr>
                <w:rFonts w:hint="eastAsia" w:asciiTheme="minorEastAsia" w:hAnsiTheme="minorEastAsia" w:cstheme="minorEastAsia"/>
                <w:color w:val="auto"/>
                <w:sz w:val="24"/>
                <w:szCs w:val="24"/>
              </w:rPr>
              <w:t>1.3设备总功率:8.9KW运行功率:6.65KW</w:t>
            </w:r>
          </w:p>
          <w:p>
            <w:pPr>
              <w:jc w:val="left"/>
              <w:rPr>
                <w:rFonts w:eastAsia="宋体"/>
                <w:color w:val="auto"/>
              </w:rPr>
            </w:pPr>
            <w:r>
              <w:rPr>
                <w:rFonts w:hint="eastAsia" w:asciiTheme="minorEastAsia" w:hAnsiTheme="minorEastAsia" w:cstheme="minorEastAsia"/>
                <w:color w:val="auto"/>
                <w:sz w:val="24"/>
                <w:szCs w:val="24"/>
              </w:rPr>
              <w:t>14设备功能:污水处理事故应急处置，调节水质水量，A0生化处理污水系统，MBR 膜过滤，污水消毒系统，自动控制及远程监控系统。</w:t>
            </w:r>
          </w:p>
        </w:tc>
        <w:tc>
          <w:tcPr>
            <w:tcW w:w="659" w:type="dxa"/>
            <w:tcBorders>
              <w:top w:val="single" w:color="000000" w:sz="0" w:space="0"/>
              <w:left w:val="single" w:color="000000" w:sz="0" w:space="0"/>
              <w:bottom w:val="single" w:color="000000" w:sz="4" w:space="0"/>
              <w:right w:val="single" w:color="000000" w:sz="4" w:space="0"/>
            </w:tcBorders>
            <w:shd w:val="clear" w:color="auto" w:fill="auto"/>
            <w:tcMar>
              <w:left w:w="108" w:type="dxa"/>
              <w:right w:w="108" w:type="dxa"/>
            </w:tcMar>
            <w:vAlign w:val="center"/>
          </w:tcPr>
          <w:p>
            <w:pPr>
              <w:spacing w:line="560" w:lineRule="auto"/>
              <w:rPr>
                <w:rFonts w:ascii="宋体" w:hAnsi="宋体" w:eastAsia="宋体" w:cs="宋体"/>
                <w:color w:val="auto"/>
                <w:sz w:val="24"/>
              </w:rPr>
            </w:pPr>
            <w:r>
              <w:rPr>
                <w:rFonts w:hint="eastAsia" w:ascii="宋体" w:hAnsi="宋体" w:eastAsia="宋体" w:cs="宋体"/>
                <w:color w:val="auto"/>
                <w:sz w:val="24"/>
              </w:rPr>
              <w:t>套</w:t>
            </w:r>
          </w:p>
        </w:tc>
        <w:tc>
          <w:tcPr>
            <w:tcW w:w="466" w:type="dxa"/>
            <w:tcBorders>
              <w:top w:val="single" w:color="000000" w:sz="0" w:space="0"/>
              <w:left w:val="single" w:color="000000" w:sz="0" w:space="0"/>
              <w:bottom w:val="single" w:color="000000" w:sz="4" w:space="0"/>
              <w:right w:val="single" w:color="000000" w:sz="4" w:space="0"/>
            </w:tcBorders>
            <w:shd w:val="clear" w:color="auto" w:fill="auto"/>
            <w:tcMar>
              <w:left w:w="108" w:type="dxa"/>
              <w:right w:w="108" w:type="dxa"/>
            </w:tcMar>
            <w:vAlign w:val="center"/>
          </w:tcPr>
          <w:p>
            <w:pPr>
              <w:spacing w:line="560" w:lineRule="auto"/>
              <w:rPr>
                <w:rFonts w:ascii="宋体" w:hAnsi="宋体" w:eastAsia="宋体" w:cs="宋体"/>
                <w:color w:val="auto"/>
                <w:sz w:val="24"/>
              </w:rPr>
            </w:pPr>
            <w:r>
              <w:rPr>
                <w:rFonts w:hint="eastAsia" w:ascii="宋体" w:hAnsi="宋体" w:eastAsia="宋体" w:cs="宋体"/>
                <w:color w:val="auto"/>
                <w:sz w:val="24"/>
              </w:rPr>
              <w:t>1</w:t>
            </w:r>
          </w:p>
        </w:tc>
        <w:tc>
          <w:tcPr>
            <w:tcW w:w="412" w:type="dxa"/>
            <w:tcBorders>
              <w:top w:val="single" w:color="000000" w:sz="0" w:space="0"/>
              <w:left w:val="single" w:color="000000" w:sz="0" w:space="0"/>
              <w:bottom w:val="single" w:color="000000" w:sz="4" w:space="0"/>
              <w:right w:val="single" w:color="000000" w:sz="4" w:space="0"/>
            </w:tcBorders>
            <w:shd w:val="clear" w:color="auto" w:fill="auto"/>
            <w:tcMar>
              <w:left w:w="108" w:type="dxa"/>
              <w:right w:w="108" w:type="dxa"/>
            </w:tcMar>
            <w:vAlign w:val="center"/>
          </w:tcPr>
          <w:p>
            <w:pPr>
              <w:spacing w:line="560" w:lineRule="auto"/>
              <w:ind w:firstLine="480"/>
              <w:rPr>
                <w:rFonts w:ascii="宋体" w:hAnsi="宋体" w:eastAsia="宋体" w:cs="宋体"/>
                <w:color w:val="auto"/>
                <w:sz w:val="24"/>
              </w:rPr>
            </w:pPr>
          </w:p>
        </w:tc>
      </w:tr>
    </w:tbl>
    <w:p>
      <w:pPr>
        <w:ind w:firstLine="240"/>
        <w:jc w:val="left"/>
        <w:rPr>
          <w:rFonts w:ascii="宋体" w:hAnsi="宋体" w:eastAsia="宋体" w:cs="宋体"/>
          <w:color w:val="auto"/>
          <w:sz w:val="24"/>
        </w:rPr>
      </w:pPr>
    </w:p>
    <w:p>
      <w:pPr>
        <w:spacing w:line="480" w:lineRule="auto"/>
        <w:ind w:left="350"/>
        <w:rPr>
          <w:rFonts w:ascii="宋体" w:hAnsi="宋体" w:eastAsia="宋体" w:cs="宋体"/>
          <w:color w:val="auto"/>
          <w:sz w:val="24"/>
        </w:rPr>
      </w:pPr>
      <w:r>
        <w:rPr>
          <w:rFonts w:ascii="宋体" w:hAnsi="宋体" w:eastAsia="宋体" w:cs="宋体"/>
          <w:color w:val="auto"/>
          <w:sz w:val="24"/>
        </w:rPr>
        <w:t>2、售后服务内容及要求：</w:t>
      </w:r>
    </w:p>
    <w:p>
      <w:pPr>
        <w:spacing w:line="360" w:lineRule="auto"/>
        <w:ind w:firstLine="480"/>
        <w:rPr>
          <w:rFonts w:asciiTheme="minorEastAsia" w:hAnsiTheme="minorEastAsia" w:cstheme="minorEastAsia"/>
          <w:color w:val="auto"/>
          <w:sz w:val="24"/>
        </w:rPr>
      </w:pPr>
      <w:r>
        <w:rPr>
          <w:rFonts w:hint="eastAsia" w:asciiTheme="minorEastAsia" w:hAnsiTheme="minorEastAsia" w:cstheme="minorEastAsia"/>
          <w:color w:val="auto"/>
          <w:sz w:val="24"/>
        </w:rPr>
        <w:t>2.1质量保证：按本项目的行业规则或双方签订合同时的约定执行。质保期内如果出现质量问题，成交供应商应当无条件更换，由于质量问题造成的损失由成交供应商负全部责任。</w:t>
      </w:r>
    </w:p>
    <w:p>
      <w:pPr>
        <w:spacing w:line="360" w:lineRule="auto"/>
        <w:ind w:firstLine="480"/>
        <w:rPr>
          <w:rFonts w:asciiTheme="minorEastAsia" w:hAnsiTheme="minorEastAsia" w:cstheme="minorEastAsia"/>
          <w:color w:val="auto"/>
          <w:sz w:val="24"/>
        </w:rPr>
      </w:pPr>
      <w:r>
        <w:rPr>
          <w:rFonts w:hint="eastAsia" w:asciiTheme="minorEastAsia" w:hAnsiTheme="minorEastAsia" w:cstheme="minorEastAsia"/>
          <w:color w:val="auto"/>
          <w:sz w:val="24"/>
        </w:rPr>
        <w:t>2.2售后服务：免费质保1年,在接到采购方服务请求后，1小时响应，2小时内上门解决问题；质保期内提供免费上门服务，质保期外的收费按相关行业规则或由双方协商收取。</w:t>
      </w:r>
    </w:p>
    <w:p>
      <w:pPr>
        <w:spacing w:line="360" w:lineRule="auto"/>
        <w:ind w:firstLine="480"/>
        <w:rPr>
          <w:rFonts w:asciiTheme="minorEastAsia" w:hAnsiTheme="minorEastAsia" w:cstheme="minorEastAsia"/>
          <w:color w:val="auto"/>
          <w:sz w:val="24"/>
        </w:rPr>
      </w:pPr>
      <w:r>
        <w:rPr>
          <w:rFonts w:hint="eastAsia" w:asciiTheme="minorEastAsia" w:hAnsiTheme="minorEastAsia" w:cstheme="minorEastAsia"/>
          <w:color w:val="auto"/>
          <w:sz w:val="24"/>
        </w:rPr>
        <w:t>2.3交货地点：采购人指定地点。</w:t>
      </w:r>
    </w:p>
    <w:p>
      <w:pPr>
        <w:spacing w:line="360" w:lineRule="auto"/>
        <w:ind w:firstLine="480"/>
        <w:rPr>
          <w:rFonts w:asciiTheme="minorEastAsia" w:hAnsiTheme="minorEastAsia" w:cstheme="minorEastAsia"/>
          <w:color w:val="auto"/>
          <w:sz w:val="24"/>
        </w:rPr>
      </w:pPr>
      <w:r>
        <w:rPr>
          <w:rFonts w:hint="eastAsia" w:asciiTheme="minorEastAsia" w:hAnsiTheme="minorEastAsia" w:cstheme="minorEastAsia"/>
          <w:color w:val="auto"/>
          <w:sz w:val="24"/>
        </w:rPr>
        <w:t>2.4交货日期：双方签订合同后</w:t>
      </w:r>
      <w:r>
        <w:rPr>
          <w:rFonts w:hint="eastAsia" w:asciiTheme="minorEastAsia" w:hAnsiTheme="minorEastAsia" w:cstheme="minorEastAsia"/>
          <w:color w:val="auto"/>
          <w:sz w:val="24"/>
          <w:u w:val="single"/>
        </w:rPr>
        <w:t xml:space="preserve"> 30 </w:t>
      </w:r>
      <w:r>
        <w:rPr>
          <w:rFonts w:hint="eastAsia" w:asciiTheme="minorEastAsia" w:hAnsiTheme="minorEastAsia" w:cstheme="minorEastAsia"/>
          <w:color w:val="auto"/>
          <w:sz w:val="24"/>
        </w:rPr>
        <w:t>日内。</w:t>
      </w:r>
    </w:p>
    <w:p>
      <w:pPr>
        <w:spacing w:line="360" w:lineRule="auto"/>
        <w:ind w:firstLine="480"/>
        <w:rPr>
          <w:rFonts w:asciiTheme="minorEastAsia" w:hAnsiTheme="minorEastAsia" w:cstheme="minorEastAsia"/>
          <w:color w:val="auto"/>
          <w:sz w:val="24"/>
        </w:rPr>
      </w:pPr>
      <w:r>
        <w:rPr>
          <w:rFonts w:hint="eastAsia" w:asciiTheme="minorEastAsia" w:hAnsiTheme="minorEastAsia" w:cstheme="minorEastAsia"/>
          <w:color w:val="auto"/>
          <w:sz w:val="24"/>
        </w:rPr>
        <w:t>2.5验收：由最终用户组织验收。</w:t>
      </w:r>
    </w:p>
    <w:p>
      <w:pPr>
        <w:spacing w:after="120" w:line="415" w:lineRule="auto"/>
        <w:ind w:firstLine="480"/>
        <w:jc w:val="center"/>
        <w:rPr>
          <w:rFonts w:ascii="宋体" w:hAnsi="宋体" w:eastAsia="宋体" w:cs="宋体"/>
          <w:color w:val="auto"/>
          <w:sz w:val="24"/>
        </w:rPr>
      </w:pPr>
    </w:p>
    <w:p>
      <w:pPr>
        <w:ind w:firstLine="240"/>
        <w:jc w:val="left"/>
        <w:rPr>
          <w:rFonts w:ascii="宋体" w:hAnsi="宋体" w:eastAsia="宋体" w:cs="宋体"/>
          <w:color w:val="auto"/>
          <w:sz w:val="24"/>
        </w:rPr>
      </w:pPr>
    </w:p>
    <w:p>
      <w:pPr>
        <w:ind w:firstLine="240"/>
        <w:jc w:val="left"/>
        <w:rPr>
          <w:rFonts w:ascii="宋体" w:hAnsi="宋体" w:eastAsia="宋体" w:cs="宋体"/>
          <w:color w:val="auto"/>
          <w:sz w:val="24"/>
        </w:rPr>
      </w:pPr>
    </w:p>
    <w:p>
      <w:pPr>
        <w:ind w:firstLine="240"/>
        <w:jc w:val="left"/>
        <w:rPr>
          <w:rFonts w:ascii="宋体" w:hAnsi="宋体" w:eastAsia="宋体" w:cs="宋体"/>
          <w:color w:val="auto"/>
          <w:sz w:val="24"/>
        </w:rPr>
      </w:pPr>
    </w:p>
    <w:p>
      <w:pPr>
        <w:ind w:firstLine="240"/>
        <w:jc w:val="left"/>
        <w:rPr>
          <w:rFonts w:ascii="宋体" w:hAnsi="宋体" w:eastAsia="宋体" w:cs="宋体"/>
          <w:color w:val="auto"/>
          <w:sz w:val="24"/>
        </w:rPr>
      </w:pPr>
      <w:r>
        <w:rPr>
          <w:rFonts w:ascii="宋体" w:hAnsi="宋体" w:eastAsia="宋体" w:cs="宋体"/>
          <w:color w:val="auto"/>
          <w:sz w:val="24"/>
        </w:rPr>
        <w:br w:type="page"/>
      </w:r>
    </w:p>
    <w:p>
      <w:pPr>
        <w:ind w:firstLine="240"/>
        <w:jc w:val="left"/>
        <w:rPr>
          <w:rFonts w:ascii="宋体" w:hAnsi="宋体" w:eastAsia="宋体" w:cs="宋体"/>
          <w:color w:val="auto"/>
          <w:sz w:val="24"/>
        </w:rPr>
      </w:pPr>
    </w:p>
    <w:p>
      <w:pPr>
        <w:spacing w:line="480" w:lineRule="auto"/>
        <w:jc w:val="center"/>
        <w:rPr>
          <w:rFonts w:ascii="宋体" w:hAnsi="宋体" w:eastAsia="宋体" w:cs="宋体"/>
          <w:b/>
          <w:bCs/>
          <w:color w:val="auto"/>
          <w:sz w:val="24"/>
        </w:rPr>
      </w:pPr>
      <w:r>
        <w:rPr>
          <w:rFonts w:ascii="宋体" w:hAnsi="宋体" w:eastAsia="宋体" w:cs="宋体"/>
          <w:b/>
          <w:bCs/>
          <w:color w:val="auto"/>
          <w:sz w:val="24"/>
        </w:rPr>
        <w:t>第四章  响应性文件内容及格式</w:t>
      </w:r>
    </w:p>
    <w:p>
      <w:pPr>
        <w:spacing w:line="520" w:lineRule="auto"/>
        <w:ind w:firstLine="480"/>
        <w:jc w:val="center"/>
        <w:rPr>
          <w:rFonts w:ascii="宋体" w:hAnsi="宋体" w:eastAsia="宋体" w:cs="宋体"/>
          <w:color w:val="auto"/>
          <w:sz w:val="24"/>
        </w:rPr>
      </w:pPr>
    </w:p>
    <w:p>
      <w:pPr>
        <w:spacing w:line="560" w:lineRule="auto"/>
        <w:ind w:firstLine="480"/>
        <w:rPr>
          <w:rFonts w:ascii="宋体" w:hAnsi="宋体" w:eastAsia="宋体" w:cs="宋体"/>
          <w:color w:val="auto"/>
          <w:sz w:val="24"/>
        </w:rPr>
      </w:pPr>
      <w:r>
        <w:rPr>
          <w:rFonts w:ascii="宋体" w:hAnsi="宋体" w:eastAsia="宋体" w:cs="宋体"/>
          <w:color w:val="auto"/>
          <w:sz w:val="24"/>
        </w:rPr>
        <w:t xml:space="preserve">注：请供应商按照以下文件的要求格式、内容，顺序制作响应性文件，并编制目录及页码，否则可能将影响对响应性文件的评价。 </w:t>
      </w:r>
    </w:p>
    <w:p>
      <w:pPr>
        <w:spacing w:line="560" w:lineRule="auto"/>
        <w:ind w:firstLine="480"/>
        <w:rPr>
          <w:rFonts w:ascii="宋体" w:hAnsi="宋体" w:eastAsia="宋体" w:cs="宋体"/>
          <w:color w:val="auto"/>
          <w:sz w:val="24"/>
        </w:rPr>
      </w:pPr>
      <w:r>
        <w:rPr>
          <w:rFonts w:ascii="宋体" w:hAnsi="宋体" w:eastAsia="宋体" w:cs="宋体"/>
          <w:color w:val="auto"/>
          <w:sz w:val="24"/>
        </w:rPr>
        <w:t xml:space="preserve"> </w:t>
      </w:r>
    </w:p>
    <w:p>
      <w:pPr>
        <w:spacing w:line="560" w:lineRule="auto"/>
        <w:ind w:firstLine="482"/>
        <w:rPr>
          <w:rFonts w:ascii="宋体" w:hAnsi="宋体" w:eastAsia="宋体" w:cs="宋体"/>
          <w:b/>
          <w:color w:val="auto"/>
          <w:sz w:val="24"/>
        </w:rPr>
      </w:pPr>
      <w:r>
        <w:rPr>
          <w:rFonts w:ascii="宋体" w:hAnsi="宋体" w:eastAsia="宋体" w:cs="宋体"/>
          <w:b/>
          <w:color w:val="auto"/>
          <w:sz w:val="24"/>
        </w:rPr>
        <w:t>重要提示：</w:t>
      </w:r>
    </w:p>
    <w:p>
      <w:pPr>
        <w:spacing w:line="560" w:lineRule="auto"/>
        <w:ind w:firstLine="480"/>
        <w:rPr>
          <w:rFonts w:ascii="宋体" w:hAnsi="宋体" w:eastAsia="宋体" w:cs="宋体"/>
          <w:color w:val="auto"/>
          <w:sz w:val="24"/>
        </w:rPr>
      </w:pPr>
      <w:r>
        <w:rPr>
          <w:rFonts w:hint="eastAsia" w:ascii="宋体" w:hAnsi="宋体" w:eastAsia="宋体" w:cs="宋体"/>
          <w:color w:val="auto"/>
          <w:sz w:val="24"/>
        </w:rPr>
        <w:t>1</w:t>
      </w:r>
      <w:r>
        <w:rPr>
          <w:rFonts w:ascii="宋体" w:hAnsi="宋体" w:eastAsia="宋体" w:cs="宋体"/>
          <w:color w:val="auto"/>
          <w:sz w:val="24"/>
        </w:rPr>
        <w:t>．供应商在编制响应性文件时，对于给定格式的文件内容，必须按照给定的标准格式进行填报；对于没有给定标准格式的文件内容，可以由供应商自行设计。</w:t>
      </w:r>
    </w:p>
    <w:p>
      <w:pPr>
        <w:spacing w:line="560" w:lineRule="auto"/>
        <w:ind w:firstLine="480"/>
        <w:rPr>
          <w:rFonts w:ascii="宋体" w:hAnsi="宋体" w:eastAsia="宋体" w:cs="宋体"/>
          <w:color w:val="auto"/>
          <w:sz w:val="24"/>
        </w:rPr>
      </w:pPr>
      <w:r>
        <w:rPr>
          <w:rFonts w:hint="eastAsia" w:ascii="宋体" w:hAnsi="宋体" w:eastAsia="宋体" w:cs="宋体"/>
          <w:color w:val="auto"/>
          <w:sz w:val="24"/>
        </w:rPr>
        <w:t>2</w:t>
      </w:r>
      <w:r>
        <w:rPr>
          <w:rFonts w:ascii="宋体" w:hAnsi="宋体" w:eastAsia="宋体" w:cs="宋体"/>
          <w:color w:val="auto"/>
          <w:sz w:val="24"/>
        </w:rPr>
        <w:t>.法定代表人本人参加竞争性磋商的，不需提供授权委托书。</w:t>
      </w:r>
    </w:p>
    <w:p>
      <w:pPr>
        <w:jc w:val="left"/>
        <w:rPr>
          <w:rFonts w:ascii="宋体" w:hAnsi="宋体" w:eastAsia="宋体" w:cs="宋体"/>
          <w:color w:val="auto"/>
          <w:sz w:val="24"/>
        </w:rPr>
      </w:pPr>
    </w:p>
    <w:p>
      <w:pPr>
        <w:jc w:val="left"/>
        <w:rPr>
          <w:rFonts w:ascii="宋体" w:hAnsi="宋体" w:eastAsia="宋体" w:cs="宋体"/>
          <w:color w:val="auto"/>
          <w:sz w:val="24"/>
        </w:rPr>
      </w:pPr>
    </w:p>
    <w:p>
      <w:pPr>
        <w:jc w:val="left"/>
        <w:rPr>
          <w:rFonts w:ascii="宋体" w:hAnsi="宋体" w:eastAsia="宋体" w:cs="宋体"/>
          <w:color w:val="auto"/>
          <w:sz w:val="24"/>
        </w:rPr>
      </w:pPr>
    </w:p>
    <w:p>
      <w:pPr>
        <w:jc w:val="left"/>
        <w:rPr>
          <w:rFonts w:ascii="宋体" w:hAnsi="宋体" w:eastAsia="宋体" w:cs="宋体"/>
          <w:color w:val="auto"/>
          <w:sz w:val="24"/>
        </w:rPr>
      </w:pPr>
    </w:p>
    <w:p>
      <w:pPr>
        <w:jc w:val="left"/>
        <w:rPr>
          <w:rFonts w:ascii="宋体" w:hAnsi="宋体" w:eastAsia="宋体" w:cs="宋体"/>
          <w:color w:val="auto"/>
          <w:sz w:val="24"/>
        </w:rPr>
      </w:pPr>
    </w:p>
    <w:p>
      <w:pPr>
        <w:jc w:val="left"/>
        <w:rPr>
          <w:rFonts w:ascii="宋体" w:hAnsi="宋体" w:eastAsia="宋体" w:cs="宋体"/>
          <w:color w:val="auto"/>
          <w:sz w:val="24"/>
        </w:rPr>
      </w:pPr>
    </w:p>
    <w:p>
      <w:pPr>
        <w:jc w:val="left"/>
        <w:rPr>
          <w:rFonts w:ascii="宋体" w:hAnsi="宋体" w:eastAsia="宋体" w:cs="宋体"/>
          <w:color w:val="auto"/>
          <w:sz w:val="24"/>
        </w:rPr>
      </w:pPr>
    </w:p>
    <w:p>
      <w:pPr>
        <w:jc w:val="left"/>
        <w:rPr>
          <w:rFonts w:ascii="宋体" w:hAnsi="宋体" w:eastAsia="宋体" w:cs="宋体"/>
          <w:color w:val="auto"/>
          <w:sz w:val="24"/>
        </w:rPr>
      </w:pPr>
    </w:p>
    <w:p>
      <w:pPr>
        <w:jc w:val="left"/>
        <w:rPr>
          <w:rFonts w:ascii="宋体" w:hAnsi="宋体" w:eastAsia="宋体" w:cs="宋体"/>
          <w:color w:val="auto"/>
          <w:sz w:val="24"/>
        </w:rPr>
      </w:pPr>
    </w:p>
    <w:p>
      <w:pPr>
        <w:jc w:val="left"/>
        <w:rPr>
          <w:rFonts w:ascii="宋体" w:hAnsi="宋体" w:eastAsia="宋体" w:cs="宋体"/>
          <w:color w:val="auto"/>
          <w:sz w:val="24"/>
        </w:rPr>
      </w:pPr>
    </w:p>
    <w:p>
      <w:pPr>
        <w:jc w:val="left"/>
        <w:rPr>
          <w:rFonts w:ascii="宋体" w:hAnsi="宋体" w:eastAsia="宋体" w:cs="宋体"/>
          <w:color w:val="auto"/>
          <w:sz w:val="24"/>
        </w:rPr>
      </w:pPr>
    </w:p>
    <w:p>
      <w:pPr>
        <w:jc w:val="left"/>
        <w:rPr>
          <w:rFonts w:ascii="宋体" w:hAnsi="宋体" w:eastAsia="宋体" w:cs="宋体"/>
          <w:color w:val="auto"/>
          <w:sz w:val="24"/>
        </w:rPr>
      </w:pPr>
    </w:p>
    <w:p>
      <w:pPr>
        <w:jc w:val="left"/>
        <w:rPr>
          <w:rFonts w:ascii="宋体" w:hAnsi="宋体" w:eastAsia="宋体" w:cs="宋体"/>
          <w:color w:val="auto"/>
          <w:sz w:val="24"/>
        </w:rPr>
      </w:pPr>
    </w:p>
    <w:p>
      <w:pPr>
        <w:jc w:val="left"/>
        <w:rPr>
          <w:rFonts w:ascii="宋体" w:hAnsi="宋体" w:eastAsia="宋体" w:cs="宋体"/>
          <w:color w:val="auto"/>
          <w:sz w:val="24"/>
        </w:rPr>
      </w:pPr>
    </w:p>
    <w:p>
      <w:pPr>
        <w:tabs>
          <w:tab w:val="left" w:pos="0"/>
          <w:tab w:val="left" w:pos="993"/>
          <w:tab w:val="left" w:pos="1134"/>
        </w:tabs>
        <w:ind w:firstLine="480"/>
        <w:rPr>
          <w:rFonts w:ascii="宋体" w:hAnsi="宋体" w:eastAsia="宋体" w:cs="宋体"/>
          <w:color w:val="auto"/>
          <w:sz w:val="24"/>
        </w:rPr>
      </w:pPr>
    </w:p>
    <w:p>
      <w:pPr>
        <w:tabs>
          <w:tab w:val="left" w:pos="0"/>
          <w:tab w:val="left" w:pos="993"/>
          <w:tab w:val="left" w:pos="1134"/>
        </w:tabs>
        <w:ind w:firstLine="480"/>
        <w:rPr>
          <w:rFonts w:ascii="宋体" w:hAnsi="宋体" w:eastAsia="宋体" w:cs="宋体"/>
          <w:color w:val="auto"/>
          <w:sz w:val="24"/>
        </w:rPr>
      </w:pPr>
    </w:p>
    <w:p>
      <w:pPr>
        <w:tabs>
          <w:tab w:val="left" w:pos="0"/>
          <w:tab w:val="left" w:pos="993"/>
          <w:tab w:val="left" w:pos="1134"/>
        </w:tabs>
        <w:ind w:firstLine="480"/>
        <w:rPr>
          <w:rFonts w:ascii="宋体" w:hAnsi="宋体" w:eastAsia="宋体" w:cs="宋体"/>
          <w:color w:val="auto"/>
          <w:sz w:val="24"/>
        </w:rPr>
      </w:pPr>
    </w:p>
    <w:p>
      <w:pPr>
        <w:tabs>
          <w:tab w:val="left" w:pos="0"/>
          <w:tab w:val="left" w:pos="993"/>
          <w:tab w:val="left" w:pos="1134"/>
        </w:tabs>
        <w:ind w:firstLine="480"/>
        <w:rPr>
          <w:rFonts w:ascii="宋体" w:hAnsi="宋体" w:eastAsia="宋体" w:cs="宋体"/>
          <w:color w:val="auto"/>
          <w:sz w:val="24"/>
        </w:rPr>
      </w:pPr>
    </w:p>
    <w:p>
      <w:pPr>
        <w:jc w:val="left"/>
        <w:rPr>
          <w:rFonts w:ascii="宋体" w:hAnsi="宋体" w:eastAsia="宋体" w:cs="宋体"/>
          <w:color w:val="auto"/>
          <w:sz w:val="24"/>
        </w:rPr>
      </w:pPr>
    </w:p>
    <w:p>
      <w:pPr>
        <w:spacing w:line="360" w:lineRule="auto"/>
        <w:jc w:val="left"/>
        <w:rPr>
          <w:rFonts w:ascii="宋体" w:hAnsi="宋体" w:eastAsia="宋体" w:cs="宋体"/>
          <w:color w:val="auto"/>
          <w:sz w:val="24"/>
        </w:rPr>
      </w:pPr>
      <w:r>
        <w:rPr>
          <w:rFonts w:ascii="宋体" w:hAnsi="宋体" w:eastAsia="宋体" w:cs="宋体"/>
          <w:color w:val="auto"/>
          <w:sz w:val="24"/>
        </w:rPr>
        <w:t>格式2-1</w:t>
      </w:r>
    </w:p>
    <w:p>
      <w:pPr>
        <w:spacing w:line="360" w:lineRule="auto"/>
        <w:jc w:val="center"/>
        <w:rPr>
          <w:rFonts w:ascii="宋体" w:hAnsi="宋体" w:eastAsia="宋体" w:cs="宋体"/>
          <w:color w:val="auto"/>
          <w:sz w:val="24"/>
        </w:rPr>
      </w:pPr>
      <w:r>
        <w:rPr>
          <w:rFonts w:ascii="宋体" w:hAnsi="宋体" w:eastAsia="宋体" w:cs="宋体"/>
          <w:color w:val="auto"/>
          <w:sz w:val="24"/>
        </w:rPr>
        <w:t>法定代表人身份证明书</w:t>
      </w:r>
    </w:p>
    <w:p>
      <w:pPr>
        <w:spacing w:line="360" w:lineRule="auto"/>
        <w:jc w:val="center"/>
        <w:rPr>
          <w:rFonts w:ascii="宋体" w:hAnsi="宋体" w:eastAsia="宋体" w:cs="宋体"/>
          <w:color w:val="auto"/>
          <w:sz w:val="24"/>
        </w:rPr>
      </w:pPr>
      <w:r>
        <w:rPr>
          <w:rFonts w:ascii="宋体" w:hAnsi="宋体" w:eastAsia="宋体" w:cs="宋体"/>
          <w:color w:val="auto"/>
          <w:sz w:val="24"/>
        </w:rPr>
        <w:t>（法定代表人参加竞争性磋商的，出具此证明书）</w:t>
      </w:r>
    </w:p>
    <w:p>
      <w:pPr>
        <w:spacing w:line="360" w:lineRule="auto"/>
        <w:ind w:firstLine="480"/>
        <w:rPr>
          <w:rFonts w:ascii="宋体" w:hAnsi="宋体" w:eastAsia="宋体" w:cs="宋体"/>
          <w:color w:val="auto"/>
          <w:sz w:val="24"/>
        </w:rPr>
      </w:pPr>
    </w:p>
    <w:p>
      <w:pPr>
        <w:spacing w:line="360" w:lineRule="auto"/>
        <w:ind w:firstLine="480"/>
        <w:rPr>
          <w:rFonts w:ascii="宋体" w:hAnsi="宋体" w:eastAsia="宋体" w:cs="宋体"/>
          <w:color w:val="auto"/>
          <w:sz w:val="24"/>
        </w:rPr>
      </w:pPr>
      <w:r>
        <w:rPr>
          <w:rFonts w:hint="eastAsia" w:ascii="宋体" w:hAnsi="宋体" w:eastAsia="宋体" w:cs="宋体"/>
          <w:color w:val="auto"/>
          <w:sz w:val="24"/>
          <w:lang w:val="en-US" w:eastAsia="zh-CN"/>
        </w:rPr>
        <w:t>_________</w:t>
      </w:r>
      <w:r>
        <w:rPr>
          <w:rFonts w:ascii="宋体" w:hAnsi="宋体" w:eastAsia="宋体" w:cs="宋体"/>
          <w:color w:val="auto"/>
          <w:sz w:val="24"/>
        </w:rPr>
        <w:t>同志，系我单位法定代表人，任</w:t>
      </w:r>
      <w:r>
        <w:rPr>
          <w:rFonts w:hint="eastAsia" w:ascii="宋体" w:hAnsi="宋体" w:eastAsia="宋体" w:cs="宋体"/>
          <w:color w:val="auto"/>
          <w:sz w:val="24"/>
          <w:lang w:val="en-US" w:eastAsia="zh-CN"/>
        </w:rPr>
        <w:t>_________</w:t>
      </w:r>
      <w:r>
        <w:rPr>
          <w:rFonts w:ascii="宋体" w:hAnsi="宋体" w:eastAsia="宋体" w:cs="宋体"/>
          <w:color w:val="auto"/>
          <w:sz w:val="24"/>
        </w:rPr>
        <w:t>职务。</w:t>
      </w:r>
    </w:p>
    <w:p>
      <w:pPr>
        <w:spacing w:line="360" w:lineRule="auto"/>
        <w:ind w:firstLine="480"/>
        <w:rPr>
          <w:rFonts w:ascii="宋体" w:hAnsi="宋体" w:eastAsia="宋体" w:cs="宋体"/>
          <w:color w:val="auto"/>
          <w:sz w:val="24"/>
        </w:rPr>
      </w:pPr>
      <w:r>
        <w:rPr>
          <w:rFonts w:ascii="宋体" w:hAnsi="宋体" w:eastAsia="宋体" w:cs="宋体"/>
          <w:color w:val="auto"/>
          <w:sz w:val="24"/>
        </w:rPr>
        <w:t>特此证明。</w:t>
      </w:r>
    </w:p>
    <w:p>
      <w:pPr>
        <w:spacing w:line="360" w:lineRule="auto"/>
        <w:ind w:firstLine="480"/>
        <w:rPr>
          <w:rFonts w:ascii="宋体" w:hAnsi="宋体" w:eastAsia="宋体" w:cs="宋体"/>
          <w:color w:val="auto"/>
          <w:sz w:val="24"/>
        </w:rPr>
      </w:pPr>
      <w:r>
        <w:rPr>
          <w:rFonts w:ascii="宋体" w:hAnsi="宋体" w:eastAsia="宋体" w:cs="宋体"/>
          <w:color w:val="auto"/>
          <w:sz w:val="24"/>
        </w:rPr>
        <w:t xml:space="preserve">附：联系地址：               </w:t>
      </w:r>
    </w:p>
    <w:p>
      <w:pPr>
        <w:spacing w:line="360" w:lineRule="auto"/>
        <w:ind w:firstLine="960"/>
        <w:rPr>
          <w:rFonts w:ascii="宋体" w:hAnsi="宋体" w:eastAsia="宋体" w:cs="宋体"/>
          <w:b/>
          <w:color w:val="auto"/>
          <w:sz w:val="24"/>
        </w:rPr>
      </w:pPr>
      <w:r>
        <w:rPr>
          <w:rFonts w:ascii="宋体" w:hAnsi="宋体" w:eastAsia="宋体" w:cs="宋体"/>
          <w:color w:val="auto"/>
          <w:sz w:val="24"/>
        </w:rPr>
        <w:t>联系电话：</w:t>
      </w:r>
    </w:p>
    <w:tbl>
      <w:tblPr>
        <w:tblStyle w:val="8"/>
        <w:tblW w:w="0" w:type="auto"/>
        <w:tblInd w:w="0" w:type="dxa"/>
        <w:tblLayout w:type="autofit"/>
        <w:tblCellMar>
          <w:top w:w="0" w:type="dxa"/>
          <w:left w:w="10" w:type="dxa"/>
          <w:bottom w:w="0" w:type="dxa"/>
          <w:right w:w="10" w:type="dxa"/>
        </w:tblCellMar>
      </w:tblPr>
      <w:tblGrid>
        <w:gridCol w:w="5328"/>
      </w:tblGrid>
      <w:tr>
        <w:tblPrEx>
          <w:tblCellMar>
            <w:top w:w="0" w:type="dxa"/>
            <w:left w:w="10" w:type="dxa"/>
            <w:bottom w:w="0" w:type="dxa"/>
            <w:right w:w="10" w:type="dxa"/>
          </w:tblCellMar>
        </w:tblPrEx>
        <w:tc>
          <w:tcPr>
            <w:tcW w:w="532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spacing w:line="480" w:lineRule="auto"/>
              <w:rPr>
                <w:rFonts w:ascii="宋体" w:hAnsi="宋体" w:eastAsia="宋体" w:cs="宋体"/>
                <w:b/>
                <w:color w:val="auto"/>
                <w:sz w:val="24"/>
              </w:rPr>
            </w:pPr>
          </w:p>
          <w:p>
            <w:pPr>
              <w:spacing w:line="480" w:lineRule="auto"/>
              <w:rPr>
                <w:rFonts w:ascii="宋体" w:hAnsi="宋体" w:eastAsia="宋体" w:cs="宋体"/>
                <w:b/>
                <w:color w:val="auto"/>
                <w:sz w:val="24"/>
              </w:rPr>
            </w:pPr>
          </w:p>
          <w:p>
            <w:pPr>
              <w:spacing w:line="480" w:lineRule="auto"/>
              <w:jc w:val="center"/>
              <w:rPr>
                <w:rFonts w:ascii="宋体" w:hAnsi="宋体" w:eastAsia="宋体" w:cs="宋体"/>
                <w:b/>
                <w:color w:val="auto"/>
                <w:sz w:val="24"/>
              </w:rPr>
            </w:pPr>
            <w:r>
              <w:rPr>
                <w:rFonts w:ascii="宋体" w:hAnsi="宋体" w:eastAsia="宋体" w:cs="宋体"/>
                <w:b/>
                <w:color w:val="auto"/>
                <w:sz w:val="24"/>
              </w:rPr>
              <w:t>（※附：法定代表人身份证复印件※）</w:t>
            </w:r>
          </w:p>
          <w:p>
            <w:pPr>
              <w:spacing w:line="480" w:lineRule="auto"/>
              <w:rPr>
                <w:rFonts w:ascii="宋体" w:hAnsi="宋体" w:eastAsia="宋体" w:cs="宋体"/>
                <w:color w:val="auto"/>
                <w:sz w:val="24"/>
              </w:rPr>
            </w:pPr>
          </w:p>
          <w:p>
            <w:pPr>
              <w:spacing w:line="480" w:lineRule="auto"/>
              <w:rPr>
                <w:rFonts w:ascii="宋体" w:hAnsi="宋体" w:eastAsia="宋体" w:cs="宋体"/>
                <w:color w:val="auto"/>
              </w:rPr>
            </w:pPr>
          </w:p>
        </w:tc>
      </w:tr>
    </w:tbl>
    <w:p>
      <w:pPr>
        <w:spacing w:line="360" w:lineRule="auto"/>
        <w:rPr>
          <w:rFonts w:ascii="宋体" w:hAnsi="宋体" w:eastAsia="宋体" w:cs="宋体"/>
          <w:color w:val="auto"/>
          <w:sz w:val="24"/>
        </w:rPr>
      </w:pPr>
    </w:p>
    <w:p>
      <w:pPr>
        <w:spacing w:line="360" w:lineRule="auto"/>
        <w:jc w:val="center"/>
        <w:rPr>
          <w:rFonts w:ascii="宋体" w:hAnsi="宋体" w:eastAsia="宋体" w:cs="宋体"/>
          <w:color w:val="auto"/>
          <w:sz w:val="24"/>
        </w:rPr>
      </w:pPr>
    </w:p>
    <w:p>
      <w:pPr>
        <w:spacing w:line="360" w:lineRule="auto"/>
        <w:ind w:firstLine="3840"/>
        <w:rPr>
          <w:rFonts w:ascii="宋体" w:hAnsi="宋体" w:eastAsia="宋体" w:cs="宋体"/>
          <w:color w:val="auto"/>
          <w:sz w:val="24"/>
        </w:rPr>
      </w:pPr>
      <w:r>
        <w:rPr>
          <w:rFonts w:ascii="宋体" w:hAnsi="宋体" w:eastAsia="宋体" w:cs="宋体"/>
          <w:color w:val="auto"/>
          <w:sz w:val="24"/>
        </w:rPr>
        <w:t xml:space="preserve">投标人电子签章： </w:t>
      </w:r>
    </w:p>
    <w:p>
      <w:pPr>
        <w:spacing w:line="360" w:lineRule="auto"/>
        <w:jc w:val="center"/>
        <w:rPr>
          <w:rFonts w:ascii="宋体" w:hAnsi="宋体" w:eastAsia="宋体" w:cs="宋体"/>
          <w:color w:val="auto"/>
          <w:sz w:val="24"/>
        </w:rPr>
      </w:pPr>
      <w:r>
        <w:rPr>
          <w:rFonts w:ascii="宋体" w:hAnsi="宋体" w:eastAsia="宋体" w:cs="宋体"/>
          <w:color w:val="auto"/>
          <w:sz w:val="24"/>
        </w:rPr>
        <w:t xml:space="preserve">                年   月  日</w:t>
      </w:r>
    </w:p>
    <w:p>
      <w:pPr>
        <w:spacing w:line="360" w:lineRule="auto"/>
        <w:jc w:val="center"/>
        <w:rPr>
          <w:rFonts w:ascii="宋体" w:hAnsi="宋体" w:eastAsia="宋体" w:cs="宋体"/>
          <w:color w:val="auto"/>
          <w:sz w:val="24"/>
        </w:rPr>
      </w:pPr>
    </w:p>
    <w:p>
      <w:pPr>
        <w:spacing w:line="360" w:lineRule="auto"/>
        <w:jc w:val="center"/>
        <w:rPr>
          <w:rFonts w:ascii="宋体" w:hAnsi="宋体" w:eastAsia="宋体" w:cs="宋体"/>
          <w:color w:val="auto"/>
          <w:sz w:val="24"/>
        </w:rPr>
      </w:pPr>
      <w:r>
        <w:rPr>
          <w:rFonts w:ascii="宋体" w:hAnsi="宋体" w:eastAsia="宋体" w:cs="宋体"/>
          <w:color w:val="auto"/>
          <w:sz w:val="24"/>
        </w:rPr>
        <w:br w:type="page"/>
      </w:r>
    </w:p>
    <w:p>
      <w:pPr>
        <w:spacing w:line="360" w:lineRule="auto"/>
        <w:jc w:val="left"/>
        <w:rPr>
          <w:rFonts w:ascii="宋体" w:hAnsi="宋体" w:eastAsia="宋体" w:cs="宋体"/>
          <w:color w:val="auto"/>
          <w:sz w:val="24"/>
        </w:rPr>
      </w:pPr>
      <w:r>
        <w:rPr>
          <w:rFonts w:ascii="宋体" w:hAnsi="宋体" w:eastAsia="宋体" w:cs="宋体"/>
          <w:color w:val="auto"/>
          <w:sz w:val="24"/>
        </w:rPr>
        <w:t>格式2-2</w:t>
      </w:r>
    </w:p>
    <w:p>
      <w:pPr>
        <w:spacing w:line="360" w:lineRule="auto"/>
        <w:ind w:firstLine="480"/>
        <w:jc w:val="center"/>
        <w:rPr>
          <w:rFonts w:ascii="宋体" w:hAnsi="宋体" w:eastAsia="宋体" w:cs="宋体"/>
          <w:color w:val="auto"/>
          <w:sz w:val="24"/>
        </w:rPr>
      </w:pPr>
      <w:r>
        <w:rPr>
          <w:rFonts w:ascii="宋体" w:hAnsi="宋体" w:eastAsia="宋体" w:cs="宋体"/>
          <w:color w:val="auto"/>
          <w:sz w:val="24"/>
        </w:rPr>
        <w:t>授权委托书</w:t>
      </w:r>
    </w:p>
    <w:p>
      <w:pPr>
        <w:spacing w:line="360" w:lineRule="auto"/>
        <w:jc w:val="center"/>
        <w:rPr>
          <w:rFonts w:ascii="宋体" w:hAnsi="宋体" w:eastAsia="宋体" w:cs="宋体"/>
          <w:color w:val="auto"/>
          <w:sz w:val="24"/>
        </w:rPr>
      </w:pPr>
      <w:r>
        <w:rPr>
          <w:rFonts w:ascii="宋体" w:hAnsi="宋体" w:eastAsia="宋体" w:cs="宋体"/>
          <w:color w:val="auto"/>
          <w:sz w:val="24"/>
        </w:rPr>
        <w:t>（委托代理人参加竞争性磋商的，出具此证明书）</w:t>
      </w:r>
    </w:p>
    <w:p>
      <w:pPr>
        <w:spacing w:line="360" w:lineRule="auto"/>
        <w:ind w:firstLine="480"/>
        <w:rPr>
          <w:rFonts w:ascii="宋体" w:hAnsi="宋体" w:eastAsia="宋体" w:cs="宋体"/>
          <w:color w:val="auto"/>
          <w:sz w:val="24"/>
        </w:rPr>
      </w:pPr>
    </w:p>
    <w:p>
      <w:pPr>
        <w:spacing w:line="360" w:lineRule="auto"/>
        <w:ind w:firstLine="480"/>
        <w:rPr>
          <w:rFonts w:ascii="宋体" w:hAnsi="宋体" w:eastAsia="宋体" w:cs="宋体"/>
          <w:color w:val="auto"/>
          <w:sz w:val="24"/>
        </w:rPr>
      </w:pPr>
      <w:r>
        <w:rPr>
          <w:rFonts w:ascii="宋体" w:hAnsi="宋体" w:eastAsia="宋体" w:cs="宋体"/>
          <w:color w:val="auto"/>
          <w:sz w:val="24"/>
        </w:rPr>
        <w:t>委托人授权（被委托人的姓名、职务）为委托人的委托代理人，就项目编号为的项目及合同的执行，以本单位名义处理一切与之有关的事务。</w:t>
      </w:r>
    </w:p>
    <w:p>
      <w:pPr>
        <w:spacing w:line="360" w:lineRule="auto"/>
        <w:ind w:firstLine="480"/>
        <w:rPr>
          <w:rFonts w:ascii="宋体" w:hAnsi="宋体" w:eastAsia="宋体" w:cs="宋体"/>
          <w:color w:val="auto"/>
          <w:sz w:val="24"/>
        </w:rPr>
      </w:pPr>
      <w:r>
        <w:rPr>
          <w:rFonts w:ascii="宋体" w:hAnsi="宋体" w:eastAsia="宋体" w:cs="宋体"/>
          <w:color w:val="auto"/>
          <w:sz w:val="24"/>
        </w:rPr>
        <w:t>本授权书于年月日签字生效，特此声明。</w:t>
      </w:r>
    </w:p>
    <w:p>
      <w:pPr>
        <w:spacing w:line="360" w:lineRule="auto"/>
        <w:rPr>
          <w:rFonts w:ascii="宋体" w:hAnsi="宋体" w:eastAsia="宋体" w:cs="宋体"/>
          <w:color w:val="auto"/>
          <w:sz w:val="24"/>
        </w:rPr>
      </w:pPr>
    </w:p>
    <w:p>
      <w:pPr>
        <w:spacing w:line="360" w:lineRule="auto"/>
        <w:ind w:firstLine="480"/>
        <w:rPr>
          <w:rFonts w:ascii="宋体" w:hAnsi="宋体" w:eastAsia="宋体" w:cs="宋体"/>
          <w:color w:val="auto"/>
          <w:sz w:val="24"/>
        </w:rPr>
      </w:pPr>
      <w:r>
        <w:rPr>
          <w:rFonts w:ascii="宋体" w:hAnsi="宋体" w:eastAsia="宋体" w:cs="宋体"/>
          <w:color w:val="auto"/>
          <w:sz w:val="24"/>
        </w:rPr>
        <w:t>委托人：</w:t>
      </w:r>
    </w:p>
    <w:p>
      <w:pPr>
        <w:spacing w:line="360" w:lineRule="auto"/>
        <w:ind w:firstLine="480"/>
        <w:rPr>
          <w:rFonts w:ascii="宋体" w:hAnsi="宋体" w:eastAsia="宋体" w:cs="宋体"/>
          <w:color w:val="auto"/>
          <w:sz w:val="24"/>
        </w:rPr>
      </w:pPr>
      <w:r>
        <w:rPr>
          <w:rFonts w:ascii="宋体" w:hAnsi="宋体" w:eastAsia="宋体" w:cs="宋体"/>
          <w:color w:val="auto"/>
          <w:sz w:val="24"/>
        </w:rPr>
        <w:t xml:space="preserve">投标人电子公章：           </w:t>
      </w:r>
    </w:p>
    <w:p>
      <w:pPr>
        <w:spacing w:line="360" w:lineRule="auto"/>
        <w:ind w:firstLine="480"/>
        <w:rPr>
          <w:rFonts w:ascii="宋体" w:hAnsi="宋体" w:eastAsia="宋体" w:cs="宋体"/>
          <w:color w:val="auto"/>
          <w:sz w:val="24"/>
        </w:rPr>
      </w:pPr>
      <w:r>
        <w:rPr>
          <w:rFonts w:ascii="宋体" w:hAnsi="宋体" w:eastAsia="宋体" w:cs="宋体"/>
          <w:color w:val="auto"/>
          <w:sz w:val="24"/>
        </w:rPr>
        <w:t>被委托人：</w:t>
      </w:r>
    </w:p>
    <w:p>
      <w:pPr>
        <w:spacing w:line="360" w:lineRule="auto"/>
        <w:ind w:firstLine="480"/>
        <w:rPr>
          <w:rFonts w:ascii="宋体" w:hAnsi="宋体" w:eastAsia="宋体" w:cs="宋体"/>
          <w:color w:val="auto"/>
          <w:sz w:val="24"/>
        </w:rPr>
      </w:pPr>
      <w:r>
        <w:rPr>
          <w:rFonts w:ascii="宋体" w:hAnsi="宋体" w:eastAsia="宋体" w:cs="宋体"/>
          <w:color w:val="auto"/>
          <w:sz w:val="24"/>
        </w:rPr>
        <w:t>法定代表人：</w:t>
      </w:r>
    </w:p>
    <w:tbl>
      <w:tblPr>
        <w:tblStyle w:val="8"/>
        <w:tblW w:w="0" w:type="auto"/>
        <w:tblInd w:w="0" w:type="dxa"/>
        <w:tblLayout w:type="autofit"/>
        <w:tblCellMar>
          <w:top w:w="0" w:type="dxa"/>
          <w:left w:w="10" w:type="dxa"/>
          <w:bottom w:w="0" w:type="dxa"/>
          <w:right w:w="10" w:type="dxa"/>
        </w:tblCellMar>
      </w:tblPr>
      <w:tblGrid>
        <w:gridCol w:w="5508"/>
      </w:tblGrid>
      <w:tr>
        <w:tblPrEx>
          <w:tblCellMar>
            <w:top w:w="0" w:type="dxa"/>
            <w:left w:w="10" w:type="dxa"/>
            <w:bottom w:w="0" w:type="dxa"/>
            <w:right w:w="10" w:type="dxa"/>
          </w:tblCellMar>
        </w:tblPrEx>
        <w:tc>
          <w:tcPr>
            <w:tcW w:w="550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spacing w:line="480" w:lineRule="auto"/>
              <w:rPr>
                <w:rFonts w:ascii="宋体" w:hAnsi="宋体" w:eastAsia="宋体" w:cs="宋体"/>
                <w:b/>
                <w:color w:val="auto"/>
                <w:sz w:val="24"/>
              </w:rPr>
            </w:pPr>
          </w:p>
          <w:p>
            <w:pPr>
              <w:spacing w:line="480" w:lineRule="auto"/>
              <w:rPr>
                <w:rFonts w:ascii="宋体" w:hAnsi="宋体" w:eastAsia="宋体" w:cs="宋体"/>
                <w:b/>
                <w:color w:val="auto"/>
                <w:sz w:val="24"/>
              </w:rPr>
            </w:pPr>
          </w:p>
          <w:p>
            <w:pPr>
              <w:spacing w:line="480" w:lineRule="auto"/>
              <w:jc w:val="center"/>
              <w:rPr>
                <w:rFonts w:ascii="宋体" w:hAnsi="宋体" w:eastAsia="宋体" w:cs="宋体"/>
                <w:color w:val="auto"/>
              </w:rPr>
            </w:pPr>
            <w:r>
              <w:rPr>
                <w:rFonts w:ascii="宋体" w:hAnsi="宋体" w:eastAsia="宋体" w:cs="宋体"/>
                <w:b/>
                <w:color w:val="auto"/>
                <w:sz w:val="24"/>
              </w:rPr>
              <w:t>（※附：被委托人身份证复印件※）</w:t>
            </w:r>
          </w:p>
        </w:tc>
      </w:tr>
    </w:tbl>
    <w:p>
      <w:pPr>
        <w:spacing w:line="360" w:lineRule="auto"/>
        <w:ind w:firstLine="480"/>
        <w:rPr>
          <w:rFonts w:ascii="宋体" w:hAnsi="宋体" w:eastAsia="宋体" w:cs="宋体"/>
          <w:color w:val="auto"/>
          <w:sz w:val="24"/>
        </w:rPr>
      </w:pPr>
    </w:p>
    <w:p>
      <w:pPr>
        <w:spacing w:line="360" w:lineRule="auto"/>
        <w:jc w:val="center"/>
        <w:rPr>
          <w:rFonts w:ascii="宋体" w:hAnsi="宋体" w:eastAsia="宋体" w:cs="宋体"/>
          <w:color w:val="auto"/>
          <w:sz w:val="24"/>
        </w:rPr>
      </w:pPr>
    </w:p>
    <w:p>
      <w:pPr>
        <w:spacing w:line="360" w:lineRule="auto"/>
        <w:jc w:val="center"/>
        <w:rPr>
          <w:rFonts w:ascii="宋体" w:hAnsi="宋体" w:eastAsia="宋体" w:cs="宋体"/>
          <w:color w:val="auto"/>
          <w:sz w:val="24"/>
        </w:rPr>
      </w:pPr>
    </w:p>
    <w:p>
      <w:pPr>
        <w:spacing w:line="360" w:lineRule="auto"/>
        <w:jc w:val="center"/>
        <w:rPr>
          <w:rFonts w:ascii="宋体" w:hAnsi="宋体" w:eastAsia="宋体" w:cs="宋体"/>
          <w:color w:val="auto"/>
          <w:sz w:val="24"/>
        </w:rPr>
      </w:pPr>
    </w:p>
    <w:p>
      <w:pPr>
        <w:spacing w:line="360" w:lineRule="auto"/>
        <w:jc w:val="center"/>
        <w:rPr>
          <w:rFonts w:ascii="宋体" w:hAnsi="宋体" w:eastAsia="宋体" w:cs="宋体"/>
          <w:color w:val="auto"/>
          <w:sz w:val="24"/>
        </w:rPr>
      </w:pPr>
      <w:r>
        <w:rPr>
          <w:rFonts w:ascii="宋体" w:hAnsi="宋体" w:eastAsia="宋体" w:cs="宋体"/>
          <w:color w:val="auto"/>
          <w:sz w:val="24"/>
        </w:rPr>
        <w:t xml:space="preserve">投标人电子公章：                                       </w:t>
      </w:r>
    </w:p>
    <w:p>
      <w:pPr>
        <w:spacing w:line="360" w:lineRule="auto"/>
        <w:jc w:val="center"/>
        <w:rPr>
          <w:rFonts w:ascii="宋体" w:hAnsi="宋体" w:eastAsia="宋体" w:cs="宋体"/>
          <w:color w:val="auto"/>
          <w:sz w:val="24"/>
        </w:rPr>
      </w:pPr>
      <w:r>
        <w:rPr>
          <w:rFonts w:ascii="宋体" w:hAnsi="宋体" w:eastAsia="宋体" w:cs="宋体"/>
          <w:color w:val="auto"/>
          <w:sz w:val="24"/>
        </w:rPr>
        <w:t xml:space="preserve"> 年   月   日</w:t>
      </w:r>
    </w:p>
    <w:p>
      <w:pPr>
        <w:spacing w:line="360" w:lineRule="auto"/>
        <w:jc w:val="center"/>
        <w:rPr>
          <w:rFonts w:ascii="宋体" w:hAnsi="宋体" w:eastAsia="宋体" w:cs="宋体"/>
          <w:color w:val="auto"/>
          <w:sz w:val="24"/>
        </w:rPr>
      </w:pPr>
    </w:p>
    <w:p>
      <w:pPr>
        <w:ind w:firstLine="240"/>
        <w:jc w:val="left"/>
        <w:rPr>
          <w:rFonts w:ascii="宋体" w:hAnsi="宋体" w:eastAsia="宋体" w:cs="宋体"/>
          <w:color w:val="auto"/>
          <w:sz w:val="24"/>
        </w:rPr>
      </w:pPr>
    </w:p>
    <w:p>
      <w:pPr>
        <w:ind w:firstLine="240"/>
        <w:jc w:val="left"/>
        <w:rPr>
          <w:rFonts w:ascii="宋体" w:hAnsi="宋体" w:eastAsia="宋体" w:cs="宋体"/>
          <w:color w:val="auto"/>
          <w:sz w:val="24"/>
        </w:rPr>
      </w:pPr>
    </w:p>
    <w:p>
      <w:pPr>
        <w:ind w:firstLine="240"/>
        <w:jc w:val="left"/>
        <w:rPr>
          <w:rFonts w:ascii="宋体" w:hAnsi="宋体" w:eastAsia="宋体" w:cs="宋体"/>
          <w:color w:val="auto"/>
          <w:sz w:val="24"/>
        </w:rPr>
      </w:pPr>
    </w:p>
    <w:p>
      <w:pPr>
        <w:ind w:firstLine="240"/>
        <w:jc w:val="left"/>
        <w:rPr>
          <w:rFonts w:ascii="宋体" w:hAnsi="宋体" w:eastAsia="宋体" w:cs="宋体"/>
          <w:color w:val="auto"/>
          <w:sz w:val="24"/>
        </w:rPr>
      </w:pPr>
    </w:p>
    <w:p>
      <w:pPr>
        <w:pStyle w:val="13"/>
        <w:ind w:firstLine="210"/>
        <w:rPr>
          <w:color w:val="auto"/>
        </w:rPr>
      </w:pPr>
    </w:p>
    <w:p>
      <w:pPr>
        <w:ind w:firstLine="240"/>
        <w:jc w:val="left"/>
        <w:rPr>
          <w:rFonts w:ascii="宋体" w:hAnsi="宋体" w:eastAsia="宋体" w:cs="宋体"/>
          <w:color w:val="auto"/>
          <w:sz w:val="24"/>
        </w:rPr>
      </w:pPr>
      <w:r>
        <w:rPr>
          <w:rFonts w:ascii="宋体" w:hAnsi="宋体" w:eastAsia="宋体" w:cs="宋体"/>
          <w:color w:val="auto"/>
          <w:sz w:val="24"/>
        </w:rPr>
        <w:br w:type="page"/>
      </w:r>
    </w:p>
    <w:p>
      <w:pPr>
        <w:spacing w:line="360" w:lineRule="auto"/>
        <w:jc w:val="left"/>
        <w:rPr>
          <w:rFonts w:ascii="宋体" w:hAnsi="宋体" w:eastAsia="宋体" w:cs="宋体"/>
          <w:color w:val="auto"/>
          <w:sz w:val="24"/>
        </w:rPr>
      </w:pPr>
      <w:r>
        <w:rPr>
          <w:rFonts w:ascii="宋体" w:hAnsi="宋体" w:eastAsia="宋体" w:cs="宋体"/>
          <w:color w:val="auto"/>
          <w:sz w:val="24"/>
        </w:rPr>
        <w:t>格式2-3</w:t>
      </w:r>
    </w:p>
    <w:p>
      <w:pPr>
        <w:ind w:firstLine="240"/>
        <w:jc w:val="left"/>
        <w:rPr>
          <w:rFonts w:ascii="宋体" w:hAnsi="宋体" w:eastAsia="宋体" w:cs="宋体"/>
          <w:color w:val="auto"/>
          <w:sz w:val="24"/>
        </w:rPr>
      </w:pPr>
      <w:r>
        <w:rPr>
          <w:rFonts w:ascii="宋体" w:hAnsi="宋体" w:eastAsia="宋体" w:cs="宋体"/>
          <w:color w:val="auto"/>
          <w:sz w:val="24"/>
        </w:rPr>
        <w:t>供应商资格其他资料</w:t>
      </w:r>
    </w:p>
    <w:p>
      <w:pPr>
        <w:ind w:firstLine="240"/>
        <w:jc w:val="left"/>
        <w:rPr>
          <w:rFonts w:ascii="宋体" w:hAnsi="宋体" w:eastAsia="宋体" w:cs="宋体"/>
          <w:color w:val="auto"/>
          <w:sz w:val="24"/>
        </w:rPr>
      </w:pPr>
    </w:p>
    <w:p>
      <w:pPr>
        <w:ind w:firstLine="240"/>
        <w:jc w:val="left"/>
        <w:rPr>
          <w:rFonts w:ascii="宋体" w:hAnsi="宋体" w:eastAsia="宋体" w:cs="宋体"/>
          <w:color w:val="auto"/>
          <w:sz w:val="24"/>
        </w:rPr>
      </w:pPr>
    </w:p>
    <w:p>
      <w:pPr>
        <w:ind w:firstLine="240"/>
        <w:jc w:val="left"/>
        <w:rPr>
          <w:rFonts w:ascii="宋体" w:hAnsi="宋体" w:eastAsia="宋体" w:cs="宋体"/>
          <w:color w:val="auto"/>
          <w:sz w:val="24"/>
        </w:rPr>
      </w:pPr>
    </w:p>
    <w:p>
      <w:pPr>
        <w:ind w:firstLine="240"/>
        <w:jc w:val="left"/>
        <w:rPr>
          <w:rFonts w:ascii="宋体" w:hAnsi="宋体" w:eastAsia="宋体" w:cs="宋体"/>
          <w:color w:val="auto"/>
          <w:sz w:val="24"/>
        </w:rPr>
      </w:pPr>
      <w:r>
        <w:rPr>
          <w:rFonts w:ascii="宋体" w:hAnsi="宋体" w:eastAsia="宋体" w:cs="宋体"/>
          <w:color w:val="auto"/>
          <w:sz w:val="24"/>
        </w:rPr>
        <w:br w:type="page"/>
      </w:r>
    </w:p>
    <w:p>
      <w:pPr>
        <w:spacing w:line="360" w:lineRule="auto"/>
        <w:jc w:val="left"/>
        <w:rPr>
          <w:rFonts w:ascii="宋体" w:hAnsi="宋体" w:eastAsia="宋体" w:cs="宋体"/>
          <w:color w:val="auto"/>
          <w:sz w:val="24"/>
        </w:rPr>
      </w:pPr>
      <w:r>
        <w:rPr>
          <w:rFonts w:ascii="宋体" w:hAnsi="宋体" w:eastAsia="宋体" w:cs="宋体"/>
          <w:color w:val="auto"/>
          <w:sz w:val="24"/>
        </w:rPr>
        <w:t>格式3</w:t>
      </w:r>
    </w:p>
    <w:p>
      <w:pPr>
        <w:spacing w:line="560" w:lineRule="auto"/>
        <w:jc w:val="center"/>
        <w:rPr>
          <w:rFonts w:ascii="宋体" w:hAnsi="宋体" w:eastAsia="宋体" w:cs="宋体"/>
          <w:color w:val="auto"/>
          <w:sz w:val="24"/>
        </w:rPr>
      </w:pPr>
      <w:r>
        <w:rPr>
          <w:rFonts w:ascii="宋体" w:hAnsi="宋体" w:eastAsia="宋体" w:cs="宋体"/>
          <w:color w:val="auto"/>
          <w:sz w:val="24"/>
        </w:rPr>
        <w:t>投标函</w:t>
      </w:r>
    </w:p>
    <w:p>
      <w:pPr>
        <w:spacing w:line="360" w:lineRule="auto"/>
        <w:jc w:val="left"/>
        <w:rPr>
          <w:rFonts w:ascii="宋体" w:hAnsi="宋体" w:eastAsia="宋体" w:cs="宋体"/>
          <w:color w:val="auto"/>
          <w:sz w:val="24"/>
          <w:shd w:val="clear" w:color="auto" w:fill="FFFFFF"/>
        </w:rPr>
      </w:pPr>
      <w:r>
        <w:rPr>
          <w:rFonts w:ascii="宋体" w:hAnsi="宋体" w:eastAsia="宋体" w:cs="宋体"/>
          <w:color w:val="auto"/>
          <w:sz w:val="24"/>
          <w:shd w:val="clear" w:color="auto" w:fill="FFFFFF"/>
        </w:rPr>
        <w:t>致：周口市公共资源交易中心</w:t>
      </w:r>
      <w:r>
        <w:rPr>
          <w:rFonts w:hint="eastAsia" w:ascii="宋体" w:hAnsi="宋体" w:eastAsia="宋体" w:cs="宋体"/>
          <w:color w:val="auto"/>
          <w:sz w:val="24"/>
          <w:shd w:val="clear" w:color="auto" w:fill="FFFFFF"/>
        </w:rPr>
        <w:t>（</w:t>
      </w:r>
      <w:r>
        <w:rPr>
          <w:rFonts w:ascii="宋体" w:hAnsi="宋体" w:eastAsia="宋体" w:cs="宋体"/>
          <w:color w:val="auto"/>
          <w:sz w:val="24"/>
          <w:shd w:val="clear" w:color="auto" w:fill="FFFFFF"/>
        </w:rPr>
        <w:t>政府采购中心</w:t>
      </w:r>
      <w:r>
        <w:rPr>
          <w:rFonts w:hint="eastAsia" w:ascii="宋体" w:hAnsi="宋体" w:eastAsia="宋体" w:cs="宋体"/>
          <w:color w:val="auto"/>
          <w:sz w:val="24"/>
          <w:shd w:val="clear" w:color="auto" w:fill="FFFFFF"/>
        </w:rPr>
        <w:t>)</w:t>
      </w:r>
    </w:p>
    <w:p>
      <w:pPr>
        <w:rPr>
          <w:rFonts w:ascii="宋体" w:hAnsi="宋体" w:eastAsia="宋体" w:cs="宋体"/>
          <w:color w:val="auto"/>
          <w:sz w:val="24"/>
        </w:rPr>
      </w:pPr>
    </w:p>
    <w:p>
      <w:pPr>
        <w:ind w:firstLine="600"/>
        <w:rPr>
          <w:rFonts w:ascii="宋体" w:hAnsi="宋体" w:eastAsia="宋体" w:cs="宋体"/>
          <w:color w:val="auto"/>
          <w:sz w:val="24"/>
        </w:rPr>
      </w:pPr>
      <w:r>
        <w:rPr>
          <w:rFonts w:ascii="宋体" w:hAnsi="宋体" w:eastAsia="宋体" w:cs="宋体"/>
          <w:color w:val="auto"/>
          <w:sz w:val="24"/>
        </w:rPr>
        <w:t>根据贵</w:t>
      </w:r>
      <w:r>
        <w:rPr>
          <w:rFonts w:ascii="宋体" w:hAnsi="宋体" w:eastAsia="宋体" w:cs="宋体"/>
          <w:color w:val="auto"/>
          <w:sz w:val="24"/>
          <w:u w:val="single"/>
        </w:rPr>
        <w:t xml:space="preserve">方              </w:t>
      </w:r>
      <w:r>
        <w:rPr>
          <w:rFonts w:ascii="宋体" w:hAnsi="宋体" w:eastAsia="宋体" w:cs="宋体"/>
          <w:color w:val="auto"/>
          <w:sz w:val="24"/>
        </w:rPr>
        <w:t>项目的竞争性磋商邀请（项目编号：</w:t>
      </w:r>
      <w:r>
        <w:rPr>
          <w:rFonts w:ascii="宋体" w:hAnsi="宋体" w:eastAsia="宋体" w:cs="宋体"/>
          <w:color w:val="auto"/>
          <w:sz w:val="24"/>
          <w:u w:val="single"/>
        </w:rPr>
        <w:t xml:space="preserve">          </w:t>
      </w:r>
      <w:r>
        <w:rPr>
          <w:rFonts w:ascii="宋体" w:hAnsi="宋体" w:eastAsia="宋体" w:cs="宋体"/>
          <w:color w:val="auto"/>
          <w:sz w:val="24"/>
        </w:rPr>
        <w:t>），委托代理人</w:t>
      </w:r>
      <w:r>
        <w:rPr>
          <w:rFonts w:ascii="宋体" w:hAnsi="宋体" w:eastAsia="宋体" w:cs="宋体"/>
          <w:color w:val="auto"/>
          <w:sz w:val="24"/>
          <w:u w:val="single"/>
        </w:rPr>
        <w:t xml:space="preserve">      (</w:t>
      </w:r>
      <w:r>
        <w:rPr>
          <w:rFonts w:ascii="宋体" w:hAnsi="宋体" w:eastAsia="宋体" w:cs="宋体"/>
          <w:color w:val="auto"/>
          <w:sz w:val="24"/>
        </w:rPr>
        <w:t xml:space="preserve">全名、职务)代表 </w:t>
      </w:r>
      <w:r>
        <w:rPr>
          <w:rFonts w:ascii="宋体" w:hAnsi="宋体" w:eastAsia="宋体" w:cs="宋体"/>
          <w:color w:val="auto"/>
          <w:sz w:val="24"/>
          <w:u w:val="single"/>
        </w:rPr>
        <w:t xml:space="preserve">            </w:t>
      </w:r>
      <w:r>
        <w:rPr>
          <w:rFonts w:ascii="宋体" w:hAnsi="宋体" w:eastAsia="宋体" w:cs="宋体"/>
          <w:color w:val="auto"/>
          <w:sz w:val="24"/>
        </w:rPr>
        <w:t xml:space="preserve"> 供应商名称、地址)提交投标文件，报价为</w:t>
      </w:r>
      <w:r>
        <w:rPr>
          <w:rFonts w:ascii="宋体" w:hAnsi="宋体" w:eastAsia="宋体" w:cs="宋体"/>
          <w:color w:val="auto"/>
          <w:sz w:val="24"/>
          <w:u w:val="single"/>
        </w:rPr>
        <w:t>：    元，</w:t>
      </w:r>
      <w:r>
        <w:rPr>
          <w:rFonts w:ascii="宋体" w:hAnsi="宋体" w:eastAsia="宋体" w:cs="宋体"/>
          <w:color w:val="auto"/>
          <w:sz w:val="24"/>
        </w:rPr>
        <w:t>并对之负法律责任。</w:t>
      </w:r>
    </w:p>
    <w:p>
      <w:pPr>
        <w:ind w:firstLine="568"/>
        <w:rPr>
          <w:rFonts w:ascii="宋体" w:hAnsi="宋体" w:eastAsia="宋体" w:cs="宋体"/>
          <w:color w:val="auto"/>
          <w:sz w:val="24"/>
        </w:rPr>
      </w:pPr>
      <w:r>
        <w:rPr>
          <w:rFonts w:ascii="宋体" w:hAnsi="宋体" w:eastAsia="宋体" w:cs="宋体"/>
          <w:color w:val="auto"/>
          <w:sz w:val="24"/>
        </w:rPr>
        <w:t>据此函，宣布同意如下：</w:t>
      </w:r>
    </w:p>
    <w:p>
      <w:pPr>
        <w:ind w:firstLine="480"/>
        <w:rPr>
          <w:rFonts w:ascii="宋体" w:hAnsi="宋体" w:eastAsia="宋体" w:cs="宋体"/>
          <w:color w:val="auto"/>
          <w:sz w:val="24"/>
        </w:rPr>
      </w:pPr>
      <w:r>
        <w:rPr>
          <w:rFonts w:ascii="宋体" w:hAnsi="宋体" w:eastAsia="宋体" w:cs="宋体"/>
          <w:color w:val="auto"/>
          <w:sz w:val="24"/>
        </w:rPr>
        <w:t>(1)我们完全理解贵方不一定要接受最低报价，并同意本文件规定的响应性文件有效期。</w:t>
      </w:r>
    </w:p>
    <w:p>
      <w:pPr>
        <w:ind w:firstLine="480"/>
        <w:rPr>
          <w:rFonts w:ascii="宋体" w:hAnsi="宋体" w:eastAsia="宋体" w:cs="宋体"/>
          <w:color w:val="auto"/>
          <w:sz w:val="24"/>
        </w:rPr>
      </w:pPr>
      <w:r>
        <w:rPr>
          <w:rFonts w:ascii="宋体" w:hAnsi="宋体" w:eastAsia="宋体" w:cs="宋体"/>
          <w:color w:val="auto"/>
          <w:sz w:val="24"/>
        </w:rPr>
        <w:t>(2)我们已详细审核全部竞争性磋商文件，我们知道必须放弃提出含糊不清或误解的问题的权利。</w:t>
      </w:r>
    </w:p>
    <w:p>
      <w:pPr>
        <w:numPr>
          <w:ilvl w:val="0"/>
          <w:numId w:val="26"/>
        </w:numPr>
        <w:ind w:firstLine="480"/>
        <w:rPr>
          <w:rFonts w:ascii="宋体" w:hAnsi="宋体" w:eastAsia="宋体" w:cs="宋体"/>
          <w:color w:val="auto"/>
          <w:sz w:val="24"/>
        </w:rPr>
      </w:pPr>
      <w:r>
        <w:rPr>
          <w:rFonts w:ascii="宋体" w:hAnsi="宋体" w:eastAsia="宋体" w:cs="宋体"/>
          <w:color w:val="auto"/>
          <w:sz w:val="24"/>
        </w:rPr>
        <w:t>同意向贵方提供贵方可能另外要求的与其竞争性磋商有关的任何证据和资料。</w:t>
      </w:r>
    </w:p>
    <w:p>
      <w:pPr>
        <w:ind w:firstLine="480"/>
        <w:rPr>
          <w:rFonts w:ascii="宋体" w:hAnsi="宋体" w:eastAsia="宋体" w:cs="宋体"/>
          <w:color w:val="auto"/>
          <w:sz w:val="24"/>
        </w:rPr>
      </w:pPr>
      <w:r>
        <w:rPr>
          <w:rFonts w:ascii="宋体" w:hAnsi="宋体" w:eastAsia="宋体" w:cs="宋体"/>
          <w:color w:val="auto"/>
          <w:sz w:val="24"/>
        </w:rPr>
        <w:t>(4)一旦我们成交，我们将严格履行合同责任和义务。</w:t>
      </w:r>
    </w:p>
    <w:p>
      <w:pPr>
        <w:ind w:firstLine="480"/>
        <w:rPr>
          <w:rFonts w:ascii="宋体" w:hAnsi="宋体" w:eastAsia="宋体" w:cs="宋体"/>
          <w:color w:val="auto"/>
          <w:sz w:val="24"/>
        </w:rPr>
      </w:pPr>
      <w:r>
        <w:rPr>
          <w:rFonts w:ascii="宋体" w:hAnsi="宋体" w:eastAsia="宋体" w:cs="宋体"/>
          <w:color w:val="auto"/>
          <w:sz w:val="24"/>
        </w:rPr>
        <w:t>(5)我们完全理解不向未成交人解释未成交理由的义务。</w:t>
      </w:r>
    </w:p>
    <w:p>
      <w:pPr>
        <w:ind w:firstLine="480"/>
        <w:rPr>
          <w:rFonts w:ascii="宋体" w:hAnsi="宋体" w:eastAsia="宋体" w:cs="宋体"/>
          <w:color w:val="auto"/>
          <w:sz w:val="24"/>
        </w:rPr>
      </w:pPr>
      <w:r>
        <w:rPr>
          <w:rFonts w:ascii="宋体" w:hAnsi="宋体" w:eastAsia="宋体" w:cs="宋体"/>
          <w:color w:val="auto"/>
          <w:sz w:val="24"/>
        </w:rPr>
        <w:t>(6)与本次竞争性磋商有关的正式通讯地址为：</w:t>
      </w:r>
    </w:p>
    <w:p>
      <w:pPr>
        <w:ind w:firstLine="480"/>
        <w:rPr>
          <w:rFonts w:ascii="宋体" w:hAnsi="宋体" w:eastAsia="宋体" w:cs="宋体"/>
          <w:color w:val="auto"/>
          <w:sz w:val="24"/>
        </w:rPr>
      </w:pPr>
      <w:r>
        <w:rPr>
          <w:rFonts w:ascii="宋体" w:hAnsi="宋体" w:eastAsia="宋体" w:cs="宋体"/>
          <w:color w:val="auto"/>
          <w:sz w:val="24"/>
        </w:rPr>
        <w:t>地 址：                  邮 编：</w:t>
      </w:r>
    </w:p>
    <w:p>
      <w:pPr>
        <w:ind w:firstLine="480"/>
        <w:rPr>
          <w:rFonts w:ascii="宋体" w:hAnsi="宋体" w:eastAsia="宋体" w:cs="宋体"/>
          <w:color w:val="auto"/>
          <w:sz w:val="24"/>
        </w:rPr>
      </w:pPr>
      <w:r>
        <w:rPr>
          <w:rFonts w:ascii="宋体" w:hAnsi="宋体" w:eastAsia="宋体" w:cs="宋体"/>
          <w:color w:val="auto"/>
          <w:sz w:val="24"/>
        </w:rPr>
        <w:t>电 话：                  传 真：</w:t>
      </w:r>
    </w:p>
    <w:p>
      <w:pPr>
        <w:ind w:firstLine="480"/>
        <w:jc w:val="left"/>
        <w:rPr>
          <w:rFonts w:ascii="宋体" w:hAnsi="宋体" w:eastAsia="宋体" w:cs="宋体"/>
          <w:color w:val="auto"/>
          <w:sz w:val="24"/>
        </w:rPr>
      </w:pPr>
      <w:r>
        <w:rPr>
          <w:rFonts w:ascii="宋体" w:hAnsi="宋体" w:eastAsia="宋体" w:cs="宋体"/>
          <w:color w:val="auto"/>
          <w:sz w:val="24"/>
        </w:rPr>
        <w:t>我们保证：</w:t>
      </w:r>
    </w:p>
    <w:p>
      <w:pPr>
        <w:ind w:firstLine="480"/>
        <w:jc w:val="left"/>
        <w:rPr>
          <w:rFonts w:ascii="宋体" w:hAnsi="宋体" w:eastAsia="宋体" w:cs="宋体"/>
          <w:color w:val="auto"/>
          <w:sz w:val="24"/>
        </w:rPr>
      </w:pPr>
      <w:r>
        <w:rPr>
          <w:rFonts w:ascii="宋体" w:hAnsi="宋体" w:eastAsia="宋体" w:cs="宋体"/>
          <w:color w:val="auto"/>
          <w:sz w:val="24"/>
        </w:rPr>
        <w:t>(1)不提供虚假材料谋取成交；</w:t>
      </w:r>
    </w:p>
    <w:p>
      <w:pPr>
        <w:ind w:firstLine="480"/>
        <w:jc w:val="left"/>
        <w:rPr>
          <w:rFonts w:ascii="宋体" w:hAnsi="宋体" w:eastAsia="宋体" w:cs="宋体"/>
          <w:color w:val="auto"/>
          <w:sz w:val="24"/>
        </w:rPr>
      </w:pPr>
      <w:r>
        <w:rPr>
          <w:rFonts w:ascii="宋体" w:hAnsi="宋体" w:eastAsia="宋体" w:cs="宋体"/>
          <w:color w:val="auto"/>
          <w:sz w:val="24"/>
        </w:rPr>
        <w:t>(2)不以不正当手段抵毁、排挤其他供应商；</w:t>
      </w:r>
    </w:p>
    <w:p>
      <w:pPr>
        <w:ind w:firstLine="480"/>
        <w:jc w:val="left"/>
        <w:rPr>
          <w:rFonts w:ascii="宋体" w:hAnsi="宋体" w:eastAsia="宋体" w:cs="宋体"/>
          <w:color w:val="auto"/>
          <w:sz w:val="24"/>
        </w:rPr>
      </w:pPr>
      <w:r>
        <w:rPr>
          <w:rFonts w:ascii="宋体" w:hAnsi="宋体" w:eastAsia="宋体" w:cs="宋体"/>
          <w:color w:val="auto"/>
          <w:sz w:val="24"/>
        </w:rPr>
        <w:t>(3)不与采购人和其它供应商恶意串通；</w:t>
      </w:r>
    </w:p>
    <w:p>
      <w:pPr>
        <w:ind w:firstLine="480"/>
        <w:jc w:val="left"/>
        <w:rPr>
          <w:rFonts w:ascii="宋体" w:hAnsi="宋体" w:eastAsia="宋体" w:cs="宋体"/>
          <w:color w:val="auto"/>
          <w:sz w:val="24"/>
        </w:rPr>
      </w:pPr>
      <w:r>
        <w:rPr>
          <w:rFonts w:ascii="宋体" w:hAnsi="宋体" w:eastAsia="宋体" w:cs="宋体"/>
          <w:color w:val="auto"/>
          <w:sz w:val="24"/>
        </w:rPr>
        <w:t>(4)不向采购人和采购代理机构提供不正当利益；</w:t>
      </w:r>
    </w:p>
    <w:p>
      <w:pPr>
        <w:ind w:firstLine="480"/>
        <w:jc w:val="left"/>
        <w:rPr>
          <w:rFonts w:ascii="宋体" w:hAnsi="宋体" w:eastAsia="宋体" w:cs="宋体"/>
          <w:color w:val="auto"/>
          <w:sz w:val="24"/>
        </w:rPr>
      </w:pPr>
      <w:r>
        <w:rPr>
          <w:rFonts w:ascii="宋体" w:hAnsi="宋体" w:eastAsia="宋体" w:cs="宋体"/>
          <w:color w:val="auto"/>
          <w:sz w:val="24"/>
        </w:rPr>
        <w:t>(5)不拒绝有关部门监督检查或提供虚假情况。</w:t>
      </w:r>
    </w:p>
    <w:p>
      <w:pPr>
        <w:spacing w:line="560" w:lineRule="auto"/>
        <w:ind w:firstLine="720"/>
        <w:jc w:val="left"/>
        <w:rPr>
          <w:rFonts w:ascii="宋体" w:hAnsi="宋体" w:eastAsia="宋体" w:cs="宋体"/>
          <w:color w:val="auto"/>
          <w:sz w:val="24"/>
        </w:rPr>
      </w:pPr>
      <w:r>
        <w:rPr>
          <w:rFonts w:ascii="宋体" w:hAnsi="宋体" w:eastAsia="宋体" w:cs="宋体"/>
          <w:color w:val="auto"/>
          <w:sz w:val="24"/>
        </w:rPr>
        <w:t xml:space="preserve"> 联系人：              联系电话：</w:t>
      </w:r>
    </w:p>
    <w:p>
      <w:pPr>
        <w:spacing w:line="360" w:lineRule="auto"/>
        <w:jc w:val="left"/>
        <w:rPr>
          <w:rFonts w:ascii="宋体" w:hAnsi="宋体" w:eastAsia="宋体" w:cs="宋体"/>
          <w:color w:val="auto"/>
          <w:sz w:val="24"/>
        </w:rPr>
      </w:pPr>
    </w:p>
    <w:p>
      <w:pPr>
        <w:spacing w:line="360" w:lineRule="auto"/>
        <w:jc w:val="left"/>
        <w:rPr>
          <w:rFonts w:ascii="宋体" w:hAnsi="宋体" w:eastAsia="宋体" w:cs="宋体"/>
          <w:color w:val="auto"/>
          <w:sz w:val="24"/>
        </w:rPr>
      </w:pPr>
    </w:p>
    <w:p>
      <w:pPr>
        <w:spacing w:line="360" w:lineRule="auto"/>
        <w:jc w:val="left"/>
        <w:rPr>
          <w:rFonts w:ascii="宋体" w:hAnsi="宋体" w:eastAsia="宋体" w:cs="宋体"/>
          <w:color w:val="auto"/>
          <w:sz w:val="24"/>
        </w:rPr>
      </w:pPr>
    </w:p>
    <w:p>
      <w:pPr>
        <w:spacing w:line="360" w:lineRule="auto"/>
        <w:ind w:firstLine="3360"/>
        <w:jc w:val="left"/>
        <w:rPr>
          <w:rFonts w:ascii="宋体" w:hAnsi="宋体" w:eastAsia="宋体" w:cs="宋体"/>
          <w:color w:val="auto"/>
          <w:sz w:val="24"/>
        </w:rPr>
      </w:pPr>
      <w:r>
        <w:rPr>
          <w:rFonts w:ascii="宋体" w:hAnsi="宋体" w:eastAsia="宋体" w:cs="宋体"/>
          <w:color w:val="auto"/>
          <w:sz w:val="24"/>
        </w:rPr>
        <w:t>投标人电子公章：</w:t>
      </w:r>
    </w:p>
    <w:p>
      <w:pPr>
        <w:spacing w:line="360" w:lineRule="auto"/>
        <w:jc w:val="center"/>
        <w:rPr>
          <w:rFonts w:ascii="宋体" w:hAnsi="宋体" w:eastAsia="宋体" w:cs="宋体"/>
          <w:color w:val="auto"/>
          <w:sz w:val="24"/>
        </w:rPr>
      </w:pPr>
      <w:r>
        <w:rPr>
          <w:rFonts w:ascii="宋体" w:hAnsi="宋体" w:eastAsia="宋体" w:cs="宋体"/>
          <w:color w:val="auto"/>
          <w:sz w:val="24"/>
        </w:rPr>
        <w:t xml:space="preserve">      年   月   日</w:t>
      </w:r>
    </w:p>
    <w:p>
      <w:pPr>
        <w:spacing w:line="360" w:lineRule="auto"/>
        <w:jc w:val="center"/>
        <w:rPr>
          <w:rFonts w:ascii="宋体" w:hAnsi="宋体" w:eastAsia="宋体" w:cs="宋体"/>
          <w:color w:val="auto"/>
          <w:sz w:val="24"/>
        </w:rPr>
      </w:pPr>
      <w:r>
        <w:rPr>
          <w:rFonts w:ascii="宋体" w:hAnsi="宋体" w:eastAsia="宋体" w:cs="宋体"/>
          <w:color w:val="auto"/>
          <w:sz w:val="24"/>
        </w:rPr>
        <w:br w:type="page"/>
      </w:r>
      <w:r>
        <w:rPr>
          <w:rFonts w:ascii="宋体" w:hAnsi="宋体" w:eastAsia="宋体" w:cs="宋体"/>
          <w:color w:val="auto"/>
          <w:sz w:val="24"/>
        </w:rPr>
        <w:t xml:space="preserve"> </w:t>
      </w:r>
    </w:p>
    <w:p>
      <w:pPr>
        <w:spacing w:line="360" w:lineRule="auto"/>
        <w:jc w:val="left"/>
        <w:rPr>
          <w:rFonts w:ascii="宋体" w:hAnsi="宋体" w:eastAsia="宋体" w:cs="宋体"/>
          <w:color w:val="auto"/>
          <w:sz w:val="24"/>
        </w:rPr>
      </w:pPr>
      <w:r>
        <w:rPr>
          <w:rFonts w:ascii="宋体" w:hAnsi="宋体" w:eastAsia="宋体" w:cs="宋体"/>
          <w:color w:val="auto"/>
          <w:sz w:val="24"/>
        </w:rPr>
        <w:t>格式4</w:t>
      </w:r>
    </w:p>
    <w:p>
      <w:pPr>
        <w:keepNext/>
        <w:keepLines/>
        <w:spacing w:before="260" w:after="260" w:line="416" w:lineRule="auto"/>
        <w:jc w:val="center"/>
        <w:rPr>
          <w:rFonts w:ascii="宋体" w:hAnsi="宋体" w:eastAsia="宋体" w:cs="宋体"/>
          <w:color w:val="auto"/>
          <w:sz w:val="24"/>
        </w:rPr>
      </w:pPr>
      <w:r>
        <w:rPr>
          <w:rFonts w:ascii="宋体" w:hAnsi="宋体" w:eastAsia="宋体" w:cs="宋体"/>
          <w:color w:val="auto"/>
          <w:sz w:val="24"/>
        </w:rPr>
        <w:t>报价一览表</w:t>
      </w:r>
    </w:p>
    <w:tbl>
      <w:tblPr>
        <w:tblStyle w:val="8"/>
        <w:tblW w:w="0" w:type="auto"/>
        <w:jc w:val="center"/>
        <w:tblLayout w:type="autofit"/>
        <w:tblCellMar>
          <w:top w:w="0" w:type="dxa"/>
          <w:left w:w="10" w:type="dxa"/>
          <w:bottom w:w="0" w:type="dxa"/>
          <w:right w:w="10" w:type="dxa"/>
        </w:tblCellMar>
      </w:tblPr>
      <w:tblGrid>
        <w:gridCol w:w="2368"/>
        <w:gridCol w:w="6154"/>
      </w:tblGrid>
      <w:tr>
        <w:tblPrEx>
          <w:tblCellMar>
            <w:top w:w="0" w:type="dxa"/>
            <w:left w:w="10" w:type="dxa"/>
            <w:bottom w:w="0" w:type="dxa"/>
            <w:right w:w="10" w:type="dxa"/>
          </w:tblCellMar>
        </w:tblPrEx>
        <w:trPr>
          <w:cantSplit/>
          <w:jc w:val="center"/>
        </w:trPr>
        <w:tc>
          <w:tcPr>
            <w:tcW w:w="24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jc w:val="center"/>
              <w:rPr>
                <w:rFonts w:ascii="宋体" w:hAnsi="宋体" w:eastAsia="宋体" w:cs="宋体"/>
                <w:color w:val="auto"/>
              </w:rPr>
            </w:pPr>
            <w:r>
              <w:rPr>
                <w:rFonts w:ascii="宋体" w:hAnsi="宋体" w:eastAsia="宋体" w:cs="宋体"/>
                <w:color w:val="auto"/>
                <w:sz w:val="24"/>
              </w:rPr>
              <w:t>项目名称</w:t>
            </w:r>
          </w:p>
        </w:tc>
        <w:tc>
          <w:tcPr>
            <w:tcW w:w="666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jc w:val="center"/>
              <w:rPr>
                <w:rFonts w:ascii="宋体" w:hAnsi="宋体" w:eastAsia="宋体" w:cs="宋体"/>
                <w:color w:val="auto"/>
                <w:sz w:val="22"/>
              </w:rPr>
            </w:pPr>
          </w:p>
        </w:tc>
      </w:tr>
      <w:tr>
        <w:tblPrEx>
          <w:tblCellMar>
            <w:top w:w="0" w:type="dxa"/>
            <w:left w:w="10" w:type="dxa"/>
            <w:bottom w:w="0" w:type="dxa"/>
            <w:right w:w="10" w:type="dxa"/>
          </w:tblCellMar>
        </w:tblPrEx>
        <w:trPr>
          <w:jc w:val="center"/>
        </w:trPr>
        <w:tc>
          <w:tcPr>
            <w:tcW w:w="24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jc w:val="center"/>
              <w:rPr>
                <w:rFonts w:ascii="宋体" w:hAnsi="宋体" w:eastAsia="宋体" w:cs="宋体"/>
                <w:color w:val="auto"/>
              </w:rPr>
            </w:pPr>
            <w:r>
              <w:rPr>
                <w:rFonts w:ascii="宋体" w:hAnsi="宋体" w:eastAsia="宋体" w:cs="宋体"/>
                <w:color w:val="auto"/>
                <w:sz w:val="24"/>
              </w:rPr>
              <w:t>投标人全称</w:t>
            </w:r>
          </w:p>
        </w:tc>
        <w:tc>
          <w:tcPr>
            <w:tcW w:w="666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rPr>
                <w:rFonts w:ascii="宋体" w:hAnsi="宋体" w:eastAsia="宋体" w:cs="宋体"/>
                <w:color w:val="auto"/>
                <w:sz w:val="22"/>
              </w:rPr>
            </w:pPr>
          </w:p>
        </w:tc>
      </w:tr>
      <w:tr>
        <w:tblPrEx>
          <w:tblCellMar>
            <w:top w:w="0" w:type="dxa"/>
            <w:left w:w="10" w:type="dxa"/>
            <w:bottom w:w="0" w:type="dxa"/>
            <w:right w:w="10" w:type="dxa"/>
          </w:tblCellMar>
        </w:tblPrEx>
        <w:trPr>
          <w:jc w:val="center"/>
        </w:trPr>
        <w:tc>
          <w:tcPr>
            <w:tcW w:w="24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jc w:val="center"/>
              <w:rPr>
                <w:rFonts w:ascii="宋体" w:hAnsi="宋体" w:eastAsia="宋体" w:cs="宋体"/>
                <w:color w:val="auto"/>
                <w:sz w:val="24"/>
              </w:rPr>
            </w:pPr>
            <w:r>
              <w:rPr>
                <w:rFonts w:ascii="宋体" w:hAnsi="宋体" w:eastAsia="宋体" w:cs="宋体"/>
                <w:color w:val="auto"/>
                <w:sz w:val="24"/>
              </w:rPr>
              <w:t>最终投标报价（包：）</w:t>
            </w:r>
          </w:p>
          <w:p>
            <w:pPr>
              <w:spacing w:line="360" w:lineRule="auto"/>
              <w:jc w:val="center"/>
              <w:rPr>
                <w:rFonts w:ascii="宋体" w:hAnsi="宋体" w:eastAsia="宋体" w:cs="宋体"/>
                <w:color w:val="auto"/>
              </w:rPr>
            </w:pPr>
            <w:r>
              <w:rPr>
                <w:rFonts w:ascii="宋体" w:hAnsi="宋体" w:eastAsia="宋体" w:cs="宋体"/>
                <w:color w:val="auto"/>
                <w:sz w:val="24"/>
              </w:rPr>
              <w:t>（人民币）</w:t>
            </w:r>
          </w:p>
        </w:tc>
        <w:tc>
          <w:tcPr>
            <w:tcW w:w="666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670"/>
              <w:rPr>
                <w:rFonts w:ascii="宋体" w:hAnsi="宋体" w:eastAsia="宋体" w:cs="宋体"/>
                <w:color w:val="auto"/>
              </w:rPr>
            </w:pPr>
            <w:r>
              <w:rPr>
                <w:rFonts w:ascii="宋体" w:hAnsi="宋体" w:eastAsia="宋体" w:cs="宋体"/>
                <w:color w:val="auto"/>
                <w:sz w:val="24"/>
              </w:rPr>
              <w:t xml:space="preserve">投标总价：       大写：           </w:t>
            </w:r>
          </w:p>
        </w:tc>
      </w:tr>
      <w:tr>
        <w:tblPrEx>
          <w:tblCellMar>
            <w:top w:w="0" w:type="dxa"/>
            <w:left w:w="10" w:type="dxa"/>
            <w:bottom w:w="0" w:type="dxa"/>
            <w:right w:w="10" w:type="dxa"/>
          </w:tblCellMar>
        </w:tblPrEx>
        <w:trPr>
          <w:jc w:val="center"/>
        </w:trPr>
        <w:tc>
          <w:tcPr>
            <w:tcW w:w="24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jc w:val="center"/>
              <w:rPr>
                <w:rFonts w:ascii="宋体" w:hAnsi="宋体" w:eastAsia="宋体" w:cs="宋体"/>
                <w:color w:val="auto"/>
              </w:rPr>
            </w:pPr>
            <w:r>
              <w:rPr>
                <w:rFonts w:ascii="宋体" w:hAnsi="宋体" w:eastAsia="宋体" w:cs="宋体"/>
                <w:color w:val="auto"/>
                <w:sz w:val="24"/>
              </w:rPr>
              <w:t>备注</w:t>
            </w:r>
          </w:p>
        </w:tc>
        <w:tc>
          <w:tcPr>
            <w:tcW w:w="666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jc w:val="left"/>
              <w:rPr>
                <w:rFonts w:ascii="宋体" w:hAnsi="宋体" w:eastAsia="宋体" w:cs="宋体"/>
                <w:color w:val="auto"/>
                <w:sz w:val="22"/>
              </w:rPr>
            </w:pPr>
          </w:p>
        </w:tc>
      </w:tr>
    </w:tbl>
    <w:p>
      <w:pPr>
        <w:spacing w:before="100" w:after="100" w:line="360" w:lineRule="auto"/>
        <w:ind w:firstLine="4920"/>
        <w:rPr>
          <w:rFonts w:ascii="宋体" w:hAnsi="宋体" w:eastAsia="宋体" w:cs="宋体"/>
          <w:color w:val="auto"/>
          <w:sz w:val="24"/>
        </w:rPr>
      </w:pPr>
      <w:r>
        <w:rPr>
          <w:rFonts w:ascii="宋体" w:hAnsi="宋体" w:eastAsia="宋体" w:cs="宋体"/>
          <w:color w:val="auto"/>
          <w:sz w:val="24"/>
        </w:rPr>
        <w:t xml:space="preserve">投标人电子公章： </w:t>
      </w:r>
    </w:p>
    <w:p>
      <w:pPr>
        <w:spacing w:line="360" w:lineRule="auto"/>
        <w:rPr>
          <w:rFonts w:ascii="宋体" w:hAnsi="宋体" w:eastAsia="宋体" w:cs="宋体"/>
          <w:color w:val="auto"/>
          <w:sz w:val="24"/>
        </w:rPr>
      </w:pPr>
      <w:r>
        <w:rPr>
          <w:rFonts w:ascii="宋体" w:hAnsi="宋体" w:eastAsia="宋体" w:cs="宋体"/>
          <w:color w:val="auto"/>
          <w:sz w:val="24"/>
        </w:rPr>
        <w:t>备注：</w:t>
      </w:r>
    </w:p>
    <w:p>
      <w:pPr>
        <w:spacing w:line="360" w:lineRule="auto"/>
        <w:rPr>
          <w:rFonts w:ascii="宋体" w:hAnsi="宋体" w:eastAsia="宋体" w:cs="宋体"/>
          <w:color w:val="auto"/>
          <w:sz w:val="24"/>
        </w:rPr>
      </w:pPr>
      <w:r>
        <w:rPr>
          <w:rFonts w:ascii="宋体" w:hAnsi="宋体" w:eastAsia="宋体" w:cs="宋体"/>
          <w:color w:val="auto"/>
          <w:sz w:val="24"/>
        </w:rPr>
        <w:t>1、此表用于开标会唱标之用。</w:t>
      </w:r>
    </w:p>
    <w:p>
      <w:pPr>
        <w:spacing w:line="360" w:lineRule="auto"/>
        <w:rPr>
          <w:rFonts w:ascii="宋体" w:hAnsi="宋体" w:eastAsia="宋体" w:cs="宋体"/>
          <w:color w:val="auto"/>
          <w:sz w:val="24"/>
        </w:rPr>
      </w:pPr>
      <w:r>
        <w:rPr>
          <w:rFonts w:ascii="宋体" w:hAnsi="宋体" w:eastAsia="宋体" w:cs="宋体"/>
          <w:color w:val="auto"/>
          <w:sz w:val="24"/>
        </w:rPr>
        <w:t>2、表中最终投标报价即为优惠后报价，并作为评审及定标依据。任何有选择或有条件的最终投标报价，或者表中某一包填写多个报价，均为无效报价。</w:t>
      </w:r>
    </w:p>
    <w:p>
      <w:pPr>
        <w:spacing w:line="360" w:lineRule="auto"/>
        <w:jc w:val="left"/>
        <w:rPr>
          <w:rFonts w:ascii="宋体" w:hAnsi="宋体" w:eastAsia="宋体" w:cs="宋体"/>
          <w:color w:val="auto"/>
          <w:sz w:val="24"/>
        </w:rPr>
      </w:pPr>
    </w:p>
    <w:p>
      <w:pPr>
        <w:spacing w:line="360" w:lineRule="auto"/>
        <w:jc w:val="left"/>
        <w:rPr>
          <w:rFonts w:ascii="宋体" w:hAnsi="宋体" w:eastAsia="宋体" w:cs="宋体"/>
          <w:color w:val="auto"/>
          <w:sz w:val="24"/>
        </w:rPr>
      </w:pPr>
      <w:r>
        <w:rPr>
          <w:rFonts w:ascii="宋体" w:hAnsi="宋体" w:eastAsia="宋体" w:cs="宋体"/>
          <w:color w:val="auto"/>
          <w:sz w:val="24"/>
        </w:rPr>
        <w:br w:type="page"/>
      </w:r>
    </w:p>
    <w:p>
      <w:pPr>
        <w:spacing w:line="360" w:lineRule="auto"/>
        <w:jc w:val="left"/>
        <w:rPr>
          <w:rFonts w:ascii="宋体" w:hAnsi="宋体" w:eastAsia="宋体" w:cs="宋体"/>
          <w:color w:val="auto"/>
          <w:sz w:val="24"/>
        </w:rPr>
      </w:pPr>
      <w:r>
        <w:rPr>
          <w:rFonts w:ascii="宋体" w:hAnsi="宋体" w:eastAsia="宋体" w:cs="宋体"/>
          <w:color w:val="auto"/>
          <w:sz w:val="24"/>
        </w:rPr>
        <w:t>格式5</w:t>
      </w:r>
    </w:p>
    <w:p>
      <w:pPr>
        <w:keepNext/>
        <w:keepLines/>
        <w:spacing w:before="260" w:after="260" w:line="416" w:lineRule="auto"/>
        <w:jc w:val="center"/>
        <w:rPr>
          <w:rFonts w:ascii="宋体" w:hAnsi="宋体" w:eastAsia="宋体" w:cs="宋体"/>
          <w:color w:val="auto"/>
          <w:sz w:val="24"/>
        </w:rPr>
      </w:pPr>
      <w:r>
        <w:rPr>
          <w:rFonts w:ascii="宋体" w:hAnsi="宋体" w:eastAsia="宋体" w:cs="宋体"/>
          <w:color w:val="auto"/>
          <w:sz w:val="24"/>
        </w:rPr>
        <w:t>投标分项报价表</w:t>
      </w:r>
    </w:p>
    <w:p>
      <w:pPr>
        <w:rPr>
          <w:rFonts w:ascii="Times New Roman" w:hAnsi="Times New Roman" w:eastAsia="Times New Roman" w:cs="Times New Roman"/>
          <w:color w:val="auto"/>
          <w:sz w:val="24"/>
        </w:rPr>
      </w:pPr>
      <w:r>
        <w:rPr>
          <w:rFonts w:ascii="宋体" w:hAnsi="宋体" w:eastAsia="宋体" w:cs="宋体"/>
          <w:color w:val="auto"/>
          <w:sz w:val="24"/>
        </w:rPr>
        <w:t>供应商名称：</w:t>
      </w:r>
    </w:p>
    <w:p>
      <w:pPr>
        <w:jc w:val="center"/>
        <w:rPr>
          <w:rFonts w:ascii="Times New Roman" w:hAnsi="Times New Roman" w:eastAsia="Times New Roman" w:cs="Times New Roman"/>
          <w:color w:val="auto"/>
          <w:sz w:val="24"/>
        </w:rPr>
      </w:pPr>
      <w:r>
        <w:rPr>
          <w:rFonts w:ascii="宋体" w:hAnsi="宋体" w:eastAsia="宋体" w:cs="宋体"/>
          <w:color w:val="auto"/>
          <w:sz w:val="24"/>
        </w:rPr>
        <w:t>单位：元</w:t>
      </w:r>
    </w:p>
    <w:tbl>
      <w:tblPr>
        <w:tblStyle w:val="8"/>
        <w:tblW w:w="0" w:type="auto"/>
        <w:tblInd w:w="0" w:type="dxa"/>
        <w:tblLayout w:type="autofit"/>
        <w:tblCellMar>
          <w:top w:w="0" w:type="dxa"/>
          <w:left w:w="10" w:type="dxa"/>
          <w:bottom w:w="0" w:type="dxa"/>
          <w:right w:w="10" w:type="dxa"/>
        </w:tblCellMar>
      </w:tblPr>
      <w:tblGrid>
        <w:gridCol w:w="806"/>
        <w:gridCol w:w="4612"/>
        <w:gridCol w:w="1034"/>
        <w:gridCol w:w="1034"/>
        <w:gridCol w:w="1036"/>
      </w:tblGrid>
      <w:tr>
        <w:tblPrEx>
          <w:tblCellMar>
            <w:top w:w="0" w:type="dxa"/>
            <w:left w:w="10" w:type="dxa"/>
            <w:bottom w:w="0" w:type="dxa"/>
            <w:right w:w="10" w:type="dxa"/>
          </w:tblCellMar>
        </w:tblPrEx>
        <w:tc>
          <w:tcPr>
            <w:tcW w:w="828" w:type="dxa"/>
            <w:tcBorders>
              <w:top w:val="single" w:color="000000" w:sz="6" w:space="0"/>
              <w:left w:val="single" w:color="000000" w:sz="6" w:space="0"/>
              <w:bottom w:val="single" w:color="000000" w:sz="6"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auto"/>
              </w:rPr>
            </w:pPr>
            <w:r>
              <w:rPr>
                <w:rFonts w:ascii="宋体" w:hAnsi="宋体" w:eastAsia="宋体" w:cs="宋体"/>
                <w:color w:val="auto"/>
                <w:sz w:val="24"/>
              </w:rPr>
              <w:t>序号</w:t>
            </w:r>
          </w:p>
        </w:tc>
        <w:tc>
          <w:tcPr>
            <w:tcW w:w="4862" w:type="dxa"/>
            <w:tcBorders>
              <w:top w:val="single" w:color="000000" w:sz="6" w:space="0"/>
              <w:left w:val="single" w:color="000000" w:sz="4" w:space="0"/>
              <w:bottom w:val="single" w:color="000000" w:sz="6"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auto"/>
              </w:rPr>
            </w:pPr>
            <w:r>
              <w:rPr>
                <w:rFonts w:ascii="宋体" w:hAnsi="宋体" w:eastAsia="宋体" w:cs="宋体"/>
                <w:color w:val="auto"/>
                <w:sz w:val="24"/>
              </w:rPr>
              <w:t>货物名称（标明生产厂家、品牌、规格型号等）</w:t>
            </w:r>
          </w:p>
        </w:tc>
        <w:tc>
          <w:tcPr>
            <w:tcW w:w="1071" w:type="dxa"/>
            <w:tcBorders>
              <w:top w:val="single" w:color="000000" w:sz="6" w:space="0"/>
              <w:left w:val="single" w:color="000000" w:sz="4" w:space="0"/>
              <w:bottom w:val="single" w:color="000000" w:sz="6"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auto"/>
              </w:rPr>
            </w:pPr>
            <w:r>
              <w:rPr>
                <w:rFonts w:ascii="宋体" w:hAnsi="宋体" w:eastAsia="宋体" w:cs="宋体"/>
                <w:color w:val="auto"/>
                <w:sz w:val="24"/>
              </w:rPr>
              <w:t>数量</w:t>
            </w:r>
          </w:p>
        </w:tc>
        <w:tc>
          <w:tcPr>
            <w:tcW w:w="1071" w:type="dxa"/>
            <w:tcBorders>
              <w:top w:val="single" w:color="000000" w:sz="6" w:space="0"/>
              <w:left w:val="single" w:color="000000" w:sz="4" w:space="0"/>
              <w:bottom w:val="single" w:color="000000" w:sz="6" w:space="0"/>
              <w:right w:val="single" w:color="000000" w:sz="6" w:space="0"/>
            </w:tcBorders>
            <w:shd w:val="clear" w:color="000000" w:fill="FFFFFF"/>
            <w:tcMar>
              <w:left w:w="108" w:type="dxa"/>
              <w:right w:w="108" w:type="dxa"/>
            </w:tcMar>
            <w:vAlign w:val="center"/>
          </w:tcPr>
          <w:p>
            <w:pPr>
              <w:jc w:val="center"/>
              <w:rPr>
                <w:rFonts w:ascii="宋体" w:hAnsi="宋体" w:eastAsia="宋体" w:cs="宋体"/>
                <w:color w:val="auto"/>
              </w:rPr>
            </w:pPr>
            <w:r>
              <w:rPr>
                <w:rFonts w:ascii="宋体" w:hAnsi="宋体" w:eastAsia="宋体" w:cs="宋体"/>
                <w:color w:val="auto"/>
                <w:sz w:val="24"/>
              </w:rPr>
              <w:t>单价</w:t>
            </w:r>
          </w:p>
        </w:tc>
        <w:tc>
          <w:tcPr>
            <w:tcW w:w="1073"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宋体" w:hAnsi="宋体" w:eastAsia="宋体" w:cs="宋体"/>
                <w:color w:val="auto"/>
              </w:rPr>
            </w:pPr>
            <w:r>
              <w:rPr>
                <w:rFonts w:ascii="宋体" w:hAnsi="宋体" w:eastAsia="宋体" w:cs="宋体"/>
                <w:color w:val="auto"/>
                <w:sz w:val="24"/>
              </w:rPr>
              <w:t>小计</w:t>
            </w:r>
          </w:p>
        </w:tc>
      </w:tr>
      <w:tr>
        <w:tblPrEx>
          <w:tblCellMar>
            <w:top w:w="0" w:type="dxa"/>
            <w:left w:w="10" w:type="dxa"/>
            <w:bottom w:w="0" w:type="dxa"/>
            <w:right w:w="10" w:type="dxa"/>
          </w:tblCellMar>
        </w:tblPrEx>
        <w:tc>
          <w:tcPr>
            <w:tcW w:w="82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auto"/>
                <w:sz w:val="22"/>
              </w:rPr>
            </w:pPr>
          </w:p>
        </w:tc>
        <w:tc>
          <w:tcPr>
            <w:tcW w:w="4862" w:type="dxa"/>
            <w:tcBorders>
              <w:top w:val="single" w:color="000000" w:sz="6" w:space="0"/>
              <w:left w:val="single" w:color="000000" w:sz="4" w:space="0"/>
              <w:bottom w:val="single" w:color="000000" w:sz="6" w:space="0"/>
              <w:right w:val="single" w:color="000000" w:sz="4" w:space="0"/>
            </w:tcBorders>
            <w:shd w:val="clear" w:color="000000" w:fill="FFFFFF"/>
            <w:tcMar>
              <w:left w:w="108" w:type="dxa"/>
              <w:right w:w="108" w:type="dxa"/>
            </w:tcMar>
          </w:tcPr>
          <w:p>
            <w:pPr>
              <w:jc w:val="center"/>
              <w:rPr>
                <w:rFonts w:ascii="宋体" w:hAnsi="宋体" w:eastAsia="宋体" w:cs="宋体"/>
                <w:color w:val="auto"/>
                <w:sz w:val="22"/>
              </w:rPr>
            </w:pPr>
          </w:p>
        </w:tc>
        <w:tc>
          <w:tcPr>
            <w:tcW w:w="1071" w:type="dxa"/>
            <w:tcBorders>
              <w:top w:val="single" w:color="000000" w:sz="6" w:space="0"/>
              <w:left w:val="single" w:color="000000" w:sz="4" w:space="0"/>
              <w:bottom w:val="single" w:color="000000" w:sz="6"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auto"/>
                <w:sz w:val="22"/>
              </w:rPr>
            </w:pPr>
          </w:p>
        </w:tc>
        <w:tc>
          <w:tcPr>
            <w:tcW w:w="1071" w:type="dxa"/>
            <w:tcBorders>
              <w:top w:val="single" w:color="000000" w:sz="6" w:space="0"/>
              <w:left w:val="single" w:color="000000" w:sz="4" w:space="0"/>
              <w:bottom w:val="single" w:color="000000" w:sz="6" w:space="0"/>
              <w:right w:val="single" w:color="000000" w:sz="6" w:space="0"/>
            </w:tcBorders>
            <w:shd w:val="clear" w:color="000000" w:fill="FFFFFF"/>
            <w:tcMar>
              <w:left w:w="108" w:type="dxa"/>
              <w:right w:w="108" w:type="dxa"/>
            </w:tcMar>
            <w:vAlign w:val="center"/>
          </w:tcPr>
          <w:p>
            <w:pPr>
              <w:jc w:val="center"/>
              <w:rPr>
                <w:rFonts w:ascii="宋体" w:hAnsi="宋体" w:eastAsia="宋体" w:cs="宋体"/>
                <w:color w:val="auto"/>
                <w:sz w:val="22"/>
              </w:rPr>
            </w:pPr>
          </w:p>
        </w:tc>
        <w:tc>
          <w:tcPr>
            <w:tcW w:w="1073"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宋体" w:hAnsi="宋体" w:eastAsia="宋体" w:cs="宋体"/>
                <w:color w:val="auto"/>
                <w:sz w:val="22"/>
              </w:rPr>
            </w:pPr>
          </w:p>
        </w:tc>
      </w:tr>
      <w:tr>
        <w:tblPrEx>
          <w:tblCellMar>
            <w:top w:w="0" w:type="dxa"/>
            <w:left w:w="10" w:type="dxa"/>
            <w:bottom w:w="0" w:type="dxa"/>
            <w:right w:w="10" w:type="dxa"/>
          </w:tblCellMar>
        </w:tblPrEx>
        <w:tc>
          <w:tcPr>
            <w:tcW w:w="82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auto"/>
                <w:sz w:val="22"/>
              </w:rPr>
            </w:pPr>
          </w:p>
        </w:tc>
        <w:tc>
          <w:tcPr>
            <w:tcW w:w="4862" w:type="dxa"/>
            <w:tcBorders>
              <w:top w:val="single" w:color="000000" w:sz="6" w:space="0"/>
              <w:left w:val="single" w:color="000000" w:sz="4" w:space="0"/>
              <w:bottom w:val="single" w:color="000000" w:sz="6" w:space="0"/>
              <w:right w:val="single" w:color="000000" w:sz="4" w:space="0"/>
            </w:tcBorders>
            <w:shd w:val="clear" w:color="000000" w:fill="FFFFFF"/>
            <w:tcMar>
              <w:left w:w="108" w:type="dxa"/>
              <w:right w:w="108" w:type="dxa"/>
            </w:tcMar>
          </w:tcPr>
          <w:p>
            <w:pPr>
              <w:jc w:val="center"/>
              <w:rPr>
                <w:rFonts w:ascii="宋体" w:hAnsi="宋体" w:eastAsia="宋体" w:cs="宋体"/>
                <w:color w:val="auto"/>
                <w:sz w:val="22"/>
              </w:rPr>
            </w:pPr>
          </w:p>
        </w:tc>
        <w:tc>
          <w:tcPr>
            <w:tcW w:w="1071" w:type="dxa"/>
            <w:tcBorders>
              <w:top w:val="single" w:color="000000" w:sz="6" w:space="0"/>
              <w:left w:val="single" w:color="000000" w:sz="4" w:space="0"/>
              <w:bottom w:val="single" w:color="000000" w:sz="6"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auto"/>
                <w:sz w:val="22"/>
              </w:rPr>
            </w:pPr>
          </w:p>
        </w:tc>
        <w:tc>
          <w:tcPr>
            <w:tcW w:w="1071" w:type="dxa"/>
            <w:tcBorders>
              <w:top w:val="single" w:color="000000" w:sz="6" w:space="0"/>
              <w:left w:val="single" w:color="000000" w:sz="4" w:space="0"/>
              <w:bottom w:val="single" w:color="000000" w:sz="6" w:space="0"/>
              <w:right w:val="single" w:color="000000" w:sz="6" w:space="0"/>
            </w:tcBorders>
            <w:shd w:val="clear" w:color="000000" w:fill="FFFFFF"/>
            <w:tcMar>
              <w:left w:w="108" w:type="dxa"/>
              <w:right w:w="108" w:type="dxa"/>
            </w:tcMar>
            <w:vAlign w:val="center"/>
          </w:tcPr>
          <w:p>
            <w:pPr>
              <w:jc w:val="center"/>
              <w:rPr>
                <w:rFonts w:ascii="宋体" w:hAnsi="宋体" w:eastAsia="宋体" w:cs="宋体"/>
                <w:color w:val="auto"/>
                <w:sz w:val="22"/>
              </w:rPr>
            </w:pPr>
          </w:p>
        </w:tc>
        <w:tc>
          <w:tcPr>
            <w:tcW w:w="1073"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宋体" w:hAnsi="宋体" w:eastAsia="宋体" w:cs="宋体"/>
                <w:color w:val="auto"/>
                <w:sz w:val="22"/>
              </w:rPr>
            </w:pPr>
          </w:p>
        </w:tc>
      </w:tr>
      <w:tr>
        <w:tblPrEx>
          <w:tblCellMar>
            <w:top w:w="0" w:type="dxa"/>
            <w:left w:w="10" w:type="dxa"/>
            <w:bottom w:w="0" w:type="dxa"/>
            <w:right w:w="10" w:type="dxa"/>
          </w:tblCellMar>
        </w:tblPrEx>
        <w:tc>
          <w:tcPr>
            <w:tcW w:w="82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auto"/>
                <w:sz w:val="22"/>
              </w:rPr>
            </w:pPr>
          </w:p>
        </w:tc>
        <w:tc>
          <w:tcPr>
            <w:tcW w:w="4862" w:type="dxa"/>
            <w:tcBorders>
              <w:top w:val="single" w:color="000000" w:sz="6" w:space="0"/>
              <w:left w:val="single" w:color="000000" w:sz="4" w:space="0"/>
              <w:bottom w:val="single" w:color="000000" w:sz="6" w:space="0"/>
              <w:right w:val="single" w:color="000000" w:sz="4" w:space="0"/>
            </w:tcBorders>
            <w:shd w:val="clear" w:color="000000" w:fill="FFFFFF"/>
            <w:tcMar>
              <w:left w:w="108" w:type="dxa"/>
              <w:right w:w="108" w:type="dxa"/>
            </w:tcMar>
          </w:tcPr>
          <w:p>
            <w:pPr>
              <w:jc w:val="center"/>
              <w:rPr>
                <w:rFonts w:ascii="宋体" w:hAnsi="宋体" w:eastAsia="宋体" w:cs="宋体"/>
                <w:color w:val="auto"/>
                <w:sz w:val="22"/>
              </w:rPr>
            </w:pPr>
          </w:p>
        </w:tc>
        <w:tc>
          <w:tcPr>
            <w:tcW w:w="1071" w:type="dxa"/>
            <w:tcBorders>
              <w:top w:val="single" w:color="000000" w:sz="6" w:space="0"/>
              <w:left w:val="single" w:color="000000" w:sz="4" w:space="0"/>
              <w:bottom w:val="single" w:color="000000" w:sz="6"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auto"/>
                <w:sz w:val="22"/>
              </w:rPr>
            </w:pPr>
          </w:p>
        </w:tc>
        <w:tc>
          <w:tcPr>
            <w:tcW w:w="1071" w:type="dxa"/>
            <w:tcBorders>
              <w:top w:val="single" w:color="000000" w:sz="6" w:space="0"/>
              <w:left w:val="single" w:color="000000" w:sz="4" w:space="0"/>
              <w:bottom w:val="single" w:color="000000" w:sz="6" w:space="0"/>
              <w:right w:val="single" w:color="000000" w:sz="6" w:space="0"/>
            </w:tcBorders>
            <w:shd w:val="clear" w:color="000000" w:fill="FFFFFF"/>
            <w:tcMar>
              <w:left w:w="108" w:type="dxa"/>
              <w:right w:w="108" w:type="dxa"/>
            </w:tcMar>
            <w:vAlign w:val="center"/>
          </w:tcPr>
          <w:p>
            <w:pPr>
              <w:jc w:val="center"/>
              <w:rPr>
                <w:rFonts w:ascii="宋体" w:hAnsi="宋体" w:eastAsia="宋体" w:cs="宋体"/>
                <w:color w:val="auto"/>
                <w:sz w:val="22"/>
              </w:rPr>
            </w:pPr>
          </w:p>
        </w:tc>
        <w:tc>
          <w:tcPr>
            <w:tcW w:w="1073"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宋体" w:hAnsi="宋体" w:eastAsia="宋体" w:cs="宋体"/>
                <w:color w:val="auto"/>
                <w:sz w:val="22"/>
              </w:rPr>
            </w:pPr>
          </w:p>
        </w:tc>
      </w:tr>
      <w:tr>
        <w:tblPrEx>
          <w:tblCellMar>
            <w:top w:w="0" w:type="dxa"/>
            <w:left w:w="10" w:type="dxa"/>
            <w:bottom w:w="0" w:type="dxa"/>
            <w:right w:w="10" w:type="dxa"/>
          </w:tblCellMar>
        </w:tblPrEx>
        <w:tc>
          <w:tcPr>
            <w:tcW w:w="82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auto"/>
                <w:sz w:val="22"/>
              </w:rPr>
            </w:pPr>
          </w:p>
        </w:tc>
        <w:tc>
          <w:tcPr>
            <w:tcW w:w="4862" w:type="dxa"/>
            <w:tcBorders>
              <w:top w:val="single" w:color="000000" w:sz="6" w:space="0"/>
              <w:left w:val="single" w:color="000000" w:sz="4" w:space="0"/>
              <w:bottom w:val="single" w:color="000000" w:sz="6" w:space="0"/>
              <w:right w:val="single" w:color="000000" w:sz="4" w:space="0"/>
            </w:tcBorders>
            <w:shd w:val="clear" w:color="000000" w:fill="FFFFFF"/>
            <w:tcMar>
              <w:left w:w="108" w:type="dxa"/>
              <w:right w:w="108" w:type="dxa"/>
            </w:tcMar>
          </w:tcPr>
          <w:p>
            <w:pPr>
              <w:jc w:val="center"/>
              <w:rPr>
                <w:rFonts w:ascii="宋体" w:hAnsi="宋体" w:eastAsia="宋体" w:cs="宋体"/>
                <w:color w:val="auto"/>
                <w:sz w:val="22"/>
              </w:rPr>
            </w:pPr>
          </w:p>
        </w:tc>
        <w:tc>
          <w:tcPr>
            <w:tcW w:w="1071" w:type="dxa"/>
            <w:tcBorders>
              <w:top w:val="single" w:color="000000" w:sz="6" w:space="0"/>
              <w:left w:val="single" w:color="000000" w:sz="4" w:space="0"/>
              <w:bottom w:val="single" w:color="000000" w:sz="6"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auto"/>
                <w:sz w:val="22"/>
              </w:rPr>
            </w:pPr>
          </w:p>
        </w:tc>
        <w:tc>
          <w:tcPr>
            <w:tcW w:w="1071" w:type="dxa"/>
            <w:tcBorders>
              <w:top w:val="single" w:color="000000" w:sz="6" w:space="0"/>
              <w:left w:val="single" w:color="000000" w:sz="4" w:space="0"/>
              <w:bottom w:val="single" w:color="000000" w:sz="6" w:space="0"/>
              <w:right w:val="single" w:color="000000" w:sz="6" w:space="0"/>
            </w:tcBorders>
            <w:shd w:val="clear" w:color="000000" w:fill="FFFFFF"/>
            <w:tcMar>
              <w:left w:w="108" w:type="dxa"/>
              <w:right w:w="108" w:type="dxa"/>
            </w:tcMar>
            <w:vAlign w:val="center"/>
          </w:tcPr>
          <w:p>
            <w:pPr>
              <w:jc w:val="center"/>
              <w:rPr>
                <w:rFonts w:ascii="宋体" w:hAnsi="宋体" w:eastAsia="宋体" w:cs="宋体"/>
                <w:color w:val="auto"/>
                <w:sz w:val="22"/>
              </w:rPr>
            </w:pPr>
          </w:p>
        </w:tc>
        <w:tc>
          <w:tcPr>
            <w:tcW w:w="1073"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宋体" w:hAnsi="宋体" w:eastAsia="宋体" w:cs="宋体"/>
                <w:color w:val="auto"/>
                <w:sz w:val="22"/>
              </w:rPr>
            </w:pPr>
          </w:p>
        </w:tc>
      </w:tr>
      <w:tr>
        <w:tblPrEx>
          <w:tblCellMar>
            <w:top w:w="0" w:type="dxa"/>
            <w:left w:w="10" w:type="dxa"/>
            <w:bottom w:w="0" w:type="dxa"/>
            <w:right w:w="10" w:type="dxa"/>
          </w:tblCellMar>
        </w:tblPrEx>
        <w:tc>
          <w:tcPr>
            <w:tcW w:w="82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auto"/>
                <w:sz w:val="22"/>
              </w:rPr>
            </w:pPr>
          </w:p>
        </w:tc>
        <w:tc>
          <w:tcPr>
            <w:tcW w:w="4862" w:type="dxa"/>
            <w:tcBorders>
              <w:top w:val="single" w:color="000000" w:sz="6" w:space="0"/>
              <w:left w:val="single" w:color="000000" w:sz="4" w:space="0"/>
              <w:bottom w:val="single" w:color="000000" w:sz="4" w:space="0"/>
              <w:right w:val="single" w:color="000000" w:sz="4" w:space="0"/>
            </w:tcBorders>
            <w:shd w:val="clear" w:color="000000" w:fill="FFFFFF"/>
            <w:tcMar>
              <w:left w:w="108" w:type="dxa"/>
              <w:right w:w="108" w:type="dxa"/>
            </w:tcMar>
          </w:tcPr>
          <w:p>
            <w:pPr>
              <w:jc w:val="center"/>
              <w:rPr>
                <w:rFonts w:ascii="宋体" w:hAnsi="宋体" w:eastAsia="宋体" w:cs="宋体"/>
                <w:color w:val="auto"/>
                <w:sz w:val="22"/>
              </w:rPr>
            </w:pPr>
          </w:p>
        </w:tc>
        <w:tc>
          <w:tcPr>
            <w:tcW w:w="1071" w:type="dxa"/>
            <w:tcBorders>
              <w:top w:val="single" w:color="000000" w:sz="6"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auto"/>
                <w:sz w:val="22"/>
              </w:rPr>
            </w:pPr>
          </w:p>
        </w:tc>
        <w:tc>
          <w:tcPr>
            <w:tcW w:w="1071" w:type="dxa"/>
            <w:tcBorders>
              <w:top w:val="single" w:color="000000" w:sz="6" w:space="0"/>
              <w:left w:val="single" w:color="000000" w:sz="4" w:space="0"/>
              <w:bottom w:val="single" w:color="000000" w:sz="4" w:space="0"/>
              <w:right w:val="single" w:color="000000" w:sz="6" w:space="0"/>
            </w:tcBorders>
            <w:shd w:val="clear" w:color="000000" w:fill="FFFFFF"/>
            <w:tcMar>
              <w:left w:w="108" w:type="dxa"/>
              <w:right w:w="108" w:type="dxa"/>
            </w:tcMar>
            <w:vAlign w:val="center"/>
          </w:tcPr>
          <w:p>
            <w:pPr>
              <w:jc w:val="center"/>
              <w:rPr>
                <w:rFonts w:ascii="宋体" w:hAnsi="宋体" w:eastAsia="宋体" w:cs="宋体"/>
                <w:color w:val="auto"/>
                <w:sz w:val="22"/>
              </w:rPr>
            </w:pPr>
          </w:p>
        </w:tc>
        <w:tc>
          <w:tcPr>
            <w:tcW w:w="1073" w:type="dxa"/>
            <w:tcBorders>
              <w:top w:val="single" w:color="000000" w:sz="6" w:space="0"/>
              <w:left w:val="single" w:color="000000" w:sz="6" w:space="0"/>
              <w:bottom w:val="single" w:color="000000" w:sz="4" w:space="0"/>
              <w:right w:val="single" w:color="000000" w:sz="6" w:space="0"/>
            </w:tcBorders>
            <w:shd w:val="clear" w:color="000000" w:fill="FFFFFF"/>
            <w:tcMar>
              <w:left w:w="108" w:type="dxa"/>
              <w:right w:w="108" w:type="dxa"/>
            </w:tcMar>
            <w:vAlign w:val="center"/>
          </w:tcPr>
          <w:p>
            <w:pPr>
              <w:jc w:val="center"/>
              <w:rPr>
                <w:rFonts w:ascii="宋体" w:hAnsi="宋体" w:eastAsia="宋体" w:cs="宋体"/>
                <w:color w:val="auto"/>
                <w:sz w:val="22"/>
              </w:rPr>
            </w:pPr>
          </w:p>
        </w:tc>
      </w:tr>
      <w:tr>
        <w:tblPrEx>
          <w:tblCellMar>
            <w:top w:w="0" w:type="dxa"/>
            <w:left w:w="10" w:type="dxa"/>
            <w:bottom w:w="0" w:type="dxa"/>
            <w:right w:w="10" w:type="dxa"/>
          </w:tblCellMar>
        </w:tblPrEx>
        <w:tc>
          <w:tcPr>
            <w:tcW w:w="82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auto"/>
                <w:sz w:val="22"/>
              </w:rPr>
            </w:pPr>
          </w:p>
        </w:tc>
        <w:tc>
          <w:tcPr>
            <w:tcW w:w="4862" w:type="dxa"/>
            <w:tcBorders>
              <w:top w:val="single" w:color="000000" w:sz="4" w:space="0"/>
              <w:left w:val="single" w:color="000000" w:sz="4" w:space="0"/>
              <w:bottom w:val="single" w:color="000000" w:sz="6" w:space="0"/>
              <w:right w:val="single" w:color="000000" w:sz="4" w:space="0"/>
            </w:tcBorders>
            <w:shd w:val="clear" w:color="000000" w:fill="FFFFFF"/>
            <w:tcMar>
              <w:left w:w="108" w:type="dxa"/>
              <w:right w:w="108" w:type="dxa"/>
            </w:tcMar>
          </w:tcPr>
          <w:p>
            <w:pPr>
              <w:jc w:val="center"/>
              <w:rPr>
                <w:rFonts w:ascii="宋体" w:hAnsi="宋体" w:eastAsia="宋体" w:cs="宋体"/>
                <w:color w:val="auto"/>
                <w:sz w:val="22"/>
              </w:rPr>
            </w:pPr>
          </w:p>
        </w:tc>
        <w:tc>
          <w:tcPr>
            <w:tcW w:w="1071" w:type="dxa"/>
            <w:tcBorders>
              <w:top w:val="single" w:color="000000" w:sz="4" w:space="0"/>
              <w:left w:val="single" w:color="000000" w:sz="4" w:space="0"/>
              <w:bottom w:val="single" w:color="000000" w:sz="6"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auto"/>
                <w:sz w:val="22"/>
              </w:rPr>
            </w:pPr>
          </w:p>
        </w:tc>
        <w:tc>
          <w:tcPr>
            <w:tcW w:w="1071" w:type="dxa"/>
            <w:tcBorders>
              <w:top w:val="single" w:color="000000" w:sz="4" w:space="0"/>
              <w:left w:val="single" w:color="000000" w:sz="4" w:space="0"/>
              <w:bottom w:val="single" w:color="000000" w:sz="6" w:space="0"/>
              <w:right w:val="single" w:color="000000" w:sz="6" w:space="0"/>
            </w:tcBorders>
            <w:shd w:val="clear" w:color="000000" w:fill="FFFFFF"/>
            <w:tcMar>
              <w:left w:w="108" w:type="dxa"/>
              <w:right w:w="108" w:type="dxa"/>
            </w:tcMar>
            <w:vAlign w:val="center"/>
          </w:tcPr>
          <w:p>
            <w:pPr>
              <w:jc w:val="center"/>
              <w:rPr>
                <w:rFonts w:ascii="宋体" w:hAnsi="宋体" w:eastAsia="宋体" w:cs="宋体"/>
                <w:color w:val="auto"/>
                <w:sz w:val="22"/>
              </w:rPr>
            </w:pPr>
          </w:p>
        </w:tc>
        <w:tc>
          <w:tcPr>
            <w:tcW w:w="1073" w:type="dxa"/>
            <w:tcBorders>
              <w:top w:val="single" w:color="000000" w:sz="4"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宋体" w:hAnsi="宋体" w:eastAsia="宋体" w:cs="宋体"/>
                <w:color w:val="auto"/>
                <w:sz w:val="22"/>
              </w:rPr>
            </w:pPr>
          </w:p>
        </w:tc>
      </w:tr>
      <w:tr>
        <w:tblPrEx>
          <w:tblCellMar>
            <w:top w:w="0" w:type="dxa"/>
            <w:left w:w="10" w:type="dxa"/>
            <w:bottom w:w="0" w:type="dxa"/>
            <w:right w:w="10" w:type="dxa"/>
          </w:tblCellMar>
        </w:tblPrEx>
        <w:tc>
          <w:tcPr>
            <w:tcW w:w="82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auto"/>
                <w:sz w:val="22"/>
              </w:rPr>
            </w:pPr>
          </w:p>
        </w:tc>
        <w:tc>
          <w:tcPr>
            <w:tcW w:w="4862" w:type="dxa"/>
            <w:tcBorders>
              <w:top w:val="single" w:color="000000" w:sz="4" w:space="0"/>
              <w:left w:val="single" w:color="000000" w:sz="4" w:space="0"/>
              <w:bottom w:val="single" w:color="000000" w:sz="6" w:space="0"/>
              <w:right w:val="single" w:color="000000" w:sz="4" w:space="0"/>
            </w:tcBorders>
            <w:shd w:val="clear" w:color="000000" w:fill="FFFFFF"/>
            <w:tcMar>
              <w:left w:w="108" w:type="dxa"/>
              <w:right w:w="108" w:type="dxa"/>
            </w:tcMar>
          </w:tcPr>
          <w:p>
            <w:pPr>
              <w:jc w:val="center"/>
              <w:rPr>
                <w:rFonts w:ascii="宋体" w:hAnsi="宋体" w:eastAsia="宋体" w:cs="宋体"/>
                <w:color w:val="auto"/>
                <w:sz w:val="22"/>
              </w:rPr>
            </w:pPr>
          </w:p>
        </w:tc>
        <w:tc>
          <w:tcPr>
            <w:tcW w:w="1071" w:type="dxa"/>
            <w:tcBorders>
              <w:top w:val="single" w:color="000000" w:sz="4" w:space="0"/>
              <w:left w:val="single" w:color="000000" w:sz="4" w:space="0"/>
              <w:bottom w:val="single" w:color="000000" w:sz="6"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auto"/>
                <w:sz w:val="22"/>
              </w:rPr>
            </w:pPr>
          </w:p>
        </w:tc>
        <w:tc>
          <w:tcPr>
            <w:tcW w:w="1071" w:type="dxa"/>
            <w:tcBorders>
              <w:top w:val="single" w:color="000000" w:sz="4" w:space="0"/>
              <w:left w:val="single" w:color="000000" w:sz="4" w:space="0"/>
              <w:bottom w:val="single" w:color="000000" w:sz="6" w:space="0"/>
              <w:right w:val="single" w:color="000000" w:sz="6" w:space="0"/>
            </w:tcBorders>
            <w:shd w:val="clear" w:color="000000" w:fill="FFFFFF"/>
            <w:tcMar>
              <w:left w:w="108" w:type="dxa"/>
              <w:right w:w="108" w:type="dxa"/>
            </w:tcMar>
            <w:vAlign w:val="center"/>
          </w:tcPr>
          <w:p>
            <w:pPr>
              <w:jc w:val="center"/>
              <w:rPr>
                <w:rFonts w:ascii="宋体" w:hAnsi="宋体" w:eastAsia="宋体" w:cs="宋体"/>
                <w:color w:val="auto"/>
                <w:sz w:val="22"/>
              </w:rPr>
            </w:pPr>
          </w:p>
        </w:tc>
        <w:tc>
          <w:tcPr>
            <w:tcW w:w="1073" w:type="dxa"/>
            <w:tcBorders>
              <w:top w:val="single" w:color="000000" w:sz="4"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宋体" w:hAnsi="宋体" w:eastAsia="宋体" w:cs="宋体"/>
                <w:color w:val="auto"/>
                <w:sz w:val="22"/>
              </w:rPr>
            </w:pPr>
          </w:p>
        </w:tc>
      </w:tr>
      <w:tr>
        <w:tblPrEx>
          <w:tblCellMar>
            <w:top w:w="0" w:type="dxa"/>
            <w:left w:w="10" w:type="dxa"/>
            <w:bottom w:w="0" w:type="dxa"/>
            <w:right w:w="10" w:type="dxa"/>
          </w:tblCellMar>
        </w:tblPrEx>
        <w:tc>
          <w:tcPr>
            <w:tcW w:w="82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auto"/>
                <w:sz w:val="22"/>
              </w:rPr>
            </w:pPr>
          </w:p>
        </w:tc>
        <w:tc>
          <w:tcPr>
            <w:tcW w:w="4862" w:type="dxa"/>
            <w:tcBorders>
              <w:top w:val="single" w:color="000000" w:sz="4" w:space="0"/>
              <w:left w:val="single" w:color="000000" w:sz="4" w:space="0"/>
              <w:bottom w:val="single" w:color="000000" w:sz="6" w:space="0"/>
              <w:right w:val="single" w:color="000000" w:sz="4" w:space="0"/>
            </w:tcBorders>
            <w:shd w:val="clear" w:color="000000" w:fill="FFFFFF"/>
            <w:tcMar>
              <w:left w:w="108" w:type="dxa"/>
              <w:right w:w="108" w:type="dxa"/>
            </w:tcMar>
          </w:tcPr>
          <w:p>
            <w:pPr>
              <w:jc w:val="center"/>
              <w:rPr>
                <w:rFonts w:ascii="宋体" w:hAnsi="宋体" w:eastAsia="宋体" w:cs="宋体"/>
                <w:color w:val="auto"/>
                <w:sz w:val="22"/>
              </w:rPr>
            </w:pPr>
          </w:p>
        </w:tc>
        <w:tc>
          <w:tcPr>
            <w:tcW w:w="1071" w:type="dxa"/>
            <w:tcBorders>
              <w:top w:val="single" w:color="000000" w:sz="4" w:space="0"/>
              <w:left w:val="single" w:color="000000" w:sz="4" w:space="0"/>
              <w:bottom w:val="single" w:color="000000" w:sz="6"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auto"/>
                <w:sz w:val="22"/>
              </w:rPr>
            </w:pPr>
          </w:p>
        </w:tc>
        <w:tc>
          <w:tcPr>
            <w:tcW w:w="1071" w:type="dxa"/>
            <w:tcBorders>
              <w:top w:val="single" w:color="000000" w:sz="4" w:space="0"/>
              <w:left w:val="single" w:color="000000" w:sz="4" w:space="0"/>
              <w:bottom w:val="single" w:color="000000" w:sz="6" w:space="0"/>
              <w:right w:val="single" w:color="000000" w:sz="6" w:space="0"/>
            </w:tcBorders>
            <w:shd w:val="clear" w:color="000000" w:fill="FFFFFF"/>
            <w:tcMar>
              <w:left w:w="108" w:type="dxa"/>
              <w:right w:w="108" w:type="dxa"/>
            </w:tcMar>
            <w:vAlign w:val="center"/>
          </w:tcPr>
          <w:p>
            <w:pPr>
              <w:jc w:val="center"/>
              <w:rPr>
                <w:rFonts w:ascii="宋体" w:hAnsi="宋体" w:eastAsia="宋体" w:cs="宋体"/>
                <w:color w:val="auto"/>
                <w:sz w:val="22"/>
              </w:rPr>
            </w:pPr>
          </w:p>
        </w:tc>
        <w:tc>
          <w:tcPr>
            <w:tcW w:w="1073" w:type="dxa"/>
            <w:tcBorders>
              <w:top w:val="single" w:color="000000" w:sz="4"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宋体" w:hAnsi="宋体" w:eastAsia="宋体" w:cs="宋体"/>
                <w:color w:val="auto"/>
                <w:sz w:val="22"/>
              </w:rPr>
            </w:pPr>
          </w:p>
        </w:tc>
      </w:tr>
      <w:tr>
        <w:tblPrEx>
          <w:tblCellMar>
            <w:top w:w="0" w:type="dxa"/>
            <w:left w:w="10" w:type="dxa"/>
            <w:bottom w:w="0" w:type="dxa"/>
            <w:right w:w="10" w:type="dxa"/>
          </w:tblCellMar>
        </w:tblPrEx>
        <w:tc>
          <w:tcPr>
            <w:tcW w:w="82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auto"/>
                <w:sz w:val="22"/>
              </w:rPr>
            </w:pPr>
          </w:p>
        </w:tc>
        <w:tc>
          <w:tcPr>
            <w:tcW w:w="4862" w:type="dxa"/>
            <w:tcBorders>
              <w:top w:val="single" w:color="000000" w:sz="4" w:space="0"/>
              <w:left w:val="single" w:color="000000" w:sz="4" w:space="0"/>
              <w:bottom w:val="single" w:color="000000" w:sz="6" w:space="0"/>
              <w:right w:val="single" w:color="000000" w:sz="4" w:space="0"/>
            </w:tcBorders>
            <w:shd w:val="clear" w:color="000000" w:fill="FFFFFF"/>
            <w:tcMar>
              <w:left w:w="108" w:type="dxa"/>
              <w:right w:w="108" w:type="dxa"/>
            </w:tcMar>
          </w:tcPr>
          <w:p>
            <w:pPr>
              <w:jc w:val="center"/>
              <w:rPr>
                <w:rFonts w:ascii="宋体" w:hAnsi="宋体" w:eastAsia="宋体" w:cs="宋体"/>
                <w:color w:val="auto"/>
                <w:sz w:val="22"/>
              </w:rPr>
            </w:pPr>
          </w:p>
        </w:tc>
        <w:tc>
          <w:tcPr>
            <w:tcW w:w="1071" w:type="dxa"/>
            <w:tcBorders>
              <w:top w:val="single" w:color="000000" w:sz="4" w:space="0"/>
              <w:left w:val="single" w:color="000000" w:sz="4" w:space="0"/>
              <w:bottom w:val="single" w:color="000000" w:sz="6"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auto"/>
                <w:sz w:val="22"/>
              </w:rPr>
            </w:pPr>
          </w:p>
        </w:tc>
        <w:tc>
          <w:tcPr>
            <w:tcW w:w="1071" w:type="dxa"/>
            <w:tcBorders>
              <w:top w:val="single" w:color="000000" w:sz="4" w:space="0"/>
              <w:left w:val="single" w:color="000000" w:sz="4" w:space="0"/>
              <w:bottom w:val="single" w:color="000000" w:sz="6" w:space="0"/>
              <w:right w:val="single" w:color="000000" w:sz="6" w:space="0"/>
            </w:tcBorders>
            <w:shd w:val="clear" w:color="000000" w:fill="FFFFFF"/>
            <w:tcMar>
              <w:left w:w="108" w:type="dxa"/>
              <w:right w:w="108" w:type="dxa"/>
            </w:tcMar>
            <w:vAlign w:val="center"/>
          </w:tcPr>
          <w:p>
            <w:pPr>
              <w:jc w:val="center"/>
              <w:rPr>
                <w:rFonts w:ascii="宋体" w:hAnsi="宋体" w:eastAsia="宋体" w:cs="宋体"/>
                <w:color w:val="auto"/>
                <w:sz w:val="22"/>
              </w:rPr>
            </w:pPr>
          </w:p>
        </w:tc>
        <w:tc>
          <w:tcPr>
            <w:tcW w:w="1073" w:type="dxa"/>
            <w:tcBorders>
              <w:top w:val="single" w:color="000000" w:sz="4"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宋体" w:hAnsi="宋体" w:eastAsia="宋体" w:cs="宋体"/>
                <w:color w:val="auto"/>
                <w:sz w:val="22"/>
              </w:rPr>
            </w:pPr>
          </w:p>
        </w:tc>
      </w:tr>
      <w:tr>
        <w:tblPrEx>
          <w:tblCellMar>
            <w:top w:w="0" w:type="dxa"/>
            <w:left w:w="10" w:type="dxa"/>
            <w:bottom w:w="0" w:type="dxa"/>
            <w:right w:w="10" w:type="dxa"/>
          </w:tblCellMar>
        </w:tblPrEx>
        <w:tc>
          <w:tcPr>
            <w:tcW w:w="8905" w:type="dxa"/>
            <w:gridSpan w:val="5"/>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color w:val="auto"/>
              </w:rPr>
            </w:pPr>
            <w:r>
              <w:rPr>
                <w:rFonts w:ascii="宋体" w:hAnsi="宋体" w:eastAsia="宋体" w:cs="宋体"/>
                <w:color w:val="auto"/>
                <w:sz w:val="24"/>
              </w:rPr>
              <w:t>总价（人民币大写）：￥</w:t>
            </w:r>
            <w:r>
              <w:rPr>
                <w:rFonts w:ascii="Times New Roman" w:hAnsi="Times New Roman" w:eastAsia="Times New Roman" w:cs="Times New Roman"/>
                <w:color w:val="auto"/>
                <w:sz w:val="24"/>
              </w:rPr>
              <w:t xml:space="preserve">     </w:t>
            </w:r>
            <w:r>
              <w:rPr>
                <w:rFonts w:ascii="宋体" w:hAnsi="宋体" w:eastAsia="宋体" w:cs="宋体"/>
                <w:color w:val="auto"/>
                <w:sz w:val="24"/>
              </w:rPr>
              <w:t>元</w:t>
            </w:r>
          </w:p>
        </w:tc>
      </w:tr>
    </w:tbl>
    <w:p>
      <w:pPr>
        <w:jc w:val="center"/>
        <w:rPr>
          <w:rFonts w:ascii="Times New Roman" w:hAnsi="Times New Roman" w:eastAsia="Times New Roman" w:cs="Times New Roman"/>
          <w:color w:val="auto"/>
          <w:sz w:val="24"/>
        </w:rPr>
      </w:pPr>
    </w:p>
    <w:p>
      <w:pPr>
        <w:jc w:val="center"/>
        <w:rPr>
          <w:rFonts w:ascii="Times New Roman" w:hAnsi="Times New Roman" w:eastAsia="Times New Roman" w:cs="Times New Roman"/>
          <w:color w:val="auto"/>
          <w:sz w:val="24"/>
        </w:rPr>
      </w:pPr>
    </w:p>
    <w:p>
      <w:pPr>
        <w:jc w:val="center"/>
        <w:rPr>
          <w:rFonts w:ascii="宋体" w:hAnsi="宋体" w:eastAsia="宋体" w:cs="宋体"/>
          <w:color w:val="auto"/>
          <w:sz w:val="24"/>
        </w:rPr>
      </w:pPr>
      <w:r>
        <w:rPr>
          <w:rFonts w:ascii="宋体" w:hAnsi="宋体" w:eastAsia="宋体" w:cs="宋体"/>
          <w:color w:val="auto"/>
          <w:sz w:val="24"/>
        </w:rPr>
        <w:t>供应商代表签字：</w:t>
      </w:r>
    </w:p>
    <w:p>
      <w:pPr>
        <w:jc w:val="center"/>
        <w:rPr>
          <w:rFonts w:ascii="Times New Roman" w:hAnsi="Times New Roman" w:eastAsia="Times New Roman" w:cs="Times New Roman"/>
          <w:color w:val="auto"/>
          <w:sz w:val="24"/>
        </w:rPr>
      </w:pPr>
      <w:r>
        <w:rPr>
          <w:rFonts w:ascii="宋体" w:hAnsi="宋体" w:eastAsia="宋体" w:cs="宋体"/>
          <w:color w:val="auto"/>
          <w:sz w:val="24"/>
        </w:rPr>
        <w:t>供应商公章日期：</w:t>
      </w:r>
    </w:p>
    <w:p>
      <w:pPr>
        <w:spacing w:line="360" w:lineRule="auto"/>
        <w:jc w:val="center"/>
        <w:rPr>
          <w:rFonts w:ascii="宋体" w:hAnsi="宋体" w:eastAsia="宋体" w:cs="宋体"/>
          <w:b/>
          <w:color w:val="auto"/>
          <w:sz w:val="24"/>
        </w:rPr>
      </w:pPr>
    </w:p>
    <w:p>
      <w:pPr>
        <w:spacing w:line="360" w:lineRule="auto"/>
        <w:jc w:val="center"/>
        <w:rPr>
          <w:rFonts w:ascii="宋体" w:hAnsi="宋体" w:eastAsia="宋体" w:cs="宋体"/>
          <w:b/>
          <w:color w:val="auto"/>
          <w:sz w:val="24"/>
        </w:rPr>
      </w:pPr>
    </w:p>
    <w:p>
      <w:pPr>
        <w:ind w:firstLine="210"/>
        <w:jc w:val="left"/>
        <w:rPr>
          <w:rFonts w:ascii="Times New Roman" w:hAnsi="Times New Roman" w:eastAsia="Times New Roman" w:cs="Times New Roman"/>
          <w:color w:val="auto"/>
          <w:sz w:val="22"/>
        </w:rPr>
      </w:pPr>
    </w:p>
    <w:p>
      <w:pPr>
        <w:ind w:firstLine="210"/>
        <w:jc w:val="left"/>
        <w:rPr>
          <w:rFonts w:ascii="Times New Roman" w:hAnsi="Times New Roman" w:eastAsia="Times New Roman" w:cs="Times New Roman"/>
          <w:color w:val="auto"/>
          <w:sz w:val="22"/>
        </w:rPr>
      </w:pPr>
    </w:p>
    <w:p>
      <w:pPr>
        <w:ind w:firstLine="210"/>
        <w:jc w:val="left"/>
        <w:rPr>
          <w:rFonts w:ascii="Times New Roman" w:hAnsi="Times New Roman" w:eastAsia="Times New Roman" w:cs="Times New Roman"/>
          <w:color w:val="auto"/>
          <w:sz w:val="22"/>
        </w:rPr>
      </w:pPr>
    </w:p>
    <w:p>
      <w:pPr>
        <w:ind w:firstLine="210"/>
        <w:jc w:val="left"/>
        <w:rPr>
          <w:rFonts w:ascii="Times New Roman" w:hAnsi="Times New Roman" w:eastAsia="Times New Roman" w:cs="Times New Roman"/>
          <w:color w:val="auto"/>
          <w:sz w:val="22"/>
        </w:rPr>
      </w:pPr>
    </w:p>
    <w:p>
      <w:pPr>
        <w:ind w:firstLine="210"/>
        <w:jc w:val="left"/>
        <w:rPr>
          <w:rFonts w:ascii="Times New Roman" w:hAnsi="Times New Roman" w:eastAsia="Times New Roman" w:cs="Times New Roman"/>
          <w:color w:val="auto"/>
          <w:sz w:val="22"/>
        </w:rPr>
      </w:pPr>
    </w:p>
    <w:p>
      <w:pPr>
        <w:ind w:firstLine="210"/>
        <w:jc w:val="left"/>
        <w:rPr>
          <w:rFonts w:ascii="Times New Roman" w:hAnsi="Times New Roman" w:eastAsia="Times New Roman" w:cs="Times New Roman"/>
          <w:color w:val="auto"/>
          <w:sz w:val="22"/>
        </w:rPr>
      </w:pPr>
    </w:p>
    <w:p>
      <w:pPr>
        <w:ind w:firstLine="210"/>
        <w:jc w:val="left"/>
        <w:rPr>
          <w:rFonts w:ascii="Times New Roman" w:hAnsi="Times New Roman" w:eastAsia="Times New Roman" w:cs="Times New Roman"/>
          <w:color w:val="auto"/>
          <w:sz w:val="22"/>
        </w:rPr>
      </w:pPr>
      <w:r>
        <w:rPr>
          <w:rFonts w:ascii="Times New Roman" w:hAnsi="Times New Roman" w:eastAsia="Times New Roman" w:cs="Times New Roman"/>
          <w:color w:val="auto"/>
          <w:sz w:val="22"/>
        </w:rPr>
        <w:br w:type="page"/>
      </w:r>
    </w:p>
    <w:p>
      <w:pPr>
        <w:ind w:firstLine="210"/>
        <w:jc w:val="left"/>
        <w:rPr>
          <w:rFonts w:ascii="Times New Roman" w:hAnsi="Times New Roman" w:eastAsia="Times New Roman" w:cs="Times New Roman"/>
          <w:color w:val="auto"/>
          <w:sz w:val="22"/>
        </w:rPr>
      </w:pPr>
    </w:p>
    <w:p>
      <w:pPr>
        <w:ind w:firstLine="210"/>
        <w:jc w:val="left"/>
        <w:rPr>
          <w:rFonts w:ascii="Times New Roman" w:hAnsi="Times New Roman" w:eastAsia="Times New Roman" w:cs="Times New Roman"/>
          <w:color w:val="auto"/>
          <w:sz w:val="22"/>
        </w:rPr>
      </w:pPr>
    </w:p>
    <w:p>
      <w:pPr>
        <w:ind w:firstLine="210"/>
        <w:jc w:val="left"/>
        <w:rPr>
          <w:rFonts w:ascii="Times New Roman" w:hAnsi="Times New Roman" w:eastAsia="Times New Roman" w:cs="Times New Roman"/>
          <w:color w:val="auto"/>
          <w:sz w:val="22"/>
        </w:rPr>
      </w:pPr>
    </w:p>
    <w:p>
      <w:pPr>
        <w:ind w:firstLine="210"/>
        <w:jc w:val="left"/>
        <w:rPr>
          <w:rFonts w:ascii="Times New Roman" w:hAnsi="Times New Roman" w:eastAsia="Times New Roman" w:cs="Times New Roman"/>
          <w:color w:val="auto"/>
          <w:sz w:val="22"/>
        </w:rPr>
      </w:pPr>
    </w:p>
    <w:p>
      <w:pPr>
        <w:spacing w:line="360" w:lineRule="auto"/>
        <w:jc w:val="left"/>
        <w:rPr>
          <w:rFonts w:ascii="宋体" w:hAnsi="宋体" w:eastAsia="宋体" w:cs="宋体"/>
          <w:color w:val="auto"/>
          <w:sz w:val="24"/>
        </w:rPr>
      </w:pPr>
      <w:r>
        <w:rPr>
          <w:rFonts w:ascii="宋体" w:hAnsi="宋体" w:eastAsia="宋体" w:cs="宋体"/>
          <w:color w:val="auto"/>
          <w:sz w:val="24"/>
        </w:rPr>
        <w:t xml:space="preserve">格式6                     </w:t>
      </w:r>
      <w:r>
        <w:rPr>
          <w:rFonts w:ascii="宋体" w:hAnsi="宋体" w:eastAsia="宋体" w:cs="宋体"/>
          <w:b/>
          <w:color w:val="auto"/>
          <w:sz w:val="24"/>
        </w:rPr>
        <w:t>技术参数响应表</w:t>
      </w:r>
    </w:p>
    <w:p>
      <w:pPr>
        <w:rPr>
          <w:rFonts w:ascii="宋体" w:hAnsi="宋体" w:eastAsia="宋体" w:cs="宋体"/>
          <w:color w:val="auto"/>
          <w:sz w:val="24"/>
        </w:rPr>
      </w:pPr>
    </w:p>
    <w:p>
      <w:pPr>
        <w:rPr>
          <w:rFonts w:ascii="宋体" w:hAnsi="宋体" w:eastAsia="宋体" w:cs="宋体"/>
          <w:color w:val="auto"/>
          <w:sz w:val="24"/>
        </w:rPr>
      </w:pPr>
    </w:p>
    <w:tbl>
      <w:tblPr>
        <w:tblStyle w:val="8"/>
        <w:tblW w:w="0" w:type="auto"/>
        <w:tblInd w:w="0" w:type="dxa"/>
        <w:tblLayout w:type="autofit"/>
        <w:tblCellMar>
          <w:top w:w="0" w:type="dxa"/>
          <w:left w:w="10" w:type="dxa"/>
          <w:bottom w:w="0" w:type="dxa"/>
          <w:right w:w="10" w:type="dxa"/>
        </w:tblCellMar>
      </w:tblPr>
      <w:tblGrid>
        <w:gridCol w:w="702"/>
        <w:gridCol w:w="701"/>
        <w:gridCol w:w="3240"/>
        <w:gridCol w:w="2616"/>
        <w:gridCol w:w="1263"/>
      </w:tblGrid>
      <w:tr>
        <w:tblPrEx>
          <w:tblCellMar>
            <w:top w:w="0" w:type="dxa"/>
            <w:left w:w="10" w:type="dxa"/>
            <w:bottom w:w="0" w:type="dxa"/>
            <w:right w:w="10" w:type="dxa"/>
          </w:tblCellMar>
        </w:tblPrEx>
        <w:tc>
          <w:tcPr>
            <w:tcW w:w="4937" w:type="dxa"/>
            <w:gridSpan w:val="3"/>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auto"/>
              </w:rPr>
            </w:pPr>
            <w:r>
              <w:rPr>
                <w:rFonts w:ascii="宋体" w:hAnsi="宋体" w:eastAsia="宋体" w:cs="宋体"/>
                <w:color w:val="auto"/>
                <w:sz w:val="24"/>
              </w:rPr>
              <w:t>按招标文件规定填写</w:t>
            </w:r>
          </w:p>
        </w:tc>
        <w:tc>
          <w:tcPr>
            <w:tcW w:w="4146" w:type="dxa"/>
            <w:gridSpan w:val="2"/>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auto"/>
              </w:rPr>
            </w:pPr>
            <w:r>
              <w:rPr>
                <w:rFonts w:ascii="宋体" w:hAnsi="宋体" w:eastAsia="宋体" w:cs="宋体"/>
                <w:color w:val="auto"/>
                <w:sz w:val="24"/>
              </w:rPr>
              <w:t>按投标人所投内容填写</w:t>
            </w:r>
          </w:p>
        </w:tc>
      </w:tr>
      <w:tr>
        <w:tblPrEx>
          <w:tblCellMar>
            <w:top w:w="0" w:type="dxa"/>
            <w:left w:w="10" w:type="dxa"/>
            <w:bottom w:w="0" w:type="dxa"/>
            <w:right w:w="10" w:type="dxa"/>
          </w:tblCellMar>
        </w:tblPrEx>
        <w:tc>
          <w:tcPr>
            <w:tcW w:w="72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auto"/>
              </w:rPr>
            </w:pPr>
            <w:r>
              <w:rPr>
                <w:rFonts w:ascii="宋体" w:hAnsi="宋体" w:eastAsia="宋体" w:cs="宋体"/>
                <w:color w:val="auto"/>
                <w:sz w:val="24"/>
              </w:rPr>
              <w:t>序号</w:t>
            </w:r>
          </w:p>
        </w:tc>
        <w:tc>
          <w:tcPr>
            <w:tcW w:w="72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auto"/>
              </w:rPr>
            </w:pPr>
            <w:r>
              <w:rPr>
                <w:rFonts w:ascii="宋体" w:hAnsi="宋体" w:eastAsia="宋体" w:cs="宋体"/>
                <w:color w:val="auto"/>
                <w:sz w:val="24"/>
              </w:rPr>
              <w:t>品名</w:t>
            </w:r>
          </w:p>
        </w:tc>
        <w:tc>
          <w:tcPr>
            <w:tcW w:w="349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auto"/>
              </w:rPr>
            </w:pPr>
            <w:r>
              <w:rPr>
                <w:rFonts w:ascii="宋体" w:hAnsi="宋体" w:eastAsia="宋体" w:cs="宋体"/>
                <w:color w:val="auto"/>
                <w:sz w:val="24"/>
              </w:rPr>
              <w:t>磋商文件要求</w:t>
            </w:r>
          </w:p>
        </w:tc>
        <w:tc>
          <w:tcPr>
            <w:tcW w:w="281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auto"/>
              </w:rPr>
            </w:pPr>
            <w:r>
              <w:rPr>
                <w:rFonts w:ascii="宋体" w:hAnsi="宋体" w:eastAsia="宋体" w:cs="宋体"/>
                <w:color w:val="auto"/>
                <w:sz w:val="24"/>
              </w:rPr>
              <w:t>响应文件</w:t>
            </w:r>
          </w:p>
        </w:tc>
        <w:tc>
          <w:tcPr>
            <w:tcW w:w="133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auto"/>
              </w:rPr>
            </w:pPr>
            <w:r>
              <w:rPr>
                <w:rFonts w:ascii="宋体" w:hAnsi="宋体" w:eastAsia="宋体" w:cs="宋体"/>
                <w:color w:val="auto"/>
                <w:sz w:val="24"/>
              </w:rPr>
              <w:t>偏离说明</w:t>
            </w:r>
          </w:p>
        </w:tc>
      </w:tr>
      <w:tr>
        <w:tblPrEx>
          <w:tblCellMar>
            <w:top w:w="0" w:type="dxa"/>
            <w:left w:w="10" w:type="dxa"/>
            <w:bottom w:w="0" w:type="dxa"/>
            <w:right w:w="10" w:type="dxa"/>
          </w:tblCellMar>
        </w:tblPrEx>
        <w:tc>
          <w:tcPr>
            <w:tcW w:w="72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auto"/>
              </w:rPr>
            </w:pPr>
            <w:r>
              <w:rPr>
                <w:rFonts w:ascii="宋体" w:hAnsi="宋体" w:eastAsia="宋体" w:cs="宋体"/>
                <w:color w:val="auto"/>
                <w:sz w:val="24"/>
              </w:rPr>
              <w:t>1</w:t>
            </w:r>
          </w:p>
        </w:tc>
        <w:tc>
          <w:tcPr>
            <w:tcW w:w="72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left"/>
              <w:rPr>
                <w:rFonts w:ascii="宋体" w:hAnsi="宋体" w:eastAsia="宋体" w:cs="宋体"/>
                <w:color w:val="auto"/>
                <w:sz w:val="22"/>
              </w:rPr>
            </w:pPr>
          </w:p>
        </w:tc>
        <w:tc>
          <w:tcPr>
            <w:tcW w:w="349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rPr>
                <w:rFonts w:ascii="宋体" w:hAnsi="宋体" w:eastAsia="宋体" w:cs="宋体"/>
                <w:color w:val="auto"/>
                <w:sz w:val="22"/>
              </w:rPr>
            </w:pPr>
          </w:p>
        </w:tc>
        <w:tc>
          <w:tcPr>
            <w:tcW w:w="281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rPr>
                <w:rFonts w:ascii="宋体" w:hAnsi="宋体" w:eastAsia="宋体" w:cs="宋体"/>
                <w:color w:val="auto"/>
                <w:sz w:val="22"/>
              </w:rPr>
            </w:pPr>
          </w:p>
        </w:tc>
        <w:tc>
          <w:tcPr>
            <w:tcW w:w="133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auto"/>
                <w:sz w:val="22"/>
              </w:rPr>
            </w:pPr>
          </w:p>
        </w:tc>
      </w:tr>
      <w:tr>
        <w:tblPrEx>
          <w:tblCellMar>
            <w:top w:w="0" w:type="dxa"/>
            <w:left w:w="10" w:type="dxa"/>
            <w:bottom w:w="0" w:type="dxa"/>
            <w:right w:w="10" w:type="dxa"/>
          </w:tblCellMar>
        </w:tblPrEx>
        <w:tc>
          <w:tcPr>
            <w:tcW w:w="72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auto"/>
              </w:rPr>
            </w:pPr>
            <w:r>
              <w:rPr>
                <w:rFonts w:ascii="宋体" w:hAnsi="宋体" w:eastAsia="宋体" w:cs="宋体"/>
                <w:color w:val="auto"/>
                <w:sz w:val="24"/>
              </w:rPr>
              <w:t>2</w:t>
            </w:r>
          </w:p>
        </w:tc>
        <w:tc>
          <w:tcPr>
            <w:tcW w:w="72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auto"/>
                <w:sz w:val="22"/>
              </w:rPr>
            </w:pPr>
          </w:p>
        </w:tc>
        <w:tc>
          <w:tcPr>
            <w:tcW w:w="349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ind w:left="240" w:hanging="240"/>
              <w:jc w:val="left"/>
              <w:rPr>
                <w:rFonts w:ascii="宋体" w:hAnsi="宋体" w:eastAsia="宋体" w:cs="宋体"/>
                <w:color w:val="auto"/>
                <w:sz w:val="22"/>
              </w:rPr>
            </w:pPr>
          </w:p>
        </w:tc>
        <w:tc>
          <w:tcPr>
            <w:tcW w:w="281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ind w:left="240" w:hanging="240"/>
              <w:jc w:val="left"/>
              <w:rPr>
                <w:rFonts w:ascii="宋体" w:hAnsi="宋体" w:eastAsia="宋体" w:cs="宋体"/>
                <w:color w:val="auto"/>
                <w:sz w:val="22"/>
              </w:rPr>
            </w:pPr>
          </w:p>
        </w:tc>
        <w:tc>
          <w:tcPr>
            <w:tcW w:w="133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auto"/>
                <w:sz w:val="22"/>
              </w:rPr>
            </w:pPr>
          </w:p>
        </w:tc>
      </w:tr>
      <w:tr>
        <w:tblPrEx>
          <w:tblCellMar>
            <w:top w:w="0" w:type="dxa"/>
            <w:left w:w="10" w:type="dxa"/>
            <w:bottom w:w="0" w:type="dxa"/>
            <w:right w:w="10" w:type="dxa"/>
          </w:tblCellMar>
        </w:tblPrEx>
        <w:tc>
          <w:tcPr>
            <w:tcW w:w="72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auto"/>
                <w:sz w:val="22"/>
              </w:rPr>
            </w:pPr>
          </w:p>
        </w:tc>
        <w:tc>
          <w:tcPr>
            <w:tcW w:w="72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auto"/>
                <w:sz w:val="22"/>
              </w:rPr>
            </w:pPr>
          </w:p>
        </w:tc>
        <w:tc>
          <w:tcPr>
            <w:tcW w:w="349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ind w:left="240" w:hanging="240"/>
              <w:jc w:val="left"/>
              <w:rPr>
                <w:rFonts w:ascii="宋体" w:hAnsi="宋体" w:eastAsia="宋体" w:cs="宋体"/>
                <w:color w:val="auto"/>
                <w:sz w:val="22"/>
              </w:rPr>
            </w:pPr>
          </w:p>
        </w:tc>
        <w:tc>
          <w:tcPr>
            <w:tcW w:w="281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ind w:left="240" w:hanging="240"/>
              <w:jc w:val="left"/>
              <w:rPr>
                <w:rFonts w:ascii="宋体" w:hAnsi="宋体" w:eastAsia="宋体" w:cs="宋体"/>
                <w:color w:val="auto"/>
                <w:sz w:val="22"/>
              </w:rPr>
            </w:pPr>
          </w:p>
        </w:tc>
        <w:tc>
          <w:tcPr>
            <w:tcW w:w="133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auto"/>
                <w:sz w:val="22"/>
              </w:rPr>
            </w:pPr>
          </w:p>
        </w:tc>
      </w:tr>
      <w:tr>
        <w:tblPrEx>
          <w:tblCellMar>
            <w:top w:w="0" w:type="dxa"/>
            <w:left w:w="10" w:type="dxa"/>
            <w:bottom w:w="0" w:type="dxa"/>
            <w:right w:w="10" w:type="dxa"/>
          </w:tblCellMar>
        </w:tblPrEx>
        <w:tc>
          <w:tcPr>
            <w:tcW w:w="72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auto"/>
                <w:sz w:val="22"/>
              </w:rPr>
            </w:pPr>
          </w:p>
        </w:tc>
        <w:tc>
          <w:tcPr>
            <w:tcW w:w="72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auto"/>
                <w:sz w:val="22"/>
              </w:rPr>
            </w:pPr>
          </w:p>
        </w:tc>
        <w:tc>
          <w:tcPr>
            <w:tcW w:w="349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ind w:left="240" w:hanging="240"/>
              <w:jc w:val="left"/>
              <w:rPr>
                <w:rFonts w:ascii="宋体" w:hAnsi="宋体" w:eastAsia="宋体" w:cs="宋体"/>
                <w:color w:val="auto"/>
                <w:sz w:val="22"/>
              </w:rPr>
            </w:pPr>
          </w:p>
        </w:tc>
        <w:tc>
          <w:tcPr>
            <w:tcW w:w="281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ind w:left="240" w:hanging="240"/>
              <w:jc w:val="left"/>
              <w:rPr>
                <w:rFonts w:ascii="宋体" w:hAnsi="宋体" w:eastAsia="宋体" w:cs="宋体"/>
                <w:color w:val="auto"/>
                <w:sz w:val="22"/>
              </w:rPr>
            </w:pPr>
          </w:p>
        </w:tc>
        <w:tc>
          <w:tcPr>
            <w:tcW w:w="133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auto"/>
                <w:sz w:val="22"/>
              </w:rPr>
            </w:pPr>
          </w:p>
        </w:tc>
      </w:tr>
      <w:tr>
        <w:tblPrEx>
          <w:tblCellMar>
            <w:top w:w="0" w:type="dxa"/>
            <w:left w:w="10" w:type="dxa"/>
            <w:bottom w:w="0" w:type="dxa"/>
            <w:right w:w="10" w:type="dxa"/>
          </w:tblCellMar>
        </w:tblPrEx>
        <w:tc>
          <w:tcPr>
            <w:tcW w:w="72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auto"/>
                <w:sz w:val="22"/>
              </w:rPr>
            </w:pPr>
          </w:p>
        </w:tc>
        <w:tc>
          <w:tcPr>
            <w:tcW w:w="72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auto"/>
                <w:sz w:val="22"/>
              </w:rPr>
            </w:pPr>
          </w:p>
        </w:tc>
        <w:tc>
          <w:tcPr>
            <w:tcW w:w="349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ind w:left="240" w:hanging="240"/>
              <w:jc w:val="left"/>
              <w:rPr>
                <w:rFonts w:ascii="宋体" w:hAnsi="宋体" w:eastAsia="宋体" w:cs="宋体"/>
                <w:color w:val="auto"/>
                <w:sz w:val="22"/>
              </w:rPr>
            </w:pPr>
          </w:p>
        </w:tc>
        <w:tc>
          <w:tcPr>
            <w:tcW w:w="281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ind w:left="240" w:hanging="240"/>
              <w:jc w:val="left"/>
              <w:rPr>
                <w:rFonts w:ascii="宋体" w:hAnsi="宋体" w:eastAsia="宋体" w:cs="宋体"/>
                <w:color w:val="auto"/>
                <w:sz w:val="22"/>
              </w:rPr>
            </w:pPr>
          </w:p>
        </w:tc>
        <w:tc>
          <w:tcPr>
            <w:tcW w:w="133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auto"/>
                <w:sz w:val="22"/>
              </w:rPr>
            </w:pPr>
          </w:p>
        </w:tc>
      </w:tr>
      <w:tr>
        <w:tblPrEx>
          <w:tblCellMar>
            <w:top w:w="0" w:type="dxa"/>
            <w:left w:w="10" w:type="dxa"/>
            <w:bottom w:w="0" w:type="dxa"/>
            <w:right w:w="10" w:type="dxa"/>
          </w:tblCellMar>
        </w:tblPrEx>
        <w:tc>
          <w:tcPr>
            <w:tcW w:w="72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auto"/>
                <w:sz w:val="22"/>
              </w:rPr>
            </w:pPr>
          </w:p>
        </w:tc>
        <w:tc>
          <w:tcPr>
            <w:tcW w:w="72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auto"/>
                <w:sz w:val="22"/>
              </w:rPr>
            </w:pPr>
          </w:p>
        </w:tc>
        <w:tc>
          <w:tcPr>
            <w:tcW w:w="349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ind w:left="240" w:hanging="240"/>
              <w:jc w:val="left"/>
              <w:rPr>
                <w:rFonts w:ascii="宋体" w:hAnsi="宋体" w:eastAsia="宋体" w:cs="宋体"/>
                <w:color w:val="auto"/>
                <w:sz w:val="22"/>
              </w:rPr>
            </w:pPr>
          </w:p>
        </w:tc>
        <w:tc>
          <w:tcPr>
            <w:tcW w:w="281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ind w:left="240" w:hanging="240"/>
              <w:jc w:val="left"/>
              <w:rPr>
                <w:rFonts w:ascii="宋体" w:hAnsi="宋体" w:eastAsia="宋体" w:cs="宋体"/>
                <w:color w:val="auto"/>
                <w:sz w:val="22"/>
              </w:rPr>
            </w:pPr>
          </w:p>
        </w:tc>
        <w:tc>
          <w:tcPr>
            <w:tcW w:w="133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color w:val="auto"/>
                <w:sz w:val="22"/>
              </w:rPr>
            </w:pPr>
          </w:p>
        </w:tc>
      </w:tr>
    </w:tbl>
    <w:p>
      <w:pPr>
        <w:rPr>
          <w:rFonts w:ascii="宋体" w:hAnsi="宋体" w:eastAsia="宋体" w:cs="宋体"/>
          <w:color w:val="auto"/>
          <w:sz w:val="24"/>
        </w:rPr>
      </w:pPr>
    </w:p>
    <w:p>
      <w:pPr>
        <w:rPr>
          <w:rFonts w:ascii="宋体" w:hAnsi="宋体" w:eastAsia="宋体" w:cs="宋体"/>
          <w:color w:val="auto"/>
          <w:sz w:val="24"/>
        </w:rPr>
      </w:pPr>
      <w:r>
        <w:rPr>
          <w:rFonts w:ascii="宋体" w:hAnsi="宋体" w:eastAsia="宋体" w:cs="宋体"/>
          <w:color w:val="auto"/>
          <w:sz w:val="24"/>
        </w:rPr>
        <w:t>(可根据需求自行更改)</w:t>
      </w:r>
    </w:p>
    <w:p>
      <w:pPr>
        <w:rPr>
          <w:rFonts w:ascii="宋体" w:hAnsi="宋体" w:eastAsia="宋体" w:cs="宋体"/>
          <w:color w:val="auto"/>
          <w:sz w:val="24"/>
        </w:rPr>
      </w:pPr>
    </w:p>
    <w:p>
      <w:pPr>
        <w:spacing w:line="360" w:lineRule="auto"/>
        <w:ind w:left="5250" w:firstLine="240"/>
        <w:rPr>
          <w:rFonts w:ascii="宋体" w:hAnsi="宋体" w:eastAsia="宋体" w:cs="宋体"/>
          <w:color w:val="auto"/>
          <w:sz w:val="24"/>
        </w:rPr>
      </w:pPr>
      <w:r>
        <w:rPr>
          <w:rFonts w:ascii="宋体" w:hAnsi="宋体" w:eastAsia="宋体" w:cs="宋体"/>
          <w:color w:val="auto"/>
          <w:sz w:val="24"/>
        </w:rPr>
        <w:t>投标人电子公章：</w:t>
      </w:r>
    </w:p>
    <w:p>
      <w:pPr>
        <w:spacing w:line="360" w:lineRule="auto"/>
        <w:jc w:val="right"/>
        <w:rPr>
          <w:rFonts w:ascii="宋体" w:hAnsi="宋体" w:eastAsia="宋体" w:cs="宋体"/>
          <w:color w:val="auto"/>
          <w:sz w:val="24"/>
        </w:rPr>
      </w:pPr>
      <w:r>
        <w:rPr>
          <w:rFonts w:ascii="宋体" w:hAnsi="宋体" w:eastAsia="宋体" w:cs="宋体"/>
          <w:color w:val="auto"/>
          <w:sz w:val="24"/>
        </w:rPr>
        <w:t xml:space="preserve">  年  月  日</w:t>
      </w:r>
    </w:p>
    <w:p>
      <w:pPr>
        <w:spacing w:line="360" w:lineRule="auto"/>
        <w:rPr>
          <w:rFonts w:ascii="宋体" w:hAnsi="宋体" w:eastAsia="宋体" w:cs="宋体"/>
          <w:b/>
          <w:color w:val="auto"/>
          <w:sz w:val="24"/>
        </w:rPr>
      </w:pPr>
    </w:p>
    <w:p>
      <w:pPr>
        <w:spacing w:line="360" w:lineRule="auto"/>
        <w:rPr>
          <w:rFonts w:ascii="宋体" w:hAnsi="宋体" w:eastAsia="宋体" w:cs="宋体"/>
          <w:b/>
          <w:color w:val="auto"/>
          <w:sz w:val="24"/>
        </w:rPr>
      </w:pPr>
    </w:p>
    <w:p>
      <w:pPr>
        <w:spacing w:line="360" w:lineRule="auto"/>
        <w:rPr>
          <w:rFonts w:ascii="宋体" w:hAnsi="宋体" w:eastAsia="宋体" w:cs="宋体"/>
          <w:b/>
          <w:color w:val="auto"/>
          <w:sz w:val="24"/>
        </w:rPr>
      </w:pPr>
    </w:p>
    <w:p>
      <w:pPr>
        <w:spacing w:line="360" w:lineRule="auto"/>
        <w:rPr>
          <w:rFonts w:ascii="宋体" w:hAnsi="宋体" w:eastAsia="宋体" w:cs="宋体"/>
          <w:b/>
          <w:color w:val="auto"/>
          <w:sz w:val="24"/>
        </w:rPr>
      </w:pPr>
      <w:r>
        <w:rPr>
          <w:rFonts w:ascii="宋体" w:hAnsi="宋体" w:eastAsia="宋体" w:cs="宋体"/>
          <w:b/>
          <w:color w:val="auto"/>
          <w:sz w:val="24"/>
        </w:rPr>
        <w:br w:type="page"/>
      </w:r>
    </w:p>
    <w:p>
      <w:pPr>
        <w:spacing w:line="360" w:lineRule="auto"/>
        <w:rPr>
          <w:rFonts w:ascii="宋体" w:hAnsi="宋体" w:eastAsia="宋体" w:cs="宋体"/>
          <w:color w:val="auto"/>
          <w:sz w:val="24"/>
        </w:rPr>
      </w:pPr>
      <w:r>
        <w:rPr>
          <w:rFonts w:ascii="宋体" w:hAnsi="宋体" w:eastAsia="宋体" w:cs="宋体"/>
          <w:color w:val="auto"/>
          <w:sz w:val="24"/>
        </w:rPr>
        <w:t xml:space="preserve"> </w:t>
      </w:r>
    </w:p>
    <w:p>
      <w:pPr>
        <w:spacing w:line="360" w:lineRule="auto"/>
        <w:jc w:val="left"/>
        <w:rPr>
          <w:rFonts w:ascii="宋体" w:hAnsi="宋体" w:eastAsia="宋体" w:cs="宋体"/>
          <w:color w:val="auto"/>
          <w:sz w:val="24"/>
        </w:rPr>
      </w:pPr>
      <w:r>
        <w:rPr>
          <w:rFonts w:ascii="宋体" w:hAnsi="宋体" w:eastAsia="宋体" w:cs="宋体"/>
          <w:color w:val="auto"/>
          <w:sz w:val="24"/>
        </w:rPr>
        <w:t>格式7</w:t>
      </w:r>
    </w:p>
    <w:p>
      <w:pPr>
        <w:tabs>
          <w:tab w:val="left" w:pos="0"/>
          <w:tab w:val="left" w:pos="993"/>
          <w:tab w:val="left" w:pos="1134"/>
        </w:tabs>
        <w:ind w:firstLine="480"/>
        <w:rPr>
          <w:rFonts w:ascii="宋体" w:hAnsi="宋体" w:eastAsia="宋体" w:cs="宋体"/>
          <w:color w:val="auto"/>
          <w:sz w:val="24"/>
        </w:rPr>
      </w:pPr>
    </w:p>
    <w:p>
      <w:pPr>
        <w:spacing w:line="380" w:lineRule="auto"/>
        <w:jc w:val="center"/>
        <w:rPr>
          <w:rFonts w:ascii="宋体" w:hAnsi="宋体" w:eastAsia="宋体" w:cs="宋体"/>
          <w:color w:val="auto"/>
          <w:sz w:val="24"/>
        </w:rPr>
      </w:pPr>
      <w:r>
        <w:rPr>
          <w:rFonts w:ascii="宋体" w:hAnsi="宋体" w:eastAsia="宋体" w:cs="宋体"/>
          <w:color w:val="auto"/>
          <w:sz w:val="24"/>
        </w:rPr>
        <w:t>售后服务承诺</w:t>
      </w:r>
    </w:p>
    <w:p>
      <w:pPr>
        <w:spacing w:line="380" w:lineRule="auto"/>
        <w:jc w:val="center"/>
        <w:rPr>
          <w:rFonts w:ascii="宋体" w:hAnsi="宋体" w:eastAsia="宋体" w:cs="宋体"/>
          <w:color w:val="auto"/>
          <w:sz w:val="24"/>
        </w:rPr>
      </w:pPr>
    </w:p>
    <w:p>
      <w:pPr>
        <w:rPr>
          <w:rFonts w:ascii="宋体" w:hAnsi="宋体" w:eastAsia="宋体" w:cs="宋体"/>
          <w:color w:val="auto"/>
          <w:sz w:val="24"/>
        </w:rPr>
      </w:pPr>
    </w:p>
    <w:p>
      <w:pPr>
        <w:spacing w:line="380" w:lineRule="auto"/>
        <w:rPr>
          <w:rFonts w:ascii="宋体" w:hAnsi="宋体" w:eastAsia="宋体" w:cs="宋体"/>
          <w:color w:val="auto"/>
          <w:sz w:val="24"/>
        </w:rPr>
      </w:pPr>
    </w:p>
    <w:p>
      <w:pPr>
        <w:spacing w:line="380" w:lineRule="auto"/>
        <w:ind w:firstLine="4008"/>
        <w:rPr>
          <w:rFonts w:ascii="宋体" w:hAnsi="宋体" w:eastAsia="宋体" w:cs="宋体"/>
          <w:color w:val="auto"/>
          <w:sz w:val="24"/>
        </w:rPr>
      </w:pPr>
      <w:r>
        <w:rPr>
          <w:rFonts w:ascii="宋体" w:hAnsi="宋体" w:eastAsia="宋体" w:cs="宋体"/>
          <w:color w:val="auto"/>
          <w:sz w:val="24"/>
        </w:rPr>
        <w:t>投标人电子公章：</w:t>
      </w:r>
    </w:p>
    <w:p>
      <w:pPr>
        <w:spacing w:line="380" w:lineRule="auto"/>
        <w:jc w:val="center"/>
        <w:rPr>
          <w:rFonts w:ascii="宋体" w:hAnsi="宋体" w:eastAsia="宋体" w:cs="宋体"/>
          <w:color w:val="auto"/>
          <w:sz w:val="24"/>
        </w:rPr>
      </w:pPr>
    </w:p>
    <w:p>
      <w:pPr>
        <w:spacing w:line="380" w:lineRule="auto"/>
        <w:ind w:firstLine="3600"/>
        <w:rPr>
          <w:rFonts w:ascii="宋体" w:hAnsi="宋体" w:eastAsia="宋体" w:cs="宋体"/>
          <w:color w:val="auto"/>
          <w:sz w:val="24"/>
        </w:rPr>
      </w:pPr>
      <w:r>
        <w:rPr>
          <w:rFonts w:ascii="宋体" w:hAnsi="宋体" w:eastAsia="宋体" w:cs="宋体"/>
          <w:color w:val="auto"/>
          <w:sz w:val="24"/>
        </w:rPr>
        <w:t xml:space="preserve">      年   月    日</w:t>
      </w:r>
    </w:p>
    <w:p>
      <w:pPr>
        <w:spacing w:line="380" w:lineRule="auto"/>
        <w:ind w:firstLine="3600"/>
        <w:rPr>
          <w:rFonts w:ascii="宋体" w:hAnsi="宋体" w:eastAsia="宋体" w:cs="宋体"/>
          <w:b/>
          <w:color w:val="auto"/>
          <w:sz w:val="24"/>
        </w:rPr>
      </w:pPr>
      <w:r>
        <w:rPr>
          <w:rFonts w:ascii="宋体" w:hAnsi="宋体" w:eastAsia="宋体" w:cs="宋体"/>
          <w:b/>
          <w:color w:val="auto"/>
          <w:sz w:val="24"/>
        </w:rPr>
        <w:t xml:space="preserve"> </w:t>
      </w:r>
    </w:p>
    <w:p>
      <w:pPr>
        <w:spacing w:line="360" w:lineRule="auto"/>
        <w:jc w:val="center"/>
        <w:rPr>
          <w:rFonts w:ascii="宋体" w:hAnsi="宋体" w:eastAsia="宋体" w:cs="宋体"/>
          <w:b/>
          <w:color w:val="auto"/>
          <w:sz w:val="24"/>
        </w:rPr>
      </w:pPr>
    </w:p>
    <w:p>
      <w:pPr>
        <w:pStyle w:val="2"/>
        <w:rPr>
          <w:rFonts w:ascii="宋体" w:hAnsi="宋体" w:cs="宋体"/>
          <w:b/>
          <w:color w:val="auto"/>
          <w:sz w:val="24"/>
        </w:rPr>
      </w:pPr>
    </w:p>
    <w:p>
      <w:pPr>
        <w:rPr>
          <w:color w:val="auto"/>
        </w:rPr>
      </w:pPr>
      <w:r>
        <w:rPr>
          <w:color w:val="auto"/>
        </w:rPr>
        <w:br w:type="page"/>
      </w:r>
    </w:p>
    <w:p>
      <w:pPr>
        <w:spacing w:line="360" w:lineRule="auto"/>
        <w:rPr>
          <w:rFonts w:ascii="宋体" w:hAnsi="宋体" w:eastAsia="宋体" w:cs="宋体"/>
          <w:color w:val="auto"/>
          <w:sz w:val="24"/>
        </w:rPr>
      </w:pPr>
      <w:r>
        <w:rPr>
          <w:rFonts w:ascii="宋体" w:hAnsi="宋体" w:eastAsia="宋体" w:cs="宋体"/>
          <w:color w:val="auto"/>
          <w:sz w:val="24"/>
        </w:rPr>
        <w:t>格式8</w:t>
      </w:r>
    </w:p>
    <w:p>
      <w:pPr>
        <w:spacing w:line="360" w:lineRule="auto"/>
        <w:ind w:firstLine="1680"/>
        <w:rPr>
          <w:rFonts w:ascii="宋体" w:hAnsi="宋体" w:eastAsia="宋体" w:cs="宋体"/>
          <w:color w:val="auto"/>
          <w:sz w:val="24"/>
        </w:rPr>
      </w:pPr>
      <w:r>
        <w:rPr>
          <w:rFonts w:ascii="宋体" w:hAnsi="宋体" w:eastAsia="宋体" w:cs="宋体"/>
          <w:color w:val="auto"/>
          <w:sz w:val="24"/>
        </w:rPr>
        <w:t>合格供应商的声明函和承诺书</w:t>
      </w:r>
    </w:p>
    <w:p>
      <w:pPr>
        <w:spacing w:line="360" w:lineRule="auto"/>
        <w:jc w:val="center"/>
        <w:rPr>
          <w:rFonts w:ascii="宋体" w:hAnsi="宋体" w:eastAsia="宋体" w:cs="宋体"/>
          <w:b/>
          <w:color w:val="auto"/>
          <w:sz w:val="24"/>
        </w:rPr>
      </w:pPr>
    </w:p>
    <w:p>
      <w:pPr>
        <w:spacing w:line="360" w:lineRule="auto"/>
        <w:jc w:val="center"/>
        <w:rPr>
          <w:rFonts w:ascii="宋体" w:hAnsi="宋体" w:eastAsia="宋体" w:cs="宋体"/>
          <w:b/>
          <w:color w:val="auto"/>
          <w:sz w:val="24"/>
        </w:rPr>
      </w:pPr>
    </w:p>
    <w:p>
      <w:pPr>
        <w:spacing w:line="360" w:lineRule="auto"/>
        <w:jc w:val="center"/>
        <w:rPr>
          <w:rFonts w:ascii="宋体" w:hAnsi="宋体" w:eastAsia="宋体" w:cs="宋体"/>
          <w:b/>
          <w:color w:val="auto"/>
          <w:sz w:val="24"/>
        </w:rPr>
      </w:pPr>
    </w:p>
    <w:p>
      <w:pPr>
        <w:spacing w:line="360" w:lineRule="auto"/>
        <w:jc w:val="center"/>
        <w:rPr>
          <w:rFonts w:ascii="宋体" w:hAnsi="宋体" w:eastAsia="宋体" w:cs="宋体"/>
          <w:b/>
          <w:color w:val="auto"/>
          <w:sz w:val="24"/>
        </w:rPr>
      </w:pPr>
    </w:p>
    <w:p>
      <w:pPr>
        <w:spacing w:line="360" w:lineRule="auto"/>
        <w:jc w:val="center"/>
        <w:rPr>
          <w:rFonts w:ascii="宋体" w:hAnsi="宋体" w:eastAsia="宋体" w:cs="宋体"/>
          <w:b/>
          <w:color w:val="auto"/>
          <w:sz w:val="24"/>
        </w:rPr>
      </w:pPr>
    </w:p>
    <w:p>
      <w:pPr>
        <w:spacing w:line="360" w:lineRule="auto"/>
        <w:jc w:val="center"/>
        <w:rPr>
          <w:rFonts w:ascii="宋体" w:hAnsi="宋体" w:eastAsia="宋体" w:cs="宋体"/>
          <w:b/>
          <w:color w:val="auto"/>
          <w:sz w:val="24"/>
        </w:rPr>
      </w:pPr>
    </w:p>
    <w:p>
      <w:pPr>
        <w:spacing w:line="360" w:lineRule="auto"/>
        <w:jc w:val="center"/>
        <w:rPr>
          <w:rFonts w:ascii="宋体" w:hAnsi="宋体" w:eastAsia="宋体" w:cs="宋体"/>
          <w:b/>
          <w:color w:val="auto"/>
          <w:sz w:val="24"/>
        </w:rPr>
      </w:pPr>
    </w:p>
    <w:p>
      <w:pPr>
        <w:spacing w:line="380" w:lineRule="auto"/>
        <w:ind w:firstLine="3360"/>
        <w:rPr>
          <w:rFonts w:ascii="宋体" w:hAnsi="宋体" w:eastAsia="宋体" w:cs="宋体"/>
          <w:color w:val="auto"/>
          <w:sz w:val="24"/>
        </w:rPr>
      </w:pPr>
      <w:r>
        <w:rPr>
          <w:rFonts w:ascii="宋体" w:hAnsi="宋体" w:eastAsia="宋体" w:cs="宋体"/>
          <w:color w:val="auto"/>
          <w:sz w:val="24"/>
        </w:rPr>
        <w:t>投标人电子公章：</w:t>
      </w:r>
    </w:p>
    <w:p>
      <w:pPr>
        <w:spacing w:line="380" w:lineRule="auto"/>
        <w:ind w:right="640" w:firstLine="1560"/>
        <w:rPr>
          <w:rFonts w:ascii="宋体" w:hAnsi="宋体" w:eastAsia="宋体" w:cs="宋体"/>
          <w:color w:val="auto"/>
          <w:sz w:val="24"/>
        </w:rPr>
      </w:pPr>
    </w:p>
    <w:p>
      <w:pPr>
        <w:spacing w:line="360" w:lineRule="auto"/>
        <w:jc w:val="center"/>
        <w:rPr>
          <w:rFonts w:ascii="宋体" w:hAnsi="宋体" w:eastAsia="宋体" w:cs="宋体"/>
          <w:b/>
          <w:color w:val="auto"/>
          <w:sz w:val="24"/>
        </w:rPr>
      </w:pPr>
      <w:r>
        <w:rPr>
          <w:rFonts w:ascii="宋体" w:hAnsi="宋体" w:eastAsia="宋体" w:cs="宋体"/>
          <w:color w:val="auto"/>
          <w:sz w:val="24"/>
        </w:rPr>
        <w:t xml:space="preserve">      年   月    日</w:t>
      </w:r>
    </w:p>
    <w:p>
      <w:pPr>
        <w:spacing w:line="360" w:lineRule="auto"/>
        <w:jc w:val="center"/>
        <w:rPr>
          <w:rFonts w:ascii="宋体" w:hAnsi="宋体" w:eastAsia="宋体" w:cs="宋体"/>
          <w:b/>
          <w:color w:val="auto"/>
          <w:sz w:val="24"/>
        </w:rPr>
      </w:pPr>
    </w:p>
    <w:p>
      <w:pPr>
        <w:pStyle w:val="2"/>
        <w:rPr>
          <w:rFonts w:ascii="宋体" w:hAnsi="宋体" w:cs="宋体"/>
          <w:b/>
          <w:color w:val="auto"/>
          <w:sz w:val="24"/>
        </w:rPr>
      </w:pPr>
    </w:p>
    <w:p>
      <w:pPr>
        <w:pStyle w:val="3"/>
        <w:rPr>
          <w:rFonts w:ascii="宋体" w:hAnsi="宋体" w:eastAsia="宋体" w:cs="宋体"/>
          <w:b/>
          <w:color w:val="auto"/>
          <w:sz w:val="24"/>
        </w:rPr>
      </w:pPr>
    </w:p>
    <w:p>
      <w:pPr>
        <w:rPr>
          <w:rFonts w:ascii="宋体" w:hAnsi="宋体" w:eastAsia="宋体" w:cs="宋体"/>
          <w:b/>
          <w:color w:val="auto"/>
          <w:sz w:val="24"/>
        </w:rPr>
      </w:pPr>
    </w:p>
    <w:p>
      <w:pPr>
        <w:pStyle w:val="2"/>
        <w:rPr>
          <w:rFonts w:ascii="宋体" w:hAnsi="宋体" w:cs="宋体"/>
          <w:b/>
          <w:color w:val="auto"/>
          <w:sz w:val="24"/>
        </w:rPr>
      </w:pPr>
    </w:p>
    <w:p>
      <w:pPr>
        <w:pStyle w:val="3"/>
        <w:rPr>
          <w:rFonts w:ascii="宋体" w:hAnsi="宋体" w:eastAsia="宋体" w:cs="宋体"/>
          <w:b/>
          <w:color w:val="auto"/>
          <w:sz w:val="24"/>
        </w:rPr>
      </w:pPr>
    </w:p>
    <w:p>
      <w:pPr>
        <w:rPr>
          <w:rFonts w:ascii="宋体" w:hAnsi="宋体" w:eastAsia="宋体" w:cs="宋体"/>
          <w:b/>
          <w:color w:val="auto"/>
          <w:sz w:val="24"/>
        </w:rPr>
      </w:pPr>
    </w:p>
    <w:p>
      <w:pPr>
        <w:pStyle w:val="2"/>
        <w:rPr>
          <w:rFonts w:ascii="宋体" w:hAnsi="宋体" w:cs="宋体"/>
          <w:b/>
          <w:color w:val="auto"/>
          <w:sz w:val="24"/>
        </w:rPr>
      </w:pPr>
    </w:p>
    <w:p>
      <w:pPr>
        <w:pStyle w:val="3"/>
        <w:rPr>
          <w:rFonts w:ascii="宋体" w:hAnsi="宋体" w:eastAsia="宋体" w:cs="宋体"/>
          <w:b/>
          <w:color w:val="auto"/>
          <w:sz w:val="24"/>
        </w:rPr>
      </w:pPr>
    </w:p>
    <w:p>
      <w:pPr>
        <w:rPr>
          <w:rFonts w:ascii="宋体" w:hAnsi="宋体" w:eastAsia="宋体" w:cs="宋体"/>
          <w:b/>
          <w:color w:val="auto"/>
          <w:sz w:val="24"/>
        </w:rPr>
      </w:pPr>
    </w:p>
    <w:p>
      <w:pPr>
        <w:pStyle w:val="2"/>
        <w:rPr>
          <w:rFonts w:ascii="宋体" w:hAnsi="宋体" w:cs="宋体"/>
          <w:b/>
          <w:color w:val="auto"/>
          <w:sz w:val="24"/>
        </w:rPr>
      </w:pPr>
    </w:p>
    <w:p>
      <w:pPr>
        <w:spacing w:line="360" w:lineRule="auto"/>
        <w:jc w:val="center"/>
        <w:rPr>
          <w:rFonts w:ascii="宋体" w:hAnsi="宋体" w:eastAsia="宋体" w:cs="宋体"/>
          <w:b/>
          <w:color w:val="auto"/>
          <w:sz w:val="24"/>
        </w:rPr>
      </w:pPr>
      <w:r>
        <w:rPr>
          <w:rFonts w:ascii="宋体" w:hAnsi="宋体" w:eastAsia="宋体" w:cs="宋体"/>
          <w:b/>
          <w:color w:val="auto"/>
          <w:sz w:val="24"/>
        </w:rPr>
        <w:br w:type="page"/>
      </w:r>
    </w:p>
    <w:p>
      <w:pPr>
        <w:spacing w:line="360" w:lineRule="auto"/>
        <w:rPr>
          <w:rFonts w:ascii="宋体" w:hAnsi="宋体" w:eastAsia="宋体" w:cs="宋体"/>
          <w:color w:val="auto"/>
          <w:sz w:val="24"/>
        </w:rPr>
      </w:pPr>
      <w:r>
        <w:rPr>
          <w:rFonts w:ascii="宋体" w:hAnsi="宋体" w:eastAsia="宋体" w:cs="宋体"/>
          <w:color w:val="auto"/>
          <w:sz w:val="24"/>
        </w:rPr>
        <w:t>格式9</w:t>
      </w:r>
    </w:p>
    <w:p>
      <w:pPr>
        <w:jc w:val="center"/>
        <w:rPr>
          <w:rFonts w:ascii="宋体" w:hAnsi="宋体" w:eastAsia="宋体" w:cs="宋体"/>
          <w:b/>
          <w:bCs/>
          <w:color w:val="auto"/>
          <w:sz w:val="24"/>
          <w:szCs w:val="24"/>
        </w:rPr>
      </w:pPr>
      <w:r>
        <w:rPr>
          <w:rFonts w:hint="eastAsia" w:ascii="宋体" w:hAnsi="宋体" w:eastAsia="宋体" w:cs="宋体"/>
          <w:b/>
          <w:bCs/>
          <w:color w:val="auto"/>
          <w:sz w:val="24"/>
          <w:szCs w:val="24"/>
        </w:rPr>
        <w:t>中小企业声明函（货物）</w:t>
      </w:r>
    </w:p>
    <w:p>
      <w:pPr>
        <w:ind w:firstLine="480" w:firstLineChars="200"/>
        <w:rPr>
          <w:rFonts w:ascii="宋体" w:hAnsi="宋体" w:eastAsia="宋体" w:cs="宋体"/>
          <w:color w:val="auto"/>
          <w:sz w:val="24"/>
          <w:szCs w:val="24"/>
        </w:rPr>
      </w:pPr>
      <w:r>
        <w:rPr>
          <w:rFonts w:hint="eastAsia" w:ascii="宋体" w:hAnsi="宋体" w:eastAsia="宋体" w:cs="宋体"/>
          <w:color w:val="auto"/>
          <w:sz w:val="24"/>
          <w:szCs w:val="24"/>
        </w:rPr>
        <w:t>本公司（联合体）郑重声明，根据《政府采购促进中小企业发展管理办法》（财库﹝2020﹞46 号）的规定，本公司（联合体）参加</w:t>
      </w:r>
      <w:r>
        <w:rPr>
          <w:rFonts w:hint="eastAsia" w:ascii="宋体" w:hAnsi="宋体" w:eastAsia="宋体" w:cs="宋体"/>
          <w:color w:val="auto"/>
          <w:sz w:val="24"/>
          <w:szCs w:val="24"/>
          <w:u w:val="single"/>
        </w:rPr>
        <w:t>（单位名称）</w:t>
      </w:r>
      <w:r>
        <w:rPr>
          <w:rFonts w:hint="eastAsia" w:ascii="宋体" w:hAnsi="宋体" w:eastAsia="宋体" w:cs="宋体"/>
          <w:color w:val="auto"/>
          <w:sz w:val="24"/>
          <w:szCs w:val="24"/>
        </w:rPr>
        <w:t>的</w:t>
      </w:r>
      <w:r>
        <w:rPr>
          <w:rFonts w:hint="eastAsia" w:ascii="宋体" w:hAnsi="宋体" w:eastAsia="宋体" w:cs="宋体"/>
          <w:color w:val="auto"/>
          <w:sz w:val="24"/>
          <w:szCs w:val="24"/>
          <w:u w:val="single"/>
        </w:rPr>
        <w:t>（项目名称）</w:t>
      </w:r>
      <w:r>
        <w:rPr>
          <w:rFonts w:hint="eastAsia" w:ascii="宋体" w:hAnsi="宋体" w:eastAsia="宋体" w:cs="宋体"/>
          <w:color w:val="auto"/>
          <w:sz w:val="24"/>
          <w:szCs w:val="24"/>
        </w:rPr>
        <w:t>采购活动，提供的货物全部由符合政策要求的中小企业制造。相关企业（含联合体中的中小企业、签订分包意向协议的中小企业）的具体情况如下：</w:t>
      </w:r>
    </w:p>
    <w:p>
      <w:pPr>
        <w:ind w:firstLine="480" w:firstLineChars="200"/>
        <w:rPr>
          <w:rFonts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u w:val="single"/>
        </w:rPr>
        <w:t>（标的名称）</w:t>
      </w:r>
      <w:r>
        <w:rPr>
          <w:rFonts w:hint="eastAsia" w:ascii="宋体" w:hAnsi="宋体" w:eastAsia="宋体" w:cs="宋体"/>
          <w:color w:val="auto"/>
          <w:sz w:val="24"/>
          <w:szCs w:val="24"/>
        </w:rPr>
        <w:t>，属于</w:t>
      </w:r>
      <w:r>
        <w:rPr>
          <w:rFonts w:hint="eastAsia" w:ascii="宋体" w:hAnsi="宋体" w:eastAsia="宋体" w:cs="宋体"/>
          <w:color w:val="auto"/>
          <w:sz w:val="24"/>
          <w:szCs w:val="24"/>
          <w:u w:val="single"/>
        </w:rPr>
        <w:t>（采购文件中明确的所属行业）</w:t>
      </w:r>
      <w:r>
        <w:rPr>
          <w:rFonts w:hint="eastAsia" w:ascii="宋体" w:hAnsi="宋体" w:eastAsia="宋体" w:cs="宋体"/>
          <w:color w:val="auto"/>
          <w:sz w:val="24"/>
          <w:szCs w:val="24"/>
        </w:rPr>
        <w:t>行业；制造商为</w:t>
      </w:r>
      <w:r>
        <w:rPr>
          <w:rFonts w:hint="eastAsia" w:ascii="宋体" w:hAnsi="宋体" w:eastAsia="宋体" w:cs="宋体"/>
          <w:color w:val="auto"/>
          <w:sz w:val="24"/>
          <w:szCs w:val="24"/>
          <w:u w:val="single"/>
        </w:rPr>
        <w:t>（企业名称）</w:t>
      </w:r>
      <w:r>
        <w:rPr>
          <w:rFonts w:hint="eastAsia" w:ascii="宋体" w:hAnsi="宋体" w:eastAsia="宋体" w:cs="宋体"/>
          <w:color w:val="auto"/>
          <w:sz w:val="24"/>
          <w:szCs w:val="24"/>
        </w:rPr>
        <w:t>，从业人员</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人，营业收入为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万元，资产总额为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万元，属于</w:t>
      </w:r>
      <w:r>
        <w:rPr>
          <w:rFonts w:hint="eastAsia" w:ascii="宋体" w:hAnsi="宋体" w:eastAsia="宋体" w:cs="宋体"/>
          <w:color w:val="auto"/>
          <w:sz w:val="24"/>
          <w:szCs w:val="24"/>
          <w:u w:val="single"/>
        </w:rPr>
        <w:t>（中型企业、小型企业、微型企业）</w:t>
      </w:r>
      <w:r>
        <w:rPr>
          <w:rFonts w:hint="eastAsia" w:ascii="宋体" w:hAnsi="宋体" w:eastAsia="宋体" w:cs="宋体"/>
          <w:color w:val="auto"/>
          <w:sz w:val="24"/>
          <w:szCs w:val="24"/>
        </w:rPr>
        <w:t xml:space="preserve">； </w:t>
      </w:r>
    </w:p>
    <w:p>
      <w:pPr>
        <w:ind w:firstLine="480" w:firstLineChars="200"/>
        <w:rPr>
          <w:rFonts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u w:val="single"/>
        </w:rPr>
        <w:t>（标的名称）</w:t>
      </w:r>
      <w:r>
        <w:rPr>
          <w:rFonts w:hint="eastAsia" w:ascii="宋体" w:hAnsi="宋体" w:eastAsia="宋体" w:cs="宋体"/>
          <w:color w:val="auto"/>
          <w:sz w:val="24"/>
          <w:szCs w:val="24"/>
        </w:rPr>
        <w:t>，属于</w:t>
      </w:r>
      <w:r>
        <w:rPr>
          <w:rFonts w:hint="eastAsia" w:ascii="宋体" w:hAnsi="宋体" w:eastAsia="宋体" w:cs="宋体"/>
          <w:color w:val="auto"/>
          <w:sz w:val="24"/>
          <w:szCs w:val="24"/>
          <w:u w:val="single"/>
        </w:rPr>
        <w:t>（采购文件中明确的所属行业）</w:t>
      </w:r>
      <w:r>
        <w:rPr>
          <w:rFonts w:hint="eastAsia" w:ascii="宋体" w:hAnsi="宋体" w:eastAsia="宋体" w:cs="宋体"/>
          <w:color w:val="auto"/>
          <w:sz w:val="24"/>
          <w:szCs w:val="24"/>
        </w:rPr>
        <w:t>行业；制造商为</w:t>
      </w:r>
      <w:r>
        <w:rPr>
          <w:rFonts w:hint="eastAsia" w:ascii="宋体" w:hAnsi="宋体" w:eastAsia="宋体" w:cs="宋体"/>
          <w:color w:val="auto"/>
          <w:sz w:val="24"/>
          <w:szCs w:val="24"/>
          <w:u w:val="single"/>
        </w:rPr>
        <w:t>（企业名称）</w:t>
      </w:r>
      <w:r>
        <w:rPr>
          <w:rFonts w:hint="eastAsia" w:ascii="宋体" w:hAnsi="宋体" w:eastAsia="宋体" w:cs="宋体"/>
          <w:color w:val="auto"/>
          <w:sz w:val="24"/>
          <w:szCs w:val="24"/>
        </w:rPr>
        <w:t>，从业人员</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人，营业收入为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万元，资产总额为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万元，属于</w:t>
      </w:r>
      <w:r>
        <w:rPr>
          <w:rFonts w:hint="eastAsia" w:ascii="宋体" w:hAnsi="宋体" w:eastAsia="宋体" w:cs="宋体"/>
          <w:color w:val="auto"/>
          <w:sz w:val="24"/>
          <w:szCs w:val="24"/>
          <w:u w:val="single"/>
        </w:rPr>
        <w:t>（中型企业、小型企业、微型企业）；</w:t>
      </w:r>
      <w:r>
        <w:rPr>
          <w:rFonts w:hint="eastAsia" w:ascii="宋体" w:hAnsi="宋体" w:eastAsia="宋体" w:cs="宋体"/>
          <w:color w:val="auto"/>
          <w:sz w:val="24"/>
          <w:szCs w:val="24"/>
        </w:rPr>
        <w:t xml:space="preserve"> </w:t>
      </w:r>
    </w:p>
    <w:p>
      <w:pPr>
        <w:rPr>
          <w:rFonts w:ascii="宋体" w:hAnsi="宋体" w:eastAsia="宋体" w:cs="宋体"/>
          <w:color w:val="auto"/>
          <w:sz w:val="24"/>
          <w:szCs w:val="24"/>
        </w:rPr>
      </w:pPr>
      <w:r>
        <w:rPr>
          <w:rFonts w:hint="eastAsia" w:ascii="宋体" w:hAnsi="宋体" w:eastAsia="宋体" w:cs="宋体"/>
          <w:color w:val="auto"/>
          <w:sz w:val="24"/>
          <w:szCs w:val="24"/>
        </w:rPr>
        <w:t>……</w:t>
      </w:r>
    </w:p>
    <w:p>
      <w:pPr>
        <w:ind w:firstLine="480" w:firstLineChars="200"/>
        <w:rPr>
          <w:rFonts w:ascii="宋体" w:hAnsi="宋体" w:eastAsia="宋体" w:cs="宋体"/>
          <w:color w:val="auto"/>
          <w:sz w:val="24"/>
          <w:szCs w:val="24"/>
        </w:rPr>
      </w:pPr>
      <w:r>
        <w:rPr>
          <w:rFonts w:hint="eastAsia" w:ascii="宋体" w:hAnsi="宋体" w:eastAsia="宋体" w:cs="宋体"/>
          <w:color w:val="auto"/>
          <w:sz w:val="24"/>
          <w:szCs w:val="24"/>
        </w:rPr>
        <w:t>以上企业，不属于大企业的分支机构，不存在控股股东 为大企业的情形，也不存在与大企业的负责人为同一人的情形。</w:t>
      </w:r>
    </w:p>
    <w:p>
      <w:pPr>
        <w:ind w:firstLine="480" w:firstLineChars="200"/>
        <w:rPr>
          <w:rFonts w:ascii="宋体" w:hAnsi="宋体" w:eastAsia="宋体" w:cs="宋体"/>
          <w:color w:val="auto"/>
          <w:sz w:val="24"/>
          <w:szCs w:val="24"/>
        </w:rPr>
      </w:pPr>
      <w:r>
        <w:rPr>
          <w:rFonts w:hint="eastAsia" w:ascii="宋体" w:hAnsi="宋体" w:eastAsia="宋体" w:cs="宋体"/>
          <w:color w:val="auto"/>
          <w:sz w:val="24"/>
          <w:szCs w:val="24"/>
        </w:rPr>
        <w:t>本企业对上述声明内容的真实性负责。如有虚假，将依 法承担相应责任。</w:t>
      </w:r>
    </w:p>
    <w:p>
      <w:pPr>
        <w:ind w:firstLine="3840" w:firstLineChars="1600"/>
        <w:rPr>
          <w:rFonts w:ascii="宋体" w:hAnsi="宋体" w:eastAsia="宋体" w:cs="宋体"/>
          <w:color w:val="auto"/>
          <w:sz w:val="24"/>
          <w:szCs w:val="24"/>
        </w:rPr>
      </w:pPr>
      <w:r>
        <w:rPr>
          <w:rFonts w:hint="eastAsia" w:ascii="宋体" w:hAnsi="宋体" w:eastAsia="宋体" w:cs="宋体"/>
          <w:color w:val="auto"/>
          <w:sz w:val="24"/>
          <w:szCs w:val="24"/>
        </w:rPr>
        <w:t xml:space="preserve">企业名称（盖章）： </w:t>
      </w:r>
    </w:p>
    <w:p>
      <w:pPr>
        <w:spacing w:line="360" w:lineRule="auto"/>
        <w:ind w:firstLine="5040" w:firstLineChars="2100"/>
        <w:rPr>
          <w:rFonts w:ascii="宋体" w:hAnsi="宋体" w:eastAsia="宋体" w:cs="宋体"/>
          <w:color w:val="auto"/>
          <w:sz w:val="24"/>
          <w:szCs w:val="24"/>
        </w:rPr>
      </w:pPr>
      <w:r>
        <w:rPr>
          <w:rFonts w:hint="eastAsia" w:ascii="宋体" w:hAnsi="宋体" w:eastAsia="宋体" w:cs="宋体"/>
          <w:color w:val="auto"/>
          <w:sz w:val="24"/>
          <w:szCs w:val="24"/>
        </w:rPr>
        <w:t>日 期：</w:t>
      </w:r>
    </w:p>
    <w:p>
      <w:pPr>
        <w:spacing w:line="360" w:lineRule="auto"/>
        <w:rPr>
          <w:rFonts w:ascii="宋体" w:hAnsi="宋体" w:eastAsia="宋体" w:cs="宋体"/>
          <w:color w:val="auto"/>
          <w:sz w:val="24"/>
        </w:rPr>
      </w:pPr>
    </w:p>
    <w:p>
      <w:pPr>
        <w:rPr>
          <w:color w:val="auto"/>
        </w:rPr>
      </w:pPr>
    </w:p>
    <w:p>
      <w:pPr>
        <w:spacing w:line="360" w:lineRule="auto"/>
        <w:ind w:firstLine="420" w:firstLineChars="200"/>
        <w:rPr>
          <w:rFonts w:ascii="Times New Roman" w:hAnsi="Times New Roman" w:eastAsia="宋体" w:cs="Times New Roman"/>
          <w:color w:val="auto"/>
        </w:rPr>
      </w:pPr>
      <w:r>
        <w:rPr>
          <w:rFonts w:hint="eastAsia" w:ascii="Times New Roman" w:hAnsi="Times New Roman" w:eastAsia="宋体" w:cs="Times New Roman"/>
          <w:color w:val="auto"/>
        </w:rPr>
        <w:t>注：1.从业人员、营业收入、资产总额填报上一年度数据，无上一年度数据的新成立企业可不填报。</w:t>
      </w:r>
    </w:p>
    <w:p>
      <w:pPr>
        <w:spacing w:line="360" w:lineRule="auto"/>
        <w:ind w:firstLine="420" w:firstLineChars="200"/>
        <w:rPr>
          <w:rFonts w:ascii="Times New Roman" w:hAnsi="Times New Roman" w:eastAsia="宋体" w:cs="Times New Roman"/>
          <w:color w:val="auto"/>
        </w:rPr>
      </w:pPr>
      <w:r>
        <w:rPr>
          <w:rFonts w:hint="eastAsia" w:ascii="Times New Roman" w:hAnsi="Times New Roman" w:eastAsia="宋体" w:cs="Times New Roman"/>
          <w:color w:val="auto"/>
        </w:rPr>
        <w:t>2.本项目如是只面向中小企业采购的应当必须提供。</w:t>
      </w:r>
    </w:p>
    <w:p>
      <w:pPr>
        <w:spacing w:line="360" w:lineRule="auto"/>
        <w:rPr>
          <w:rFonts w:ascii="宋体" w:hAnsi="宋体" w:eastAsia="宋体" w:cs="宋体"/>
          <w:color w:val="auto"/>
          <w:sz w:val="24"/>
        </w:rPr>
      </w:pPr>
    </w:p>
    <w:p>
      <w:pPr>
        <w:spacing w:line="360" w:lineRule="auto"/>
        <w:rPr>
          <w:rFonts w:ascii="宋体" w:hAnsi="宋体" w:eastAsia="宋体" w:cs="宋体"/>
          <w:color w:val="auto"/>
          <w:sz w:val="24"/>
        </w:rPr>
      </w:pPr>
    </w:p>
    <w:p>
      <w:pPr>
        <w:pStyle w:val="2"/>
        <w:rPr>
          <w:rFonts w:ascii="宋体" w:hAnsi="宋体" w:cs="宋体"/>
          <w:color w:val="auto"/>
          <w:sz w:val="24"/>
        </w:rPr>
      </w:pPr>
    </w:p>
    <w:p>
      <w:pPr>
        <w:pStyle w:val="3"/>
        <w:rPr>
          <w:rFonts w:ascii="宋体" w:hAnsi="宋体" w:eastAsia="宋体" w:cs="宋体"/>
          <w:color w:val="auto"/>
          <w:sz w:val="24"/>
        </w:rPr>
      </w:pPr>
    </w:p>
    <w:p>
      <w:pPr>
        <w:rPr>
          <w:rFonts w:ascii="宋体" w:hAnsi="宋体" w:eastAsia="宋体" w:cs="宋体"/>
          <w:color w:val="auto"/>
          <w:sz w:val="24"/>
        </w:rPr>
      </w:pPr>
    </w:p>
    <w:p>
      <w:pPr>
        <w:pStyle w:val="2"/>
        <w:rPr>
          <w:rFonts w:ascii="宋体" w:hAnsi="宋体" w:cs="宋体"/>
          <w:color w:val="auto"/>
          <w:sz w:val="24"/>
        </w:rPr>
      </w:pPr>
    </w:p>
    <w:p>
      <w:pPr>
        <w:pStyle w:val="3"/>
        <w:rPr>
          <w:rFonts w:ascii="宋体" w:hAnsi="宋体" w:eastAsia="宋体" w:cs="宋体"/>
          <w:color w:val="auto"/>
          <w:sz w:val="24"/>
        </w:rPr>
      </w:pPr>
    </w:p>
    <w:p>
      <w:pPr>
        <w:rPr>
          <w:rFonts w:ascii="宋体" w:hAnsi="宋体" w:eastAsia="宋体" w:cs="宋体"/>
          <w:color w:val="auto"/>
          <w:sz w:val="24"/>
        </w:rPr>
      </w:pPr>
    </w:p>
    <w:p>
      <w:pPr>
        <w:pStyle w:val="13"/>
        <w:ind w:firstLine="240"/>
        <w:rPr>
          <w:rFonts w:ascii="宋体" w:hAnsi="宋体" w:eastAsia="宋体" w:cs="宋体"/>
          <w:color w:val="auto"/>
          <w:sz w:val="24"/>
        </w:rPr>
      </w:pPr>
    </w:p>
    <w:p>
      <w:pPr>
        <w:pStyle w:val="13"/>
        <w:ind w:firstLine="240"/>
        <w:rPr>
          <w:rFonts w:ascii="宋体" w:hAnsi="宋体" w:eastAsia="宋体" w:cs="宋体"/>
          <w:color w:val="auto"/>
          <w:sz w:val="24"/>
        </w:rPr>
      </w:pPr>
    </w:p>
    <w:p>
      <w:pPr>
        <w:pStyle w:val="13"/>
        <w:ind w:firstLine="240"/>
        <w:rPr>
          <w:rFonts w:ascii="宋体" w:hAnsi="宋体" w:eastAsia="宋体" w:cs="宋体"/>
          <w:color w:val="auto"/>
          <w:sz w:val="24"/>
        </w:rPr>
      </w:pPr>
    </w:p>
    <w:p>
      <w:pPr>
        <w:pStyle w:val="13"/>
        <w:ind w:firstLine="240"/>
        <w:rPr>
          <w:rFonts w:ascii="宋体" w:hAnsi="宋体" w:eastAsia="宋体" w:cs="宋体"/>
          <w:color w:val="auto"/>
          <w:sz w:val="24"/>
        </w:rPr>
      </w:pPr>
    </w:p>
    <w:p>
      <w:pPr>
        <w:pStyle w:val="13"/>
        <w:ind w:firstLine="240"/>
        <w:rPr>
          <w:rFonts w:ascii="宋体" w:hAnsi="宋体" w:eastAsia="宋体" w:cs="宋体"/>
          <w:color w:val="auto"/>
          <w:sz w:val="24"/>
        </w:rPr>
      </w:pPr>
    </w:p>
    <w:p>
      <w:pPr>
        <w:rPr>
          <w:color w:val="auto"/>
        </w:rPr>
      </w:pPr>
    </w:p>
    <w:p>
      <w:pPr>
        <w:spacing w:line="360" w:lineRule="auto"/>
        <w:ind w:firstLine="480" w:firstLineChars="200"/>
        <w:rPr>
          <w:rFonts w:ascii="宋体" w:hAnsi="宋体" w:eastAsia="宋体" w:cs="宋体"/>
          <w:color w:val="auto"/>
          <w:sz w:val="24"/>
        </w:rPr>
      </w:pPr>
      <w:r>
        <w:rPr>
          <w:rFonts w:ascii="宋体" w:hAnsi="宋体" w:eastAsia="宋体" w:cs="宋体"/>
          <w:color w:val="auto"/>
          <w:sz w:val="24"/>
        </w:rPr>
        <w:t>格式</w:t>
      </w:r>
      <w:r>
        <w:rPr>
          <w:rFonts w:hint="eastAsia" w:ascii="宋体" w:hAnsi="宋体" w:eastAsia="宋体" w:cs="宋体"/>
          <w:color w:val="auto"/>
          <w:sz w:val="24"/>
        </w:rPr>
        <w:t>10</w:t>
      </w:r>
      <w:r>
        <w:rPr>
          <w:rFonts w:ascii="宋体" w:hAnsi="宋体" w:eastAsia="宋体" w:cs="宋体"/>
          <w:color w:val="auto"/>
          <w:sz w:val="24"/>
        </w:rPr>
        <w:t xml:space="preserve">  其他资料</w:t>
      </w:r>
    </w:p>
    <w:p>
      <w:pPr>
        <w:ind w:firstLine="240"/>
        <w:jc w:val="left"/>
        <w:rPr>
          <w:rFonts w:ascii="宋体" w:hAnsi="宋体" w:eastAsia="宋体" w:cs="宋体"/>
          <w:color w:val="auto"/>
          <w:sz w:val="24"/>
        </w:rPr>
      </w:pPr>
    </w:p>
    <w:p>
      <w:pPr>
        <w:ind w:firstLine="321"/>
        <w:jc w:val="center"/>
        <w:rPr>
          <w:rFonts w:ascii="宋体" w:hAnsi="宋体" w:eastAsia="宋体" w:cs="宋体"/>
          <w:b/>
          <w:color w:val="auto"/>
          <w:sz w:val="32"/>
        </w:rPr>
      </w:pPr>
    </w:p>
    <w:p>
      <w:pPr>
        <w:ind w:firstLine="321"/>
        <w:jc w:val="center"/>
        <w:rPr>
          <w:rFonts w:ascii="宋体" w:hAnsi="宋体" w:eastAsia="宋体" w:cs="宋体"/>
          <w:b/>
          <w:color w:val="auto"/>
          <w:sz w:val="32"/>
        </w:rPr>
      </w:pPr>
    </w:p>
    <w:p>
      <w:pPr>
        <w:ind w:firstLine="321"/>
        <w:jc w:val="center"/>
        <w:rPr>
          <w:rFonts w:ascii="宋体" w:hAnsi="宋体" w:eastAsia="宋体" w:cs="宋体"/>
          <w:b/>
          <w:color w:val="auto"/>
          <w:sz w:val="32"/>
        </w:rPr>
      </w:pPr>
    </w:p>
    <w:p>
      <w:pPr>
        <w:ind w:firstLine="321"/>
        <w:jc w:val="center"/>
        <w:rPr>
          <w:rFonts w:ascii="宋体" w:hAnsi="宋体" w:eastAsia="宋体" w:cs="宋体"/>
          <w:b/>
          <w:color w:val="auto"/>
          <w:sz w:val="32"/>
        </w:rPr>
      </w:pPr>
    </w:p>
    <w:p>
      <w:pPr>
        <w:ind w:firstLine="321"/>
        <w:jc w:val="center"/>
        <w:rPr>
          <w:rFonts w:ascii="宋体" w:hAnsi="宋体" w:eastAsia="宋体" w:cs="宋体"/>
          <w:b/>
          <w:color w:val="auto"/>
          <w:sz w:val="32"/>
        </w:rPr>
      </w:pPr>
    </w:p>
    <w:p>
      <w:pPr>
        <w:ind w:firstLine="321"/>
        <w:jc w:val="center"/>
        <w:rPr>
          <w:rFonts w:ascii="宋体" w:hAnsi="宋体" w:eastAsia="宋体" w:cs="宋体"/>
          <w:b/>
          <w:color w:val="auto"/>
          <w:sz w:val="32"/>
        </w:rPr>
      </w:pPr>
    </w:p>
    <w:p>
      <w:pPr>
        <w:ind w:firstLine="321"/>
        <w:jc w:val="center"/>
        <w:rPr>
          <w:rFonts w:ascii="宋体" w:hAnsi="宋体" w:eastAsia="宋体" w:cs="宋体"/>
          <w:b/>
          <w:color w:val="auto"/>
          <w:sz w:val="32"/>
        </w:rPr>
      </w:pPr>
    </w:p>
    <w:p>
      <w:pPr>
        <w:ind w:firstLine="321"/>
        <w:jc w:val="center"/>
        <w:rPr>
          <w:rFonts w:ascii="宋体" w:hAnsi="宋体" w:eastAsia="宋体" w:cs="宋体"/>
          <w:b/>
          <w:color w:val="auto"/>
          <w:sz w:val="32"/>
        </w:rPr>
      </w:pPr>
    </w:p>
    <w:p>
      <w:pPr>
        <w:ind w:firstLine="321"/>
        <w:jc w:val="center"/>
        <w:rPr>
          <w:rFonts w:ascii="宋体" w:hAnsi="宋体" w:eastAsia="宋体" w:cs="宋体"/>
          <w:b/>
          <w:color w:val="auto"/>
          <w:sz w:val="32"/>
        </w:rPr>
      </w:pPr>
    </w:p>
    <w:p>
      <w:pPr>
        <w:ind w:firstLine="321"/>
        <w:jc w:val="center"/>
        <w:rPr>
          <w:rFonts w:ascii="宋体" w:hAnsi="宋体" w:eastAsia="宋体" w:cs="宋体"/>
          <w:b/>
          <w:color w:val="auto"/>
          <w:sz w:val="32"/>
        </w:rPr>
      </w:pPr>
    </w:p>
    <w:p>
      <w:pPr>
        <w:ind w:firstLine="321"/>
        <w:jc w:val="center"/>
        <w:rPr>
          <w:rFonts w:ascii="宋体" w:hAnsi="宋体" w:eastAsia="宋体" w:cs="宋体"/>
          <w:b/>
          <w:color w:val="auto"/>
          <w:sz w:val="32"/>
        </w:rPr>
      </w:pPr>
    </w:p>
    <w:p>
      <w:pPr>
        <w:jc w:val="left"/>
        <w:rPr>
          <w:rFonts w:ascii="宋体" w:hAnsi="宋体" w:eastAsia="宋体" w:cs="宋体"/>
          <w:color w:val="auto"/>
          <w:sz w:val="24"/>
        </w:rPr>
      </w:pPr>
    </w:p>
    <w:p>
      <w:pPr>
        <w:pStyle w:val="2"/>
        <w:rPr>
          <w:rFonts w:ascii="宋体" w:hAnsi="宋体" w:cs="宋体"/>
          <w:color w:val="auto"/>
          <w:sz w:val="24"/>
        </w:rPr>
      </w:pPr>
    </w:p>
    <w:p>
      <w:pPr>
        <w:pStyle w:val="3"/>
        <w:rPr>
          <w:rFonts w:ascii="宋体" w:hAnsi="宋体" w:eastAsia="宋体" w:cs="宋体"/>
          <w:color w:val="auto"/>
          <w:sz w:val="24"/>
        </w:rPr>
      </w:pPr>
    </w:p>
    <w:p>
      <w:pPr>
        <w:rPr>
          <w:rFonts w:ascii="宋体" w:hAnsi="宋体" w:eastAsia="宋体" w:cs="宋体"/>
          <w:color w:val="auto"/>
          <w:sz w:val="24"/>
        </w:rPr>
      </w:pPr>
    </w:p>
    <w:p>
      <w:pPr>
        <w:pStyle w:val="2"/>
        <w:rPr>
          <w:rFonts w:ascii="宋体" w:hAnsi="宋体" w:cs="宋体"/>
          <w:color w:val="auto"/>
          <w:sz w:val="24"/>
        </w:rPr>
      </w:pPr>
    </w:p>
    <w:p>
      <w:pPr>
        <w:pStyle w:val="3"/>
        <w:rPr>
          <w:rFonts w:ascii="宋体" w:hAnsi="宋体" w:eastAsia="宋体" w:cs="宋体"/>
          <w:color w:val="auto"/>
          <w:sz w:val="24"/>
        </w:rPr>
      </w:pPr>
    </w:p>
    <w:p>
      <w:pPr>
        <w:rPr>
          <w:rFonts w:ascii="宋体" w:hAnsi="宋体" w:eastAsia="宋体" w:cs="宋体"/>
          <w:color w:val="auto"/>
          <w:sz w:val="24"/>
        </w:rPr>
      </w:pPr>
    </w:p>
    <w:p>
      <w:pPr>
        <w:pStyle w:val="2"/>
        <w:rPr>
          <w:rFonts w:ascii="宋体" w:hAnsi="宋体" w:cs="宋体"/>
          <w:color w:val="auto"/>
          <w:sz w:val="24"/>
        </w:rPr>
      </w:pPr>
    </w:p>
    <w:p>
      <w:pPr>
        <w:pStyle w:val="3"/>
        <w:rPr>
          <w:rFonts w:ascii="宋体" w:hAnsi="宋体" w:eastAsia="宋体" w:cs="宋体"/>
          <w:color w:val="auto"/>
          <w:sz w:val="24"/>
        </w:rPr>
      </w:pPr>
    </w:p>
    <w:p>
      <w:pPr>
        <w:rPr>
          <w:rFonts w:ascii="宋体" w:hAnsi="宋体" w:eastAsia="宋体" w:cs="宋体"/>
          <w:color w:val="auto"/>
          <w:sz w:val="24"/>
        </w:rPr>
      </w:pPr>
    </w:p>
    <w:p>
      <w:pPr>
        <w:rPr>
          <w:rFonts w:ascii="宋体" w:hAnsi="宋体" w:eastAsia="宋体" w:cs="宋体"/>
          <w:color w:val="auto"/>
          <w:sz w:val="24"/>
        </w:rPr>
      </w:pPr>
      <w:r>
        <w:rPr>
          <w:rFonts w:hint="eastAsia" w:ascii="宋体" w:hAnsi="宋体" w:eastAsia="宋体" w:cs="宋体"/>
          <w:color w:val="auto"/>
          <w:sz w:val="24"/>
        </w:rPr>
        <w:t>、</w:t>
      </w:r>
    </w:p>
    <w:p>
      <w:pPr>
        <w:pStyle w:val="13"/>
        <w:ind w:firstLine="240"/>
        <w:rPr>
          <w:rFonts w:ascii="宋体" w:hAnsi="宋体" w:eastAsia="宋体" w:cs="宋体"/>
          <w:color w:val="auto"/>
          <w:sz w:val="24"/>
        </w:rPr>
      </w:pPr>
    </w:p>
    <w:p>
      <w:pPr>
        <w:pStyle w:val="13"/>
        <w:ind w:firstLine="240"/>
        <w:rPr>
          <w:rFonts w:ascii="宋体" w:hAnsi="宋体" w:eastAsia="宋体" w:cs="宋体"/>
          <w:color w:val="auto"/>
          <w:sz w:val="24"/>
        </w:rPr>
      </w:pPr>
    </w:p>
    <w:p>
      <w:pPr>
        <w:pStyle w:val="13"/>
        <w:ind w:firstLine="240"/>
        <w:rPr>
          <w:rFonts w:ascii="宋体" w:hAnsi="宋体" w:eastAsia="宋体" w:cs="宋体"/>
          <w:color w:val="auto"/>
          <w:sz w:val="24"/>
        </w:rPr>
      </w:pPr>
    </w:p>
    <w:p>
      <w:pPr>
        <w:pStyle w:val="2"/>
        <w:rPr>
          <w:rFonts w:ascii="宋体" w:hAnsi="宋体" w:cs="宋体"/>
          <w:color w:val="auto"/>
          <w:sz w:val="24"/>
        </w:rPr>
      </w:pPr>
      <w:r>
        <w:rPr>
          <w:rFonts w:ascii="宋体" w:hAnsi="宋体" w:cs="宋体"/>
          <w:color w:val="auto"/>
          <w:sz w:val="24"/>
        </w:rPr>
        <w:br w:type="page"/>
      </w:r>
    </w:p>
    <w:p>
      <w:pPr>
        <w:spacing w:line="360" w:lineRule="auto"/>
        <w:rPr>
          <w:rFonts w:ascii="宋体" w:hAnsi="宋体" w:eastAsia="宋体" w:cs="宋体"/>
          <w:b/>
          <w:color w:val="auto"/>
          <w:szCs w:val="21"/>
        </w:rPr>
      </w:pPr>
      <w:r>
        <w:rPr>
          <w:rFonts w:hint="eastAsia" w:ascii="宋体" w:hAnsi="宋体" w:eastAsia="宋体" w:cs="宋体"/>
          <w:color w:val="auto"/>
          <w:szCs w:val="21"/>
        </w:rPr>
        <w:t>格式11</w:t>
      </w:r>
    </w:p>
    <w:p>
      <w:pPr>
        <w:spacing w:line="380" w:lineRule="auto"/>
        <w:jc w:val="center"/>
        <w:rPr>
          <w:rFonts w:ascii="宋体" w:hAnsi="宋体" w:eastAsia="宋体" w:cs="宋体"/>
          <w:b/>
          <w:color w:val="auto"/>
          <w:szCs w:val="21"/>
        </w:rPr>
      </w:pPr>
      <w:r>
        <w:rPr>
          <w:rFonts w:hint="eastAsia" w:ascii="宋体" w:hAnsi="宋体" w:eastAsia="宋体" w:cs="宋体"/>
          <w:b/>
          <w:color w:val="auto"/>
          <w:szCs w:val="21"/>
        </w:rPr>
        <w:t>政府采购供应商诚信承诺书</w:t>
      </w:r>
    </w:p>
    <w:p>
      <w:pPr>
        <w:spacing w:line="380" w:lineRule="auto"/>
        <w:jc w:val="center"/>
        <w:rPr>
          <w:rFonts w:ascii="宋体" w:hAnsi="宋体" w:eastAsia="宋体" w:cs="宋体"/>
          <w:b/>
          <w:color w:val="auto"/>
          <w:szCs w:val="21"/>
        </w:rPr>
      </w:pPr>
    </w:p>
    <w:p>
      <w:pPr>
        <w:spacing w:line="380" w:lineRule="auto"/>
        <w:ind w:firstLine="720"/>
        <w:rPr>
          <w:rFonts w:ascii="宋体" w:hAnsi="宋体" w:eastAsia="宋体" w:cs="宋体"/>
          <w:color w:val="auto"/>
          <w:szCs w:val="21"/>
        </w:rPr>
      </w:pPr>
      <w:r>
        <w:rPr>
          <w:rFonts w:hint="eastAsia" w:ascii="宋体" w:hAnsi="宋体" w:eastAsia="宋体" w:cs="宋体"/>
          <w:color w:val="auto"/>
          <w:szCs w:val="21"/>
        </w:rPr>
        <w:t>我公司自愿参与政府采购活动，严格遵守《中华人民共和国政府采购法》等相关法律法规的规定，坚守公平竞争，并无条件地遵守采购活动的各项规定，我们郑重承诺：如果在政府采购招标活动中有以下情形的,愿接受政府采购监管部门给予相关处罚并承担法律责任。</w:t>
      </w:r>
    </w:p>
    <w:p>
      <w:pPr>
        <w:spacing w:line="380" w:lineRule="auto"/>
        <w:rPr>
          <w:rFonts w:ascii="宋体" w:hAnsi="宋体" w:eastAsia="宋体" w:cs="宋体"/>
          <w:color w:val="auto"/>
          <w:szCs w:val="21"/>
        </w:rPr>
      </w:pPr>
      <w:r>
        <w:rPr>
          <w:rFonts w:hint="eastAsia" w:ascii="宋体" w:hAnsi="宋体" w:eastAsia="宋体" w:cs="宋体"/>
          <w:color w:val="auto"/>
          <w:szCs w:val="21"/>
        </w:rPr>
        <w:t>（一）提供虚假材料谋取中标;</w:t>
      </w:r>
    </w:p>
    <w:p>
      <w:pPr>
        <w:spacing w:line="380" w:lineRule="auto"/>
        <w:rPr>
          <w:rFonts w:ascii="宋体" w:hAnsi="宋体" w:eastAsia="宋体" w:cs="宋体"/>
          <w:color w:val="auto"/>
          <w:szCs w:val="21"/>
        </w:rPr>
      </w:pPr>
      <w:r>
        <w:rPr>
          <w:rFonts w:hint="eastAsia" w:ascii="宋体" w:hAnsi="宋体" w:eastAsia="宋体" w:cs="宋体"/>
          <w:color w:val="auto"/>
          <w:szCs w:val="21"/>
        </w:rPr>
        <w:t>（二）采取不正当手段诋毁、排挤其他供应商;</w:t>
      </w:r>
    </w:p>
    <w:p>
      <w:pPr>
        <w:spacing w:line="380" w:lineRule="auto"/>
        <w:rPr>
          <w:rFonts w:ascii="宋体" w:hAnsi="宋体" w:eastAsia="宋体" w:cs="宋体"/>
          <w:color w:val="auto"/>
          <w:szCs w:val="21"/>
        </w:rPr>
      </w:pPr>
      <w:r>
        <w:rPr>
          <w:rFonts w:hint="eastAsia" w:ascii="宋体" w:hAnsi="宋体" w:eastAsia="宋体" w:cs="宋体"/>
          <w:color w:val="auto"/>
          <w:szCs w:val="21"/>
        </w:rPr>
        <w:t>（三）与招标采购单位、其他投标人恶意串通;</w:t>
      </w:r>
    </w:p>
    <w:p>
      <w:pPr>
        <w:spacing w:line="380" w:lineRule="auto"/>
        <w:rPr>
          <w:rFonts w:ascii="宋体" w:hAnsi="宋体" w:eastAsia="宋体" w:cs="宋体"/>
          <w:color w:val="auto"/>
          <w:szCs w:val="21"/>
        </w:rPr>
      </w:pPr>
      <w:r>
        <w:rPr>
          <w:rFonts w:hint="eastAsia" w:ascii="宋体" w:hAnsi="宋体" w:eastAsia="宋体" w:cs="宋体"/>
          <w:color w:val="auto"/>
          <w:szCs w:val="21"/>
        </w:rPr>
        <w:t>（四）向招标采购单位或提供其他不正当利益;</w:t>
      </w:r>
    </w:p>
    <w:p>
      <w:pPr>
        <w:spacing w:line="380" w:lineRule="auto"/>
        <w:rPr>
          <w:rFonts w:ascii="宋体" w:hAnsi="宋体" w:eastAsia="宋体" w:cs="宋体"/>
          <w:color w:val="auto"/>
          <w:szCs w:val="21"/>
        </w:rPr>
      </w:pPr>
      <w:r>
        <w:rPr>
          <w:rFonts w:hint="eastAsia" w:ascii="宋体" w:hAnsi="宋体" w:eastAsia="宋体" w:cs="宋体"/>
          <w:color w:val="auto"/>
          <w:szCs w:val="21"/>
        </w:rPr>
        <w:t>（五）在招标过程中与招标采购单位进行协商谈判、不按照招标文件和投标文件订立合同，或者与采购人另立背离合同实质性内容协议;</w:t>
      </w:r>
    </w:p>
    <w:p>
      <w:pPr>
        <w:spacing w:line="380" w:lineRule="auto"/>
        <w:rPr>
          <w:rFonts w:ascii="宋体" w:hAnsi="宋体" w:eastAsia="宋体" w:cs="宋体"/>
          <w:color w:val="auto"/>
          <w:szCs w:val="21"/>
        </w:rPr>
      </w:pPr>
      <w:r>
        <w:rPr>
          <w:rFonts w:hint="eastAsia" w:ascii="宋体" w:hAnsi="宋体" w:eastAsia="宋体" w:cs="宋体"/>
          <w:color w:val="auto"/>
          <w:szCs w:val="21"/>
        </w:rPr>
        <w:t>（六）开标后擅自撤销投标，影响招标继续进行的或领取招标文件纳投标保证金后不投标导致废标;</w:t>
      </w:r>
    </w:p>
    <w:p>
      <w:pPr>
        <w:spacing w:line="380" w:lineRule="auto"/>
        <w:rPr>
          <w:rFonts w:ascii="宋体" w:hAnsi="宋体" w:eastAsia="宋体" w:cs="宋体"/>
          <w:color w:val="auto"/>
          <w:szCs w:val="21"/>
        </w:rPr>
      </w:pPr>
      <w:r>
        <w:rPr>
          <w:rFonts w:hint="eastAsia" w:ascii="宋体" w:hAnsi="宋体" w:eastAsia="宋体" w:cs="宋体"/>
          <w:color w:val="auto"/>
          <w:szCs w:val="21"/>
        </w:rPr>
        <w:t>（七）中标后无正当理由，在规定时间内不与采购单位签订合同;</w:t>
      </w:r>
    </w:p>
    <w:p>
      <w:pPr>
        <w:spacing w:line="380" w:lineRule="auto"/>
        <w:rPr>
          <w:rFonts w:ascii="宋体" w:hAnsi="宋体" w:eastAsia="宋体" w:cs="宋体"/>
          <w:color w:val="auto"/>
          <w:szCs w:val="21"/>
        </w:rPr>
      </w:pPr>
      <w:r>
        <w:rPr>
          <w:rFonts w:hint="eastAsia" w:ascii="宋体" w:hAnsi="宋体" w:eastAsia="宋体" w:cs="宋体"/>
          <w:color w:val="auto"/>
          <w:szCs w:val="21"/>
        </w:rPr>
        <w:t>（八）将中标项目转让给他人或非法分包他人;</w:t>
      </w:r>
    </w:p>
    <w:p>
      <w:pPr>
        <w:spacing w:line="380" w:lineRule="auto"/>
        <w:rPr>
          <w:rFonts w:ascii="宋体" w:hAnsi="宋体" w:eastAsia="宋体" w:cs="宋体"/>
          <w:color w:val="auto"/>
          <w:szCs w:val="21"/>
        </w:rPr>
      </w:pPr>
      <w:r>
        <w:rPr>
          <w:rFonts w:hint="eastAsia" w:ascii="宋体" w:hAnsi="宋体" w:eastAsia="宋体" w:cs="宋体"/>
          <w:color w:val="auto"/>
          <w:szCs w:val="21"/>
        </w:rPr>
        <w:t>（九）无正当理由，拒绝履行合同义务;</w:t>
      </w:r>
    </w:p>
    <w:p>
      <w:pPr>
        <w:spacing w:line="380" w:lineRule="auto"/>
        <w:rPr>
          <w:rFonts w:ascii="宋体" w:hAnsi="宋体" w:eastAsia="宋体" w:cs="宋体"/>
          <w:color w:val="auto"/>
          <w:szCs w:val="21"/>
        </w:rPr>
      </w:pPr>
      <w:r>
        <w:rPr>
          <w:rFonts w:hint="eastAsia" w:ascii="宋体" w:hAnsi="宋体" w:eastAsia="宋体" w:cs="宋体"/>
          <w:color w:val="auto"/>
          <w:szCs w:val="21"/>
        </w:rPr>
        <w:t>（十）无正当理由放弃中标（成交）项目;</w:t>
      </w:r>
    </w:p>
    <w:p>
      <w:pPr>
        <w:spacing w:line="380" w:lineRule="auto"/>
        <w:rPr>
          <w:rFonts w:ascii="宋体" w:hAnsi="宋体" w:eastAsia="宋体" w:cs="宋体"/>
          <w:color w:val="auto"/>
          <w:szCs w:val="21"/>
        </w:rPr>
      </w:pPr>
      <w:r>
        <w:rPr>
          <w:rFonts w:hint="eastAsia" w:ascii="宋体" w:hAnsi="宋体" w:eastAsia="宋体" w:cs="宋体"/>
          <w:color w:val="auto"/>
          <w:szCs w:val="21"/>
        </w:rPr>
        <w:t>（十ー）撞自或与与采购人串通或接受采购人要求，在履约合同中通过减少货物数量，更换品牌、降低配置、技术要求、质量和服务标准等，却仍按原合同进行虚假验收或终止政府采购合同;</w:t>
      </w:r>
    </w:p>
    <w:p>
      <w:pPr>
        <w:spacing w:line="380" w:lineRule="auto"/>
        <w:rPr>
          <w:rFonts w:ascii="宋体" w:hAnsi="宋体" w:eastAsia="宋体" w:cs="宋体"/>
          <w:color w:val="auto"/>
          <w:szCs w:val="21"/>
        </w:rPr>
      </w:pPr>
      <w:r>
        <w:rPr>
          <w:rFonts w:hint="eastAsia" w:ascii="宋体" w:hAnsi="宋体" w:eastAsia="宋体" w:cs="宋体"/>
          <w:color w:val="auto"/>
          <w:szCs w:val="21"/>
        </w:rPr>
        <w:t>（十二）与采购人串通，对尚未履约完毕的采购项目出具虚假验收报告；</w:t>
      </w:r>
    </w:p>
    <w:p>
      <w:pPr>
        <w:spacing w:line="380" w:lineRule="auto"/>
        <w:rPr>
          <w:rFonts w:ascii="宋体" w:hAnsi="宋体" w:eastAsia="宋体" w:cs="宋体"/>
          <w:color w:val="auto"/>
          <w:szCs w:val="21"/>
        </w:rPr>
      </w:pPr>
      <w:r>
        <w:rPr>
          <w:rFonts w:hint="eastAsia" w:ascii="宋体" w:hAnsi="宋体" w:eastAsia="宋体" w:cs="宋体"/>
          <w:color w:val="auto"/>
          <w:szCs w:val="21"/>
        </w:rPr>
        <w:t>（十三）无不可抗力因素，拒绝提供售后服务、售后服务态度恶劣、故意提高维修配件价格（高于市场平均价）；</w:t>
      </w:r>
    </w:p>
    <w:p>
      <w:pPr>
        <w:spacing w:line="380" w:lineRule="auto"/>
        <w:rPr>
          <w:rFonts w:ascii="宋体" w:hAnsi="宋体" w:eastAsia="宋体" w:cs="宋体"/>
          <w:color w:val="auto"/>
          <w:szCs w:val="21"/>
        </w:rPr>
      </w:pPr>
      <w:r>
        <w:rPr>
          <w:rFonts w:hint="eastAsia" w:ascii="宋体" w:hAnsi="宋体" w:eastAsia="宋体" w:cs="宋体"/>
          <w:color w:val="auto"/>
          <w:szCs w:val="21"/>
        </w:rPr>
        <w:t>（十四）开标后对招标文件的相关内容再进行质疑；</w:t>
      </w:r>
    </w:p>
    <w:p>
      <w:pPr>
        <w:spacing w:line="380" w:lineRule="auto"/>
        <w:rPr>
          <w:rFonts w:ascii="宋体" w:hAnsi="宋体" w:eastAsia="宋体" w:cs="宋体"/>
          <w:color w:val="auto"/>
          <w:szCs w:val="21"/>
        </w:rPr>
      </w:pPr>
      <w:r>
        <w:rPr>
          <w:rFonts w:hint="eastAsia" w:ascii="宋体" w:hAnsi="宋体" w:eastAsia="宋体" w:cs="宋体"/>
          <w:color w:val="auto"/>
          <w:szCs w:val="21"/>
        </w:rPr>
        <w:t>（十五）恶意投诉的行为：投诉经查无实据的、捏造事实或者提供虚假设诉材料；</w:t>
      </w:r>
    </w:p>
    <w:p>
      <w:pPr>
        <w:spacing w:line="380" w:lineRule="auto"/>
        <w:rPr>
          <w:rFonts w:ascii="宋体" w:hAnsi="宋体" w:eastAsia="宋体" w:cs="宋体"/>
          <w:color w:val="auto"/>
          <w:szCs w:val="21"/>
        </w:rPr>
      </w:pPr>
      <w:r>
        <w:rPr>
          <w:rFonts w:hint="eastAsia" w:ascii="宋体" w:hAnsi="宋体" w:eastAsia="宋体" w:cs="宋体"/>
          <w:color w:val="auto"/>
          <w:szCs w:val="21"/>
        </w:rPr>
        <w:t>（十六）拒绝有关部门监督检查或者提供虚假情况；</w:t>
      </w:r>
    </w:p>
    <w:p>
      <w:pPr>
        <w:spacing w:line="380" w:lineRule="auto"/>
        <w:rPr>
          <w:rFonts w:ascii="宋体" w:hAnsi="宋体" w:eastAsia="宋体" w:cs="宋体"/>
          <w:color w:val="auto"/>
          <w:szCs w:val="21"/>
        </w:rPr>
      </w:pPr>
      <w:r>
        <w:rPr>
          <w:rFonts w:hint="eastAsia" w:ascii="宋体" w:hAnsi="宋体" w:eastAsia="宋体" w:cs="宋体"/>
          <w:color w:val="auto"/>
          <w:szCs w:val="21"/>
        </w:rPr>
        <w:t>（十七）政府采购监管部门认定的其他政府采购活动中的不诚信行为。</w:t>
      </w:r>
    </w:p>
    <w:p>
      <w:pPr>
        <w:spacing w:line="380" w:lineRule="auto"/>
        <w:ind w:firstLine="3360"/>
        <w:rPr>
          <w:rFonts w:ascii="宋体" w:hAnsi="宋体" w:eastAsia="宋体" w:cs="宋体"/>
          <w:color w:val="auto"/>
          <w:szCs w:val="21"/>
        </w:rPr>
      </w:pPr>
    </w:p>
    <w:p>
      <w:pPr>
        <w:spacing w:line="380" w:lineRule="auto"/>
        <w:ind w:firstLine="3360"/>
        <w:rPr>
          <w:rFonts w:ascii="宋体" w:hAnsi="宋体" w:eastAsia="宋体" w:cs="宋体"/>
          <w:color w:val="auto"/>
          <w:szCs w:val="21"/>
        </w:rPr>
      </w:pPr>
      <w:r>
        <w:rPr>
          <w:rFonts w:hint="eastAsia" w:ascii="宋体" w:hAnsi="宋体" w:eastAsia="宋体" w:cs="宋体"/>
          <w:color w:val="auto"/>
          <w:szCs w:val="21"/>
        </w:rPr>
        <w:t>供应商名称：（盖章）</w:t>
      </w:r>
    </w:p>
    <w:p>
      <w:pPr>
        <w:spacing w:line="380" w:lineRule="auto"/>
        <w:ind w:firstLine="3360"/>
        <w:rPr>
          <w:rFonts w:ascii="宋体" w:hAnsi="宋体" w:eastAsia="宋体" w:cs="宋体"/>
          <w:color w:val="auto"/>
          <w:szCs w:val="21"/>
        </w:rPr>
      </w:pPr>
      <w:r>
        <w:rPr>
          <w:rFonts w:hint="eastAsia" w:ascii="宋体" w:hAnsi="宋体" w:eastAsia="宋体" w:cs="宋体"/>
          <w:color w:val="auto"/>
          <w:szCs w:val="21"/>
        </w:rPr>
        <w:t>法人代表或授权委托人：（签字）</w:t>
      </w:r>
    </w:p>
    <w:p>
      <w:pPr>
        <w:spacing w:line="380" w:lineRule="auto"/>
        <w:ind w:firstLine="3360"/>
        <w:rPr>
          <w:rFonts w:ascii="宋体" w:hAnsi="宋体" w:eastAsia="宋体" w:cs="宋体"/>
          <w:color w:val="auto"/>
          <w:szCs w:val="21"/>
        </w:rPr>
      </w:pPr>
    </w:p>
    <w:p>
      <w:pPr>
        <w:spacing w:line="380" w:lineRule="auto"/>
        <w:ind w:firstLine="3360"/>
        <w:rPr>
          <w:rFonts w:ascii="宋体" w:hAnsi="宋体" w:eastAsia="宋体" w:cs="宋体"/>
          <w:b/>
          <w:color w:val="auto"/>
          <w:szCs w:val="21"/>
        </w:rPr>
      </w:pPr>
      <w:r>
        <w:rPr>
          <w:rFonts w:hint="eastAsia" w:ascii="宋体" w:hAnsi="宋体" w:eastAsia="宋体" w:cs="宋体"/>
          <w:color w:val="auto"/>
          <w:szCs w:val="21"/>
        </w:rPr>
        <w:t>日期：年月日</w:t>
      </w:r>
    </w:p>
    <w:p>
      <w:pPr>
        <w:spacing w:line="360" w:lineRule="auto"/>
        <w:jc w:val="center"/>
        <w:rPr>
          <w:rFonts w:ascii="宋体" w:hAnsi="宋体" w:eastAsia="宋体" w:cs="宋体"/>
          <w:b/>
          <w:color w:val="auto"/>
          <w:szCs w:val="21"/>
        </w:rPr>
      </w:pPr>
    </w:p>
    <w:p>
      <w:pPr>
        <w:spacing w:line="360" w:lineRule="auto"/>
        <w:jc w:val="center"/>
        <w:rPr>
          <w:rFonts w:ascii="宋体" w:hAnsi="宋体" w:eastAsia="宋体" w:cs="宋体"/>
          <w:b/>
          <w:color w:val="auto"/>
          <w:szCs w:val="21"/>
        </w:rPr>
      </w:pPr>
    </w:p>
    <w:p>
      <w:pPr>
        <w:ind w:firstLine="420"/>
        <w:jc w:val="left"/>
        <w:rPr>
          <w:rFonts w:ascii="宋体" w:hAnsi="宋体" w:eastAsia="宋体" w:cs="宋体"/>
          <w:b/>
          <w:color w:val="auto"/>
          <w:szCs w:val="21"/>
        </w:rPr>
      </w:pPr>
    </w:p>
    <w:p>
      <w:pPr>
        <w:ind w:firstLine="420"/>
        <w:jc w:val="left"/>
        <w:rPr>
          <w:rFonts w:ascii="宋体" w:hAnsi="宋体" w:eastAsia="宋体" w:cs="宋体"/>
          <w:b/>
          <w:color w:val="auto"/>
          <w:szCs w:val="21"/>
        </w:rPr>
      </w:pPr>
    </w:p>
    <w:p>
      <w:pPr>
        <w:ind w:firstLine="420"/>
        <w:jc w:val="left"/>
        <w:rPr>
          <w:rFonts w:ascii="宋体" w:hAnsi="宋体" w:eastAsia="宋体" w:cs="宋体"/>
          <w:b/>
          <w:color w:val="auto"/>
          <w:szCs w:val="21"/>
        </w:rPr>
      </w:pPr>
    </w:p>
    <w:p>
      <w:pPr>
        <w:ind w:firstLine="420"/>
        <w:jc w:val="left"/>
        <w:rPr>
          <w:rFonts w:ascii="宋体" w:hAnsi="宋体" w:eastAsia="宋体" w:cs="宋体"/>
          <w:b/>
          <w:color w:val="auto"/>
          <w:szCs w:val="21"/>
        </w:rPr>
      </w:pPr>
    </w:p>
    <w:p>
      <w:pPr>
        <w:ind w:firstLine="420"/>
        <w:jc w:val="left"/>
        <w:rPr>
          <w:rFonts w:ascii="宋体" w:hAnsi="宋体" w:eastAsia="宋体" w:cs="宋体"/>
          <w:b/>
          <w:color w:val="auto"/>
          <w:szCs w:val="21"/>
        </w:rPr>
      </w:pPr>
    </w:p>
    <w:p>
      <w:pPr>
        <w:pStyle w:val="2"/>
        <w:rPr>
          <w:rFonts w:ascii="宋体" w:hAnsi="宋体" w:cs="宋体"/>
          <w:b/>
          <w:color w:val="auto"/>
          <w:szCs w:val="21"/>
        </w:rPr>
      </w:pPr>
    </w:p>
    <w:p>
      <w:pPr>
        <w:pStyle w:val="3"/>
        <w:rPr>
          <w:rFonts w:ascii="宋体" w:hAnsi="宋体" w:eastAsia="宋体" w:cs="宋体"/>
          <w:b/>
          <w:color w:val="auto"/>
          <w:sz w:val="21"/>
          <w:szCs w:val="21"/>
        </w:rPr>
      </w:pPr>
    </w:p>
    <w:p>
      <w:pPr>
        <w:rPr>
          <w:rFonts w:ascii="宋体" w:hAnsi="宋体" w:eastAsia="宋体" w:cs="宋体"/>
          <w:b/>
          <w:color w:val="auto"/>
          <w:szCs w:val="21"/>
        </w:rPr>
      </w:pPr>
    </w:p>
    <w:p>
      <w:pPr>
        <w:pStyle w:val="2"/>
        <w:rPr>
          <w:rFonts w:ascii="宋体" w:hAnsi="宋体" w:cs="宋体"/>
          <w:b/>
          <w:color w:val="auto"/>
          <w:szCs w:val="21"/>
        </w:rPr>
      </w:pPr>
    </w:p>
    <w:p>
      <w:pPr>
        <w:pStyle w:val="3"/>
        <w:rPr>
          <w:rFonts w:ascii="宋体" w:hAnsi="宋体" w:eastAsia="宋体" w:cs="宋体"/>
          <w:b/>
          <w:color w:val="auto"/>
          <w:sz w:val="21"/>
          <w:szCs w:val="21"/>
        </w:rPr>
      </w:pPr>
    </w:p>
    <w:p>
      <w:pPr>
        <w:rPr>
          <w:rFonts w:ascii="宋体" w:hAnsi="宋体" w:eastAsia="宋体" w:cs="宋体"/>
          <w:b/>
          <w:color w:val="auto"/>
          <w:szCs w:val="21"/>
        </w:rPr>
      </w:pPr>
    </w:p>
    <w:p>
      <w:pPr>
        <w:pStyle w:val="2"/>
        <w:rPr>
          <w:rFonts w:ascii="宋体" w:hAnsi="宋体" w:cs="宋体"/>
          <w:b/>
          <w:color w:val="auto"/>
          <w:szCs w:val="21"/>
        </w:rPr>
      </w:pPr>
    </w:p>
    <w:p>
      <w:pPr>
        <w:pStyle w:val="3"/>
        <w:rPr>
          <w:rFonts w:ascii="宋体" w:hAnsi="宋体" w:eastAsia="宋体" w:cs="宋体"/>
          <w:color w:val="auto"/>
          <w:sz w:val="21"/>
          <w:szCs w:val="21"/>
        </w:rPr>
      </w:pPr>
    </w:p>
    <w:p>
      <w:pPr>
        <w:ind w:firstLine="420"/>
        <w:jc w:val="left"/>
        <w:rPr>
          <w:rFonts w:ascii="宋体" w:hAnsi="宋体" w:eastAsia="宋体" w:cs="宋体"/>
          <w:b/>
          <w:color w:val="auto"/>
          <w:szCs w:val="21"/>
        </w:rPr>
      </w:pPr>
    </w:p>
    <w:p>
      <w:pPr>
        <w:ind w:firstLine="420"/>
        <w:jc w:val="left"/>
        <w:rPr>
          <w:rFonts w:ascii="宋体" w:hAnsi="宋体" w:eastAsia="宋体" w:cs="宋体"/>
          <w:b/>
          <w:color w:val="auto"/>
          <w:szCs w:val="21"/>
        </w:rPr>
      </w:pPr>
      <w:r>
        <w:rPr>
          <w:rFonts w:ascii="宋体" w:hAnsi="宋体" w:eastAsia="宋体" w:cs="宋体"/>
          <w:b/>
          <w:color w:val="auto"/>
          <w:szCs w:val="21"/>
        </w:rPr>
        <w:br w:type="page"/>
      </w:r>
    </w:p>
    <w:p>
      <w:pPr>
        <w:ind w:firstLine="420"/>
        <w:jc w:val="left"/>
        <w:rPr>
          <w:rFonts w:ascii="宋体" w:hAnsi="宋体" w:eastAsia="宋体" w:cs="宋体"/>
          <w:b/>
          <w:color w:val="auto"/>
          <w:szCs w:val="21"/>
        </w:rPr>
      </w:pPr>
    </w:p>
    <w:p>
      <w:pPr>
        <w:ind w:firstLine="420"/>
        <w:jc w:val="left"/>
        <w:rPr>
          <w:rFonts w:ascii="宋体" w:hAnsi="宋体" w:eastAsia="宋体" w:cs="宋体"/>
          <w:b/>
          <w:color w:val="auto"/>
          <w:szCs w:val="21"/>
        </w:rPr>
      </w:pPr>
    </w:p>
    <w:p>
      <w:pPr>
        <w:ind w:firstLine="321"/>
        <w:jc w:val="center"/>
        <w:rPr>
          <w:rFonts w:ascii="宋体" w:hAnsi="宋体" w:eastAsia="宋体" w:cs="宋体"/>
          <w:b/>
          <w:color w:val="auto"/>
          <w:szCs w:val="21"/>
        </w:rPr>
      </w:pPr>
      <w:r>
        <w:rPr>
          <w:rFonts w:hint="eastAsia" w:ascii="宋体" w:hAnsi="宋体" w:eastAsia="宋体" w:cs="宋体"/>
          <w:b/>
          <w:color w:val="auto"/>
          <w:szCs w:val="21"/>
        </w:rPr>
        <w:t>周口市政府采购合同融资政策告知函</w:t>
      </w:r>
    </w:p>
    <w:p>
      <w:pPr>
        <w:ind w:firstLine="240"/>
        <w:jc w:val="left"/>
        <w:rPr>
          <w:rFonts w:ascii="宋体" w:hAnsi="宋体" w:eastAsia="宋体" w:cs="宋体"/>
          <w:color w:val="auto"/>
          <w:szCs w:val="21"/>
        </w:rPr>
      </w:pPr>
    </w:p>
    <w:p>
      <w:pPr>
        <w:ind w:firstLine="240"/>
        <w:jc w:val="left"/>
        <w:rPr>
          <w:rFonts w:ascii="宋体" w:hAnsi="宋体" w:eastAsia="宋体" w:cs="宋体"/>
          <w:color w:val="auto"/>
          <w:szCs w:val="21"/>
        </w:rPr>
      </w:pPr>
    </w:p>
    <w:p>
      <w:pPr>
        <w:ind w:firstLine="240"/>
        <w:jc w:val="left"/>
        <w:rPr>
          <w:rFonts w:ascii="宋体" w:hAnsi="宋体" w:eastAsia="宋体" w:cs="宋体"/>
          <w:color w:val="auto"/>
          <w:szCs w:val="21"/>
        </w:rPr>
      </w:pPr>
    </w:p>
    <w:p>
      <w:pPr>
        <w:ind w:firstLine="240"/>
        <w:jc w:val="left"/>
        <w:rPr>
          <w:rFonts w:ascii="宋体" w:hAnsi="宋体" w:eastAsia="宋体" w:cs="宋体"/>
          <w:color w:val="auto"/>
          <w:szCs w:val="21"/>
        </w:rPr>
      </w:pPr>
      <w:r>
        <w:rPr>
          <w:rFonts w:hint="eastAsia" w:ascii="宋体" w:hAnsi="宋体" w:eastAsia="宋体" w:cs="宋体"/>
          <w:color w:val="auto"/>
          <w:szCs w:val="21"/>
        </w:rPr>
        <w:t>各供应商：</w:t>
      </w:r>
    </w:p>
    <w:p>
      <w:pPr>
        <w:ind w:firstLine="240"/>
        <w:jc w:val="left"/>
        <w:rPr>
          <w:rFonts w:ascii="宋体" w:hAnsi="宋体" w:eastAsia="宋体" w:cs="宋体"/>
          <w:color w:val="auto"/>
          <w:szCs w:val="21"/>
        </w:rPr>
      </w:pPr>
      <w:r>
        <w:rPr>
          <w:rFonts w:hint="eastAsia" w:ascii="宋体" w:hAnsi="宋体" w:eastAsia="宋体" w:cs="宋体"/>
          <w:color w:val="auto"/>
          <w:szCs w:val="21"/>
        </w:rPr>
        <w:t>欢迎贵公司参与周口市政府采购活动！</w:t>
      </w:r>
    </w:p>
    <w:p>
      <w:pPr>
        <w:ind w:firstLine="240"/>
        <w:jc w:val="left"/>
        <w:rPr>
          <w:rFonts w:ascii="宋体" w:hAnsi="宋体" w:eastAsia="宋体" w:cs="宋体"/>
          <w:color w:val="auto"/>
          <w:szCs w:val="21"/>
        </w:rPr>
      </w:pPr>
      <w:r>
        <w:rPr>
          <w:rFonts w:hint="eastAsia" w:ascii="宋体" w:hAnsi="宋体" w:eastAsia="宋体" w:cs="宋体"/>
          <w:color w:val="auto"/>
          <w:szCs w:val="21"/>
        </w:rPr>
        <w:t>政府采购合同融资是河南省财政厅支持中小微企业发展，针对参与政府采购活动的供应商融资难、融资贵问题推出的一项融资政策。贵公司若成为本次政府采购项目的中标成交供应商，可持政府采购合同向金融机构申请贷款，无需抵押、担保，融资机构将根据《河南省政府采购合同融资工作实施方案》（豫财购〔2017〕10号），按照双方自愿的原则提供便捷、优惠的贷款服务。</w:t>
      </w:r>
    </w:p>
    <w:p>
      <w:pPr>
        <w:ind w:firstLine="240"/>
        <w:jc w:val="left"/>
        <w:rPr>
          <w:rFonts w:ascii="宋体" w:hAnsi="宋体" w:eastAsia="宋体" w:cs="宋体"/>
          <w:color w:val="auto"/>
          <w:szCs w:val="21"/>
        </w:rPr>
      </w:pPr>
      <w:r>
        <w:rPr>
          <w:rFonts w:hint="eastAsia" w:ascii="宋体" w:hAnsi="宋体" w:eastAsia="宋体" w:cs="宋体"/>
          <w:color w:val="auto"/>
          <w:szCs w:val="21"/>
        </w:rPr>
        <w:t>贷款渠道和提供贷款的金融机构，可在河南省政府采购网“河南省政府采购合同融资平台”查询联系。</w:t>
      </w:r>
    </w:p>
    <w:p>
      <w:pPr>
        <w:ind w:firstLine="420"/>
        <w:jc w:val="left"/>
        <w:rPr>
          <w:rFonts w:ascii="宋体" w:hAnsi="宋体" w:eastAsia="宋体" w:cs="宋体"/>
          <w:b/>
          <w:color w:val="auto"/>
          <w:szCs w:val="21"/>
        </w:rPr>
      </w:pPr>
    </w:p>
    <w:p>
      <w:pPr>
        <w:pStyle w:val="2"/>
        <w:rPr>
          <w:rFonts w:ascii="宋体" w:hAnsi="宋体" w:cs="宋体"/>
          <w:b/>
          <w:color w:val="auto"/>
          <w:szCs w:val="21"/>
        </w:rPr>
      </w:pPr>
    </w:p>
    <w:p>
      <w:pPr>
        <w:pStyle w:val="3"/>
        <w:rPr>
          <w:rFonts w:ascii="宋体" w:hAnsi="宋体" w:eastAsia="宋体" w:cs="宋体"/>
          <w:b/>
          <w:color w:val="auto"/>
          <w:sz w:val="28"/>
        </w:rPr>
      </w:pPr>
    </w:p>
    <w:p>
      <w:pPr>
        <w:rPr>
          <w:rFonts w:ascii="宋体" w:hAnsi="宋体" w:eastAsia="宋体" w:cs="宋体"/>
          <w:b/>
          <w:color w:val="auto"/>
          <w:sz w:val="28"/>
        </w:rPr>
      </w:pPr>
    </w:p>
    <w:p>
      <w:pPr>
        <w:pStyle w:val="2"/>
        <w:rPr>
          <w:rFonts w:ascii="宋体" w:hAnsi="宋体" w:cs="宋体"/>
          <w:b/>
          <w:color w:val="auto"/>
          <w:sz w:val="28"/>
        </w:rPr>
      </w:pPr>
    </w:p>
    <w:p>
      <w:pPr>
        <w:pStyle w:val="3"/>
        <w:rPr>
          <w:rFonts w:ascii="宋体" w:hAnsi="宋体" w:eastAsia="宋体" w:cs="宋体"/>
          <w:b/>
          <w:color w:val="auto"/>
          <w:sz w:val="28"/>
        </w:rPr>
      </w:pPr>
    </w:p>
    <w:p>
      <w:pPr>
        <w:rPr>
          <w:rFonts w:ascii="宋体" w:hAnsi="宋体" w:eastAsia="宋体" w:cs="宋体"/>
          <w:b/>
          <w:color w:val="auto"/>
          <w:sz w:val="28"/>
        </w:rPr>
      </w:pPr>
    </w:p>
    <w:p>
      <w:pPr>
        <w:pStyle w:val="2"/>
        <w:rPr>
          <w:rFonts w:ascii="宋体" w:hAnsi="宋体" w:cs="宋体"/>
          <w:b/>
          <w:color w:val="auto"/>
          <w:sz w:val="28"/>
        </w:rPr>
      </w:pPr>
    </w:p>
    <w:p>
      <w:pPr>
        <w:pStyle w:val="3"/>
        <w:rPr>
          <w:rFonts w:ascii="宋体" w:hAnsi="宋体" w:eastAsia="宋体" w:cs="宋体"/>
          <w:b/>
          <w:color w:val="auto"/>
          <w:sz w:val="28"/>
        </w:rPr>
      </w:pPr>
    </w:p>
    <w:p>
      <w:pPr>
        <w:rPr>
          <w:rFonts w:ascii="宋体" w:hAnsi="宋体" w:eastAsia="宋体" w:cs="宋体"/>
          <w:b/>
          <w:color w:val="auto"/>
          <w:sz w:val="28"/>
        </w:rPr>
      </w:pPr>
    </w:p>
    <w:p>
      <w:pPr>
        <w:pStyle w:val="2"/>
        <w:rPr>
          <w:rFonts w:ascii="宋体" w:hAnsi="宋体" w:cs="宋体"/>
          <w:b/>
          <w:color w:val="auto"/>
          <w:sz w:val="28"/>
        </w:rPr>
      </w:pPr>
    </w:p>
    <w:p>
      <w:pPr>
        <w:pStyle w:val="3"/>
        <w:rPr>
          <w:rFonts w:ascii="宋体" w:hAnsi="宋体" w:eastAsia="宋体" w:cs="宋体"/>
          <w:b/>
          <w:color w:val="auto"/>
          <w:sz w:val="28"/>
        </w:rPr>
      </w:pPr>
    </w:p>
    <w:p>
      <w:pPr>
        <w:rPr>
          <w:rFonts w:ascii="宋体" w:hAnsi="宋体" w:eastAsia="宋体" w:cs="宋体"/>
          <w:b/>
          <w:color w:val="auto"/>
          <w:sz w:val="28"/>
        </w:rPr>
      </w:pPr>
    </w:p>
    <w:p>
      <w:pPr>
        <w:pStyle w:val="2"/>
        <w:rPr>
          <w:rFonts w:ascii="宋体" w:hAnsi="宋体" w:cs="宋体"/>
          <w:b/>
          <w:color w:val="auto"/>
          <w:sz w:val="28"/>
        </w:rPr>
      </w:pPr>
    </w:p>
    <w:p>
      <w:pPr>
        <w:pStyle w:val="3"/>
        <w:rPr>
          <w:rFonts w:ascii="宋体" w:hAnsi="宋体" w:eastAsia="宋体" w:cs="宋体"/>
          <w:b/>
          <w:color w:val="auto"/>
          <w:sz w:val="28"/>
        </w:rPr>
      </w:pPr>
    </w:p>
    <w:p>
      <w:pPr>
        <w:rPr>
          <w:rFonts w:ascii="宋体" w:hAnsi="宋体" w:eastAsia="宋体" w:cs="宋体"/>
          <w:b/>
          <w:color w:val="auto"/>
          <w:sz w:val="28"/>
        </w:rPr>
      </w:pPr>
    </w:p>
    <w:p>
      <w:pPr>
        <w:spacing w:line="360" w:lineRule="auto"/>
        <w:rPr>
          <w:rFonts w:ascii="宋体" w:hAnsi="宋体" w:eastAsia="宋体" w:cs="宋体"/>
          <w:b/>
          <w:color w:val="auto"/>
          <w:sz w:val="28"/>
        </w:rPr>
      </w:pPr>
      <w:r>
        <w:rPr>
          <w:rFonts w:ascii="宋体" w:hAnsi="宋体" w:eastAsia="宋体" w:cs="宋体"/>
          <w:b/>
          <w:color w:val="auto"/>
          <w:sz w:val="28"/>
        </w:rPr>
        <w:t xml:space="preserve"> </w:t>
      </w:r>
    </w:p>
    <w:p>
      <w:pPr>
        <w:spacing w:line="500" w:lineRule="auto"/>
        <w:jc w:val="center"/>
        <w:rPr>
          <w:rFonts w:ascii="方正小标宋简体" w:hAnsi="方正小标宋简体" w:eastAsia="方正小标宋简体" w:cs="方正小标宋简体"/>
          <w:color w:val="auto"/>
          <w:sz w:val="28"/>
        </w:rPr>
      </w:pPr>
      <w:r>
        <w:rPr>
          <w:rFonts w:ascii="宋体" w:hAnsi="宋体" w:eastAsia="宋体" w:cs="宋体"/>
          <w:color w:val="auto"/>
          <w:sz w:val="28"/>
        </w:rPr>
        <w:t>周口市政府采购合同（货物类）标准文本</w:t>
      </w:r>
    </w:p>
    <w:p>
      <w:pPr>
        <w:rPr>
          <w:rFonts w:ascii="黑体" w:hAnsi="黑体" w:eastAsia="黑体" w:cs="黑体"/>
          <w:color w:val="auto"/>
          <w:sz w:val="32"/>
        </w:rPr>
      </w:pPr>
    </w:p>
    <w:p>
      <w:pPr>
        <w:spacing w:line="300" w:lineRule="auto"/>
        <w:rPr>
          <w:rFonts w:ascii="黑体" w:hAnsi="黑体" w:eastAsia="黑体" w:cs="黑体"/>
          <w:color w:val="auto"/>
          <w:sz w:val="30"/>
        </w:rPr>
      </w:pPr>
    </w:p>
    <w:p>
      <w:pPr>
        <w:spacing w:line="300" w:lineRule="auto"/>
        <w:rPr>
          <w:rFonts w:ascii="黑体" w:hAnsi="黑体" w:eastAsia="黑体" w:cs="黑体"/>
          <w:color w:val="auto"/>
          <w:sz w:val="30"/>
        </w:rPr>
      </w:pPr>
    </w:p>
    <w:p>
      <w:pPr>
        <w:spacing w:line="300" w:lineRule="auto"/>
        <w:rPr>
          <w:rFonts w:ascii="黑体" w:hAnsi="黑体" w:eastAsia="黑体" w:cs="黑体"/>
          <w:color w:val="auto"/>
          <w:sz w:val="30"/>
        </w:rPr>
      </w:pPr>
    </w:p>
    <w:p>
      <w:pPr>
        <w:spacing w:line="300" w:lineRule="auto"/>
        <w:rPr>
          <w:rFonts w:ascii="黑体" w:hAnsi="黑体" w:eastAsia="黑体" w:cs="黑体"/>
          <w:color w:val="auto"/>
          <w:sz w:val="30"/>
        </w:rPr>
      </w:pPr>
    </w:p>
    <w:p>
      <w:pPr>
        <w:spacing w:line="300" w:lineRule="auto"/>
        <w:rPr>
          <w:rFonts w:ascii="黑体" w:hAnsi="黑体" w:eastAsia="黑体" w:cs="黑体"/>
          <w:color w:val="auto"/>
          <w:sz w:val="30"/>
        </w:rPr>
      </w:pPr>
    </w:p>
    <w:p>
      <w:pPr>
        <w:spacing w:line="300" w:lineRule="auto"/>
        <w:rPr>
          <w:rFonts w:ascii="黑体" w:hAnsi="黑体" w:eastAsia="黑体" w:cs="黑体"/>
          <w:color w:val="auto"/>
          <w:sz w:val="30"/>
        </w:rPr>
      </w:pPr>
    </w:p>
    <w:p>
      <w:pPr>
        <w:spacing w:line="300" w:lineRule="auto"/>
        <w:rPr>
          <w:rFonts w:ascii="黑体" w:hAnsi="黑体" w:eastAsia="黑体" w:cs="黑体"/>
          <w:color w:val="auto"/>
          <w:sz w:val="30"/>
        </w:rPr>
      </w:pPr>
      <w:r>
        <w:rPr>
          <w:rFonts w:ascii="黑体" w:hAnsi="黑体" w:eastAsia="黑体" w:cs="黑体"/>
          <w:color w:val="auto"/>
          <w:sz w:val="30"/>
        </w:rPr>
        <w:t>政府采购项目名称：</w:t>
      </w:r>
    </w:p>
    <w:p>
      <w:pPr>
        <w:spacing w:line="300" w:lineRule="auto"/>
        <w:rPr>
          <w:rFonts w:ascii="黑体" w:hAnsi="黑体" w:eastAsia="黑体" w:cs="黑体"/>
          <w:color w:val="auto"/>
          <w:sz w:val="30"/>
        </w:rPr>
      </w:pPr>
      <w:r>
        <w:rPr>
          <w:rFonts w:ascii="黑体" w:hAnsi="黑体" w:eastAsia="黑体" w:cs="黑体"/>
          <w:color w:val="auto"/>
          <w:sz w:val="30"/>
        </w:rPr>
        <w:t>政府采购项目编号：</w:t>
      </w:r>
    </w:p>
    <w:p>
      <w:pPr>
        <w:spacing w:line="300" w:lineRule="auto"/>
        <w:rPr>
          <w:rFonts w:ascii="黑体" w:hAnsi="黑体" w:eastAsia="黑体" w:cs="黑体"/>
          <w:color w:val="auto"/>
          <w:sz w:val="30"/>
        </w:rPr>
      </w:pPr>
      <w:r>
        <w:rPr>
          <w:rFonts w:ascii="黑体" w:hAnsi="黑体" w:eastAsia="黑体" w:cs="黑体"/>
          <w:color w:val="auto"/>
          <w:sz w:val="30"/>
        </w:rPr>
        <w:t>采      购    人：</w:t>
      </w:r>
    </w:p>
    <w:p>
      <w:pPr>
        <w:spacing w:line="300" w:lineRule="auto"/>
        <w:rPr>
          <w:rFonts w:ascii="黑体" w:hAnsi="黑体" w:eastAsia="黑体" w:cs="黑体"/>
          <w:color w:val="auto"/>
          <w:sz w:val="30"/>
        </w:rPr>
      </w:pPr>
      <w:r>
        <w:rPr>
          <w:rFonts w:ascii="黑体" w:hAnsi="黑体" w:eastAsia="黑体" w:cs="黑体"/>
          <w:color w:val="auto"/>
          <w:sz w:val="30"/>
        </w:rPr>
        <w:t>供      应    商：</w:t>
      </w:r>
    </w:p>
    <w:p>
      <w:pPr>
        <w:spacing w:line="300" w:lineRule="auto"/>
        <w:rPr>
          <w:rFonts w:ascii="黑体" w:hAnsi="黑体" w:eastAsia="黑体" w:cs="黑体"/>
          <w:color w:val="auto"/>
          <w:sz w:val="30"/>
        </w:rPr>
      </w:pPr>
      <w:r>
        <w:rPr>
          <w:rFonts w:ascii="黑体" w:hAnsi="黑体" w:eastAsia="黑体" w:cs="黑体"/>
          <w:color w:val="auto"/>
          <w:sz w:val="30"/>
        </w:rPr>
        <w:t>合  同  签 订 地：</w:t>
      </w:r>
    </w:p>
    <w:p>
      <w:pPr>
        <w:spacing w:line="300" w:lineRule="auto"/>
        <w:rPr>
          <w:rFonts w:ascii="黑体" w:hAnsi="黑体" w:eastAsia="黑体" w:cs="黑体"/>
          <w:color w:val="auto"/>
          <w:sz w:val="30"/>
        </w:rPr>
      </w:pPr>
      <w:r>
        <w:rPr>
          <w:rFonts w:ascii="黑体" w:hAnsi="黑体" w:eastAsia="黑体" w:cs="黑体"/>
          <w:color w:val="auto"/>
          <w:sz w:val="30"/>
        </w:rPr>
        <w:t>合 同 签订 时 间：</w:t>
      </w:r>
    </w:p>
    <w:p>
      <w:pPr>
        <w:spacing w:line="300" w:lineRule="auto"/>
        <w:rPr>
          <w:rFonts w:ascii="黑体" w:hAnsi="黑体" w:eastAsia="黑体" w:cs="黑体"/>
          <w:color w:val="auto"/>
          <w:sz w:val="30"/>
        </w:rPr>
      </w:pPr>
    </w:p>
    <w:p>
      <w:pPr>
        <w:spacing w:line="300" w:lineRule="auto"/>
        <w:rPr>
          <w:rFonts w:ascii="黑体" w:hAnsi="黑体" w:eastAsia="黑体" w:cs="黑体"/>
          <w:color w:val="auto"/>
          <w:sz w:val="30"/>
        </w:rPr>
      </w:pPr>
    </w:p>
    <w:p>
      <w:pPr>
        <w:spacing w:line="300" w:lineRule="auto"/>
        <w:rPr>
          <w:rFonts w:ascii="黑体" w:hAnsi="黑体" w:eastAsia="黑体" w:cs="黑体"/>
          <w:color w:val="auto"/>
          <w:sz w:val="30"/>
        </w:rPr>
      </w:pPr>
    </w:p>
    <w:p>
      <w:pPr>
        <w:spacing w:line="300" w:lineRule="auto"/>
        <w:jc w:val="center"/>
        <w:rPr>
          <w:rFonts w:ascii="方正小标宋简体" w:hAnsi="方正小标宋简体" w:eastAsia="方正小标宋简体" w:cs="方正小标宋简体"/>
          <w:color w:val="auto"/>
          <w:sz w:val="32"/>
        </w:rPr>
      </w:pPr>
      <w:r>
        <w:rPr>
          <w:rFonts w:ascii="方正小标宋简体" w:hAnsi="方正小标宋简体" w:eastAsia="方正小标宋简体" w:cs="方正小标宋简体"/>
          <w:color w:val="auto"/>
          <w:sz w:val="32"/>
        </w:rPr>
        <w:br w:type="page"/>
      </w:r>
    </w:p>
    <w:p>
      <w:pPr>
        <w:spacing w:line="460" w:lineRule="auto"/>
        <w:jc w:val="center"/>
        <w:rPr>
          <w:rFonts w:ascii="方正小标宋简体" w:hAnsi="方正小标宋简体" w:eastAsia="方正小标宋简体" w:cs="方正小标宋简体"/>
          <w:color w:val="auto"/>
          <w:sz w:val="32"/>
        </w:rPr>
      </w:pPr>
      <w:r>
        <w:rPr>
          <w:rFonts w:ascii="宋体" w:hAnsi="宋体" w:eastAsia="宋体" w:cs="宋体"/>
          <w:color w:val="auto"/>
          <w:sz w:val="32"/>
        </w:rPr>
        <w:t>合同签订指引</w:t>
      </w:r>
    </w:p>
    <w:p>
      <w:pPr>
        <w:spacing w:line="460" w:lineRule="auto"/>
        <w:ind w:firstLine="420"/>
        <w:rPr>
          <w:rFonts w:ascii="Times New Roman" w:hAnsi="Times New Roman" w:eastAsia="Times New Roman" w:cs="Times New Roman"/>
          <w:color w:val="auto"/>
        </w:rPr>
      </w:pPr>
    </w:p>
    <w:p>
      <w:pPr>
        <w:spacing w:line="460" w:lineRule="auto"/>
        <w:ind w:firstLine="420"/>
        <w:rPr>
          <w:rFonts w:ascii="Times New Roman" w:hAnsi="Times New Roman" w:eastAsia="Times New Roman" w:cs="Times New Roman"/>
          <w:color w:val="auto"/>
        </w:rPr>
      </w:pPr>
      <w:r>
        <w:rPr>
          <w:rFonts w:ascii="宋体" w:hAnsi="宋体" w:eastAsia="宋体" w:cs="宋体"/>
          <w:color w:val="auto"/>
        </w:rPr>
        <w:t>一、采购人在签订合同时应提供的资料：</w:t>
      </w:r>
    </w:p>
    <w:p>
      <w:pPr>
        <w:spacing w:line="460" w:lineRule="auto"/>
        <w:ind w:firstLine="420"/>
        <w:rPr>
          <w:rFonts w:ascii="Times New Roman" w:hAnsi="Times New Roman" w:eastAsia="Times New Roman" w:cs="Times New Roman"/>
          <w:color w:val="auto"/>
        </w:rPr>
      </w:pPr>
      <w:r>
        <w:rPr>
          <w:rFonts w:ascii="Times New Roman" w:hAnsi="Times New Roman" w:eastAsia="Times New Roman" w:cs="Times New Roman"/>
          <w:color w:val="auto"/>
        </w:rPr>
        <w:t>1</w:t>
      </w:r>
      <w:r>
        <w:rPr>
          <w:rFonts w:ascii="宋体" w:hAnsi="宋体" w:eastAsia="宋体" w:cs="宋体"/>
          <w:color w:val="auto"/>
        </w:rPr>
        <w:t>、该政府采购项目的招标采购文件（以网上发布内容为准）；</w:t>
      </w:r>
    </w:p>
    <w:p>
      <w:pPr>
        <w:spacing w:line="460" w:lineRule="auto"/>
        <w:ind w:firstLine="420"/>
        <w:rPr>
          <w:rFonts w:ascii="Times New Roman" w:hAnsi="Times New Roman" w:eastAsia="Times New Roman" w:cs="Times New Roman"/>
          <w:color w:val="auto"/>
        </w:rPr>
      </w:pPr>
      <w:r>
        <w:rPr>
          <w:rFonts w:ascii="Times New Roman" w:hAnsi="Times New Roman" w:eastAsia="Times New Roman" w:cs="Times New Roman"/>
          <w:color w:val="auto"/>
        </w:rPr>
        <w:t>2</w:t>
      </w:r>
      <w:r>
        <w:rPr>
          <w:rFonts w:ascii="宋体" w:hAnsi="宋体" w:eastAsia="宋体" w:cs="宋体"/>
          <w:color w:val="auto"/>
        </w:rPr>
        <w:t>、该政府采购项目招标文件的澄清和修改内容（公告内容）；</w:t>
      </w:r>
    </w:p>
    <w:p>
      <w:pPr>
        <w:spacing w:line="460" w:lineRule="auto"/>
        <w:ind w:firstLine="420"/>
        <w:rPr>
          <w:rFonts w:ascii="Times New Roman" w:hAnsi="Times New Roman" w:eastAsia="Times New Roman" w:cs="Times New Roman"/>
          <w:color w:val="auto"/>
        </w:rPr>
      </w:pPr>
      <w:r>
        <w:rPr>
          <w:rFonts w:ascii="Times New Roman" w:hAnsi="Times New Roman" w:eastAsia="Times New Roman" w:cs="Times New Roman"/>
          <w:color w:val="auto"/>
        </w:rPr>
        <w:t>3</w:t>
      </w:r>
      <w:r>
        <w:rPr>
          <w:rFonts w:ascii="宋体" w:hAnsi="宋体" w:eastAsia="宋体" w:cs="宋体"/>
          <w:color w:val="auto"/>
        </w:rPr>
        <w:t>、该政府采购项目评审报告；</w:t>
      </w:r>
    </w:p>
    <w:p>
      <w:pPr>
        <w:spacing w:line="460" w:lineRule="auto"/>
        <w:ind w:firstLine="420"/>
        <w:rPr>
          <w:rFonts w:ascii="Times New Roman" w:hAnsi="Times New Roman" w:eastAsia="Times New Roman" w:cs="Times New Roman"/>
          <w:color w:val="auto"/>
        </w:rPr>
      </w:pPr>
      <w:r>
        <w:rPr>
          <w:rFonts w:ascii="Times New Roman" w:hAnsi="Times New Roman" w:eastAsia="Times New Roman" w:cs="Times New Roman"/>
          <w:color w:val="auto"/>
        </w:rPr>
        <w:t>4</w:t>
      </w:r>
      <w:r>
        <w:rPr>
          <w:rFonts w:ascii="宋体" w:hAnsi="宋体" w:eastAsia="宋体" w:cs="宋体"/>
          <w:color w:val="auto"/>
        </w:rPr>
        <w:t>、采购单位法人授权委托书（法人到场并签字的除外）；</w:t>
      </w:r>
    </w:p>
    <w:p>
      <w:pPr>
        <w:spacing w:line="460" w:lineRule="auto"/>
        <w:ind w:firstLine="420"/>
        <w:rPr>
          <w:rFonts w:ascii="Times New Roman" w:hAnsi="Times New Roman" w:eastAsia="Times New Roman" w:cs="Times New Roman"/>
          <w:color w:val="auto"/>
        </w:rPr>
      </w:pPr>
      <w:r>
        <w:rPr>
          <w:rFonts w:ascii="Times New Roman" w:hAnsi="Times New Roman" w:eastAsia="Times New Roman" w:cs="Times New Roman"/>
          <w:color w:val="auto"/>
        </w:rPr>
        <w:t>5</w:t>
      </w:r>
      <w:r>
        <w:rPr>
          <w:rFonts w:ascii="宋体" w:hAnsi="宋体" w:eastAsia="宋体" w:cs="宋体"/>
          <w:color w:val="auto"/>
        </w:rPr>
        <w:t>、采购单位被授权人身份证件（法人到场并签字的除外）；</w:t>
      </w:r>
    </w:p>
    <w:p>
      <w:pPr>
        <w:spacing w:line="460" w:lineRule="auto"/>
        <w:ind w:firstLine="420"/>
        <w:rPr>
          <w:rFonts w:ascii="Times New Roman" w:hAnsi="Times New Roman" w:eastAsia="Times New Roman" w:cs="Times New Roman"/>
          <w:color w:val="auto"/>
        </w:rPr>
      </w:pPr>
      <w:r>
        <w:rPr>
          <w:rFonts w:ascii="Times New Roman" w:hAnsi="Times New Roman" w:eastAsia="Times New Roman" w:cs="Times New Roman"/>
          <w:color w:val="auto"/>
        </w:rPr>
        <w:t>6</w:t>
      </w:r>
      <w:r>
        <w:rPr>
          <w:rFonts w:ascii="宋体" w:hAnsi="宋体" w:eastAsia="宋体" w:cs="宋体"/>
          <w:color w:val="auto"/>
        </w:rPr>
        <w:t>、采购人和中标供应商约定的其它内容（不得超出招标采购文件实质性内容）。</w:t>
      </w:r>
    </w:p>
    <w:p>
      <w:pPr>
        <w:spacing w:line="460" w:lineRule="auto"/>
        <w:ind w:firstLine="420"/>
        <w:rPr>
          <w:rFonts w:ascii="Times New Roman" w:hAnsi="Times New Roman" w:eastAsia="Times New Roman" w:cs="Times New Roman"/>
          <w:color w:val="auto"/>
        </w:rPr>
      </w:pPr>
      <w:r>
        <w:rPr>
          <w:rFonts w:ascii="宋体" w:hAnsi="宋体" w:eastAsia="宋体" w:cs="宋体"/>
          <w:color w:val="auto"/>
        </w:rPr>
        <w:t>二、供应商在签订合同时应提供的资料：</w:t>
      </w:r>
    </w:p>
    <w:p>
      <w:pPr>
        <w:spacing w:line="460" w:lineRule="auto"/>
        <w:ind w:firstLine="420"/>
        <w:rPr>
          <w:rFonts w:ascii="Times New Roman" w:hAnsi="Times New Roman" w:eastAsia="Times New Roman" w:cs="Times New Roman"/>
          <w:color w:val="auto"/>
        </w:rPr>
      </w:pPr>
      <w:r>
        <w:rPr>
          <w:rFonts w:ascii="Times New Roman" w:hAnsi="Times New Roman" w:eastAsia="Times New Roman" w:cs="Times New Roman"/>
          <w:color w:val="auto"/>
        </w:rPr>
        <w:t>1</w:t>
      </w:r>
      <w:r>
        <w:rPr>
          <w:rFonts w:ascii="宋体" w:hAnsi="宋体" w:eastAsia="宋体" w:cs="宋体"/>
          <w:color w:val="auto"/>
        </w:rPr>
        <w:t>、该政府采购项目的投标文件（纸质或</w:t>
      </w:r>
      <w:r>
        <w:rPr>
          <w:rFonts w:ascii="Times New Roman" w:hAnsi="Times New Roman" w:eastAsia="Times New Roman" w:cs="Times New Roman"/>
          <w:color w:val="auto"/>
        </w:rPr>
        <w:t>DPF</w:t>
      </w:r>
      <w:r>
        <w:rPr>
          <w:rFonts w:ascii="宋体" w:hAnsi="宋体" w:eastAsia="宋体" w:cs="宋体"/>
          <w:color w:val="auto"/>
        </w:rPr>
        <w:t>格式的电子投标文件）；</w:t>
      </w:r>
    </w:p>
    <w:p>
      <w:pPr>
        <w:spacing w:line="460" w:lineRule="auto"/>
        <w:ind w:firstLine="420"/>
        <w:rPr>
          <w:rFonts w:ascii="Times New Roman" w:hAnsi="Times New Roman" w:eastAsia="Times New Roman" w:cs="Times New Roman"/>
          <w:color w:val="auto"/>
        </w:rPr>
      </w:pPr>
      <w:r>
        <w:rPr>
          <w:rFonts w:ascii="Times New Roman" w:hAnsi="Times New Roman" w:eastAsia="Times New Roman" w:cs="Times New Roman"/>
          <w:color w:val="auto"/>
        </w:rPr>
        <w:t>2</w:t>
      </w:r>
      <w:r>
        <w:rPr>
          <w:rFonts w:ascii="宋体" w:hAnsi="宋体" w:eastAsia="宋体" w:cs="宋体"/>
          <w:color w:val="auto"/>
        </w:rPr>
        <w:t>、针对该项目评审时评审委员会提出的质询答复（纸质并签章）；</w:t>
      </w:r>
    </w:p>
    <w:p>
      <w:pPr>
        <w:spacing w:line="460" w:lineRule="auto"/>
        <w:ind w:firstLine="420"/>
        <w:rPr>
          <w:rFonts w:ascii="Times New Roman" w:hAnsi="Times New Roman" w:eastAsia="Times New Roman" w:cs="Times New Roman"/>
          <w:color w:val="auto"/>
        </w:rPr>
      </w:pPr>
      <w:r>
        <w:rPr>
          <w:rFonts w:ascii="Times New Roman" w:hAnsi="Times New Roman" w:eastAsia="Times New Roman" w:cs="Times New Roman"/>
          <w:color w:val="auto"/>
        </w:rPr>
        <w:t>3</w:t>
      </w:r>
      <w:r>
        <w:rPr>
          <w:rFonts w:ascii="宋体" w:hAnsi="宋体" w:eastAsia="宋体" w:cs="宋体"/>
          <w:color w:val="auto"/>
        </w:rPr>
        <w:t>、该政府采购项目中标通知书；</w:t>
      </w:r>
    </w:p>
    <w:p>
      <w:pPr>
        <w:spacing w:line="460" w:lineRule="auto"/>
        <w:ind w:firstLine="420"/>
        <w:rPr>
          <w:rFonts w:ascii="Times New Roman" w:hAnsi="Times New Roman" w:eastAsia="Times New Roman" w:cs="Times New Roman"/>
          <w:color w:val="auto"/>
        </w:rPr>
      </w:pPr>
      <w:r>
        <w:rPr>
          <w:rFonts w:ascii="Times New Roman" w:hAnsi="Times New Roman" w:eastAsia="Times New Roman" w:cs="Times New Roman"/>
          <w:color w:val="auto"/>
        </w:rPr>
        <w:t>4</w:t>
      </w:r>
      <w:r>
        <w:rPr>
          <w:rFonts w:ascii="宋体" w:hAnsi="宋体" w:eastAsia="宋体" w:cs="宋体"/>
          <w:color w:val="auto"/>
        </w:rPr>
        <w:t>、供应商法人授权委托书（法人到场并签字的除外）；</w:t>
      </w:r>
    </w:p>
    <w:p>
      <w:pPr>
        <w:spacing w:line="460" w:lineRule="auto"/>
        <w:ind w:firstLine="420"/>
        <w:rPr>
          <w:rFonts w:ascii="Times New Roman" w:hAnsi="Times New Roman" w:eastAsia="Times New Roman" w:cs="Times New Roman"/>
          <w:color w:val="auto"/>
        </w:rPr>
      </w:pPr>
      <w:r>
        <w:rPr>
          <w:rFonts w:ascii="Times New Roman" w:hAnsi="Times New Roman" w:eastAsia="Times New Roman" w:cs="Times New Roman"/>
          <w:color w:val="auto"/>
        </w:rPr>
        <w:t>5</w:t>
      </w:r>
      <w:r>
        <w:rPr>
          <w:rFonts w:ascii="宋体" w:hAnsi="宋体" w:eastAsia="宋体" w:cs="宋体"/>
          <w:color w:val="auto"/>
        </w:rPr>
        <w:t>、供应商被授权人身份证件（法人到场并签字的除外）；</w:t>
      </w:r>
    </w:p>
    <w:p>
      <w:pPr>
        <w:spacing w:line="460" w:lineRule="auto"/>
        <w:ind w:firstLine="420"/>
        <w:rPr>
          <w:rFonts w:ascii="Times New Roman" w:hAnsi="Times New Roman" w:eastAsia="Times New Roman" w:cs="Times New Roman"/>
          <w:color w:val="auto"/>
        </w:rPr>
      </w:pPr>
      <w:r>
        <w:rPr>
          <w:rFonts w:ascii="Times New Roman" w:hAnsi="Times New Roman" w:eastAsia="Times New Roman" w:cs="Times New Roman"/>
          <w:color w:val="auto"/>
        </w:rPr>
        <w:t>6</w:t>
      </w:r>
      <w:r>
        <w:rPr>
          <w:rFonts w:ascii="宋体" w:hAnsi="宋体" w:eastAsia="宋体" w:cs="宋体"/>
          <w:color w:val="auto"/>
        </w:rPr>
        <w:t>、供应商和采购人约定的其它内容（不得超出招标采购文件实质性内容）。</w:t>
      </w:r>
    </w:p>
    <w:p>
      <w:pPr>
        <w:spacing w:line="460" w:lineRule="auto"/>
        <w:ind w:firstLine="420"/>
        <w:rPr>
          <w:rFonts w:ascii="Times New Roman" w:hAnsi="Times New Roman" w:eastAsia="Times New Roman" w:cs="Times New Roman"/>
          <w:color w:val="auto"/>
          <w:sz w:val="30"/>
        </w:rPr>
      </w:pPr>
      <w:r>
        <w:rPr>
          <w:rFonts w:ascii="宋体" w:hAnsi="宋体" w:eastAsia="宋体" w:cs="宋体"/>
          <w:color w:val="auto"/>
        </w:rPr>
        <w:t>三、本合同签订后二个工作日内有采购人在“周口市政府采购网”上进行合同公示。</w:t>
      </w:r>
    </w:p>
    <w:p>
      <w:pPr>
        <w:spacing w:line="460" w:lineRule="auto"/>
        <w:ind w:firstLine="640"/>
        <w:jc w:val="center"/>
        <w:rPr>
          <w:rFonts w:ascii="方正小标宋简体" w:hAnsi="方正小标宋简体" w:eastAsia="方正小标宋简体" w:cs="方正小标宋简体"/>
          <w:color w:val="auto"/>
          <w:sz w:val="32"/>
        </w:rPr>
      </w:pPr>
    </w:p>
    <w:p>
      <w:pPr>
        <w:spacing w:line="460" w:lineRule="auto"/>
        <w:ind w:firstLine="640"/>
        <w:jc w:val="center"/>
        <w:rPr>
          <w:rFonts w:ascii="方正小标宋简体" w:hAnsi="方正小标宋简体" w:eastAsia="方正小标宋简体" w:cs="方正小标宋简体"/>
          <w:color w:val="auto"/>
          <w:sz w:val="32"/>
        </w:rPr>
      </w:pPr>
      <w:r>
        <w:rPr>
          <w:rFonts w:ascii="宋体" w:hAnsi="宋体" w:eastAsia="宋体" w:cs="宋体"/>
          <w:color w:val="auto"/>
          <w:sz w:val="32"/>
        </w:rPr>
        <w:t>供应商履约验收指引</w:t>
      </w:r>
    </w:p>
    <w:p>
      <w:pPr>
        <w:numPr>
          <w:ilvl w:val="0"/>
          <w:numId w:val="27"/>
        </w:numPr>
        <w:spacing w:line="460" w:lineRule="auto"/>
        <w:ind w:firstLine="420"/>
        <w:rPr>
          <w:rFonts w:ascii="Times New Roman" w:hAnsi="Times New Roman" w:eastAsia="Times New Roman" w:cs="Times New Roman"/>
          <w:color w:val="auto"/>
        </w:rPr>
      </w:pPr>
      <w:r>
        <w:rPr>
          <w:rFonts w:ascii="宋体" w:hAnsi="宋体" w:eastAsia="宋体" w:cs="宋体"/>
          <w:color w:val="auto"/>
        </w:rPr>
        <w:t>供应商不得擅自变更合同标的物内容；</w:t>
      </w:r>
    </w:p>
    <w:p>
      <w:pPr>
        <w:spacing w:line="460" w:lineRule="auto"/>
        <w:ind w:firstLine="420"/>
        <w:rPr>
          <w:rFonts w:ascii="宋体" w:hAnsi="宋体" w:eastAsia="宋体" w:cs="宋体"/>
          <w:color w:val="auto"/>
        </w:rPr>
      </w:pPr>
      <w:r>
        <w:rPr>
          <w:rFonts w:ascii="宋体" w:hAnsi="宋体" w:eastAsia="宋体" w:cs="宋体"/>
          <w:color w:val="auto"/>
        </w:rPr>
        <w:t>2、不得以次充好、高投低配，确因在合同执行中不可抗力因素造成的，应提供相关依据；</w:t>
      </w:r>
    </w:p>
    <w:p>
      <w:pPr>
        <w:spacing w:line="460" w:lineRule="auto"/>
        <w:ind w:firstLine="420"/>
        <w:rPr>
          <w:rFonts w:ascii="宋体" w:hAnsi="宋体" w:eastAsia="宋体" w:cs="宋体"/>
          <w:color w:val="auto"/>
        </w:rPr>
      </w:pPr>
      <w:r>
        <w:rPr>
          <w:rFonts w:ascii="宋体" w:hAnsi="宋体" w:eastAsia="宋体" w:cs="宋体"/>
          <w:color w:val="auto"/>
        </w:rPr>
        <w:t>3、对因客观上采购人采购需求发生变化造成的，应提供采、供双方的纸质备忘录材料；</w:t>
      </w:r>
    </w:p>
    <w:p>
      <w:pPr>
        <w:spacing w:line="460" w:lineRule="auto"/>
        <w:ind w:firstLine="420"/>
        <w:rPr>
          <w:rFonts w:ascii="Times New Roman" w:hAnsi="Times New Roman" w:eastAsia="Times New Roman" w:cs="Times New Roman"/>
          <w:color w:val="auto"/>
        </w:rPr>
      </w:pPr>
      <w:r>
        <w:rPr>
          <w:rFonts w:ascii="Times New Roman" w:hAnsi="Times New Roman" w:eastAsia="Times New Roman" w:cs="Times New Roman"/>
          <w:color w:val="auto"/>
        </w:rPr>
        <w:t>4</w:t>
      </w:r>
      <w:r>
        <w:rPr>
          <w:rFonts w:ascii="宋体" w:hAnsi="宋体" w:eastAsia="宋体" w:cs="宋体"/>
          <w:color w:val="auto"/>
        </w:rPr>
        <w:t>、在满足验收条件</w:t>
      </w:r>
      <w:r>
        <w:rPr>
          <w:rFonts w:ascii="Times New Roman" w:hAnsi="Times New Roman" w:eastAsia="Times New Roman" w:cs="Times New Roman"/>
          <w:color w:val="auto"/>
        </w:rPr>
        <w:t>5</w:t>
      </w:r>
      <w:r>
        <w:rPr>
          <w:rFonts w:ascii="宋体" w:hAnsi="宋体" w:eastAsia="宋体" w:cs="宋体"/>
          <w:color w:val="auto"/>
        </w:rPr>
        <w:t>个工作日内通知采购人组织验收；</w:t>
      </w:r>
    </w:p>
    <w:p>
      <w:pPr>
        <w:spacing w:line="460" w:lineRule="auto"/>
        <w:ind w:firstLine="420"/>
        <w:rPr>
          <w:rFonts w:ascii="宋体" w:hAnsi="宋体" w:eastAsia="宋体" w:cs="宋体"/>
          <w:color w:val="auto"/>
        </w:rPr>
      </w:pPr>
      <w:r>
        <w:rPr>
          <w:rFonts w:ascii="Times New Roman" w:hAnsi="Times New Roman" w:eastAsia="Times New Roman" w:cs="Times New Roman"/>
          <w:color w:val="auto"/>
        </w:rPr>
        <w:t>5</w:t>
      </w:r>
      <w:r>
        <w:rPr>
          <w:rFonts w:ascii="宋体" w:hAnsi="宋体" w:eastAsia="宋体" w:cs="宋体"/>
          <w:color w:val="auto"/>
        </w:rPr>
        <w:t>、供应商应提供需验收物品的清单、参数、使用手册、人员培训情况等资料；</w:t>
      </w:r>
    </w:p>
    <w:p>
      <w:pPr>
        <w:spacing w:line="460" w:lineRule="auto"/>
        <w:ind w:firstLine="420"/>
        <w:rPr>
          <w:rFonts w:ascii="宋体" w:hAnsi="宋体" w:eastAsia="宋体" w:cs="宋体"/>
          <w:color w:val="auto"/>
        </w:rPr>
      </w:pPr>
      <w:r>
        <w:rPr>
          <w:rFonts w:ascii="宋体" w:hAnsi="宋体" w:eastAsia="宋体" w:cs="宋体"/>
          <w:color w:val="auto"/>
        </w:rPr>
        <w:t>6、采、供双方约定的验收机构及相关人员组成情况。</w:t>
      </w:r>
    </w:p>
    <w:p>
      <w:pPr>
        <w:spacing w:line="460" w:lineRule="auto"/>
        <w:ind w:firstLine="420"/>
        <w:rPr>
          <w:rFonts w:ascii="Times New Roman" w:hAnsi="Times New Roman" w:eastAsia="Times New Roman" w:cs="Times New Roman"/>
          <w:color w:val="auto"/>
        </w:rPr>
      </w:pPr>
      <w:r>
        <w:rPr>
          <w:rFonts w:ascii="宋体" w:hAnsi="宋体" w:eastAsia="宋体" w:cs="宋体"/>
          <w:color w:val="auto"/>
        </w:rPr>
        <w:t>7、督促采购人在项目验收结束并达到相关要求后一个工作日内，在“周口市政府采购网”上进行“履约验收”公示。</w:t>
      </w:r>
    </w:p>
    <w:p>
      <w:pPr>
        <w:spacing w:line="520" w:lineRule="auto"/>
        <w:jc w:val="center"/>
        <w:rPr>
          <w:rFonts w:ascii="方正小标宋简体" w:hAnsi="方正小标宋简体" w:eastAsia="方正小标宋简体" w:cs="方正小标宋简体"/>
          <w:color w:val="auto"/>
          <w:sz w:val="28"/>
        </w:rPr>
      </w:pPr>
      <w:r>
        <w:rPr>
          <w:rFonts w:ascii="宋体" w:hAnsi="宋体" w:eastAsia="宋体" w:cs="宋体"/>
          <w:color w:val="auto"/>
          <w:sz w:val="28"/>
        </w:rPr>
        <w:t>采购合同内容</w:t>
      </w:r>
    </w:p>
    <w:p>
      <w:pPr>
        <w:spacing w:line="520" w:lineRule="auto"/>
        <w:ind w:firstLine="420"/>
        <w:rPr>
          <w:rFonts w:ascii="Times New Roman" w:hAnsi="Times New Roman" w:eastAsia="Times New Roman" w:cs="Times New Roman"/>
          <w:color w:val="auto"/>
        </w:rPr>
      </w:pPr>
    </w:p>
    <w:p>
      <w:pPr>
        <w:spacing w:line="360" w:lineRule="auto"/>
        <w:ind w:firstLine="420"/>
        <w:rPr>
          <w:rFonts w:ascii="Times New Roman" w:hAnsi="Times New Roman" w:eastAsia="Times New Roman" w:cs="Times New Roman"/>
          <w:color w:val="auto"/>
          <w:u w:val="single"/>
        </w:rPr>
      </w:pPr>
      <w:r>
        <w:rPr>
          <w:rFonts w:ascii="宋体" w:hAnsi="宋体" w:eastAsia="宋体" w:cs="宋体"/>
          <w:color w:val="auto"/>
        </w:rPr>
        <w:t>采购人（甲方）：</w:t>
      </w:r>
      <w:r>
        <w:rPr>
          <w:rFonts w:ascii="Times New Roman" w:hAnsi="Times New Roman" w:eastAsia="Times New Roman" w:cs="Times New Roman"/>
          <w:color w:val="auto"/>
        </w:rPr>
        <w:t xml:space="preserve"> </w:t>
      </w:r>
    </w:p>
    <w:p>
      <w:pPr>
        <w:spacing w:line="360" w:lineRule="auto"/>
        <w:ind w:firstLine="420"/>
        <w:rPr>
          <w:rFonts w:ascii="Times New Roman" w:hAnsi="Times New Roman" w:eastAsia="Times New Roman" w:cs="Times New Roman"/>
          <w:color w:val="auto"/>
        </w:rPr>
      </w:pPr>
      <w:r>
        <w:rPr>
          <w:rFonts w:ascii="宋体" w:hAnsi="宋体" w:eastAsia="宋体" w:cs="宋体"/>
          <w:color w:val="auto"/>
        </w:rPr>
        <w:t>供应商（乙方）：</w:t>
      </w:r>
    </w:p>
    <w:p>
      <w:pPr>
        <w:spacing w:line="360" w:lineRule="auto"/>
        <w:ind w:firstLine="420"/>
        <w:rPr>
          <w:rFonts w:ascii="Times New Roman" w:hAnsi="Times New Roman" w:eastAsia="Times New Roman" w:cs="Times New Roman"/>
          <w:color w:val="auto"/>
          <w:u w:val="single"/>
        </w:rPr>
      </w:pPr>
      <w:r>
        <w:rPr>
          <w:rFonts w:ascii="宋体" w:hAnsi="宋体" w:eastAsia="宋体" w:cs="宋体"/>
          <w:color w:val="auto"/>
        </w:rPr>
        <w:t>签订地点：</w:t>
      </w:r>
    </w:p>
    <w:p>
      <w:pPr>
        <w:spacing w:line="360" w:lineRule="auto"/>
        <w:ind w:firstLine="420"/>
        <w:rPr>
          <w:rFonts w:ascii="Times New Roman" w:hAnsi="Times New Roman" w:eastAsia="Times New Roman" w:cs="Times New Roman"/>
          <w:color w:val="auto"/>
          <w:u w:val="single"/>
        </w:rPr>
      </w:pPr>
      <w:r>
        <w:rPr>
          <w:rFonts w:ascii="宋体" w:hAnsi="宋体" w:eastAsia="宋体" w:cs="宋体"/>
          <w:color w:val="auto"/>
        </w:rPr>
        <w:t>项目名称：</w:t>
      </w:r>
    </w:p>
    <w:p>
      <w:pPr>
        <w:spacing w:line="360" w:lineRule="auto"/>
        <w:ind w:firstLine="420"/>
        <w:rPr>
          <w:rFonts w:ascii="Times New Roman" w:hAnsi="Times New Roman" w:eastAsia="Times New Roman" w:cs="Times New Roman"/>
          <w:color w:val="auto"/>
          <w:u w:val="single"/>
        </w:rPr>
      </w:pPr>
      <w:r>
        <w:rPr>
          <w:rFonts w:ascii="宋体" w:hAnsi="宋体" w:eastAsia="宋体" w:cs="宋体"/>
          <w:color w:val="auto"/>
        </w:rPr>
        <w:t>项目编号：</w:t>
      </w:r>
    </w:p>
    <w:p>
      <w:pPr>
        <w:spacing w:line="360" w:lineRule="auto"/>
        <w:ind w:firstLine="420"/>
        <w:rPr>
          <w:rFonts w:ascii="Times New Roman" w:hAnsi="Times New Roman" w:eastAsia="Times New Roman" w:cs="Times New Roman"/>
          <w:color w:val="auto"/>
        </w:rPr>
      </w:pPr>
      <w:r>
        <w:rPr>
          <w:rFonts w:ascii="宋体" w:hAnsi="宋体" w:eastAsia="宋体" w:cs="宋体"/>
          <w:color w:val="auto"/>
        </w:rPr>
        <w:t>财政委托号：</w:t>
      </w:r>
      <w:r>
        <w:rPr>
          <w:rFonts w:ascii="Times New Roman" w:hAnsi="Times New Roman" w:eastAsia="Times New Roman" w:cs="Times New Roman"/>
          <w:color w:val="auto"/>
          <w:u w:val="single"/>
        </w:rPr>
        <w:t xml:space="preserve">      </w:t>
      </w:r>
      <w:r>
        <w:rPr>
          <w:rFonts w:ascii="Times New Roman" w:hAnsi="Times New Roman" w:eastAsia="Times New Roman" w:cs="Times New Roman"/>
          <w:color w:val="auto"/>
        </w:rPr>
        <w:t>(</w:t>
      </w:r>
      <w:r>
        <w:rPr>
          <w:rFonts w:ascii="宋体" w:hAnsi="宋体" w:eastAsia="宋体" w:cs="宋体"/>
          <w:color w:val="auto"/>
        </w:rPr>
        <w:t>财政资金项目必须填写</w:t>
      </w:r>
      <w:r>
        <w:rPr>
          <w:rFonts w:ascii="Times New Roman" w:hAnsi="Times New Roman" w:eastAsia="Times New Roman" w:cs="Times New Roman"/>
          <w:color w:val="auto"/>
        </w:rPr>
        <w:t>)</w:t>
      </w:r>
    </w:p>
    <w:p>
      <w:pPr>
        <w:spacing w:line="360" w:lineRule="auto"/>
        <w:ind w:firstLine="420"/>
        <w:rPr>
          <w:rFonts w:ascii="Times New Roman" w:hAnsi="Times New Roman" w:eastAsia="Times New Roman" w:cs="Times New Roman"/>
          <w:color w:val="auto"/>
        </w:rPr>
      </w:pPr>
      <w:r>
        <w:rPr>
          <w:rFonts w:ascii="宋体" w:hAnsi="宋体" w:eastAsia="宋体" w:cs="宋体"/>
          <w:color w:val="auto"/>
        </w:rPr>
        <w:t>本项目经批准采用</w:t>
      </w:r>
      <w:r>
        <w:rPr>
          <w:rFonts w:ascii="Times New Roman" w:hAnsi="Times New Roman" w:eastAsia="Times New Roman" w:cs="Times New Roman"/>
          <w:color w:val="auto"/>
          <w:u w:val="single"/>
        </w:rPr>
        <w:t xml:space="preserve">           </w:t>
      </w:r>
      <w:r>
        <w:rPr>
          <w:rFonts w:ascii="宋体" w:hAnsi="宋体" w:eastAsia="宋体" w:cs="宋体"/>
          <w:color w:val="auto"/>
        </w:rPr>
        <w:t>采购方式，经本项目评审委员会认真评审，决定将采购合同授予乙方。为进一步明确双方的责任，确保合同的顺利履行，根据《中华人民共和国采购法》、《中华人民共和国</w:t>
      </w:r>
      <w:r>
        <w:rPr>
          <w:rFonts w:hint="eastAsia" w:ascii="宋体" w:hAnsi="宋体" w:eastAsia="宋体" w:cs="宋体"/>
          <w:color w:val="auto"/>
        </w:rPr>
        <w:t>民法典</w:t>
      </w:r>
      <w:r>
        <w:rPr>
          <w:rFonts w:ascii="宋体" w:hAnsi="宋体" w:eastAsia="宋体" w:cs="宋体"/>
          <w:color w:val="auto"/>
        </w:rPr>
        <w:t>》之规定，经甲乙双方充分协商，特订立本合同，以便共同遵守。</w:t>
      </w:r>
    </w:p>
    <w:p>
      <w:pPr>
        <w:spacing w:line="360" w:lineRule="auto"/>
        <w:ind w:firstLine="422"/>
        <w:rPr>
          <w:rFonts w:ascii="Times New Roman" w:hAnsi="Times New Roman" w:eastAsia="Times New Roman" w:cs="Times New Roman"/>
          <w:color w:val="auto"/>
          <w:u w:val="single"/>
        </w:rPr>
      </w:pPr>
      <w:r>
        <w:rPr>
          <w:rFonts w:ascii="宋体" w:hAnsi="宋体" w:eastAsia="宋体" w:cs="宋体"/>
          <w:b/>
          <w:color w:val="auto"/>
        </w:rPr>
        <w:t>第一条</w:t>
      </w:r>
      <w:r>
        <w:rPr>
          <w:rFonts w:ascii="宋体" w:hAnsi="宋体" w:eastAsia="宋体" w:cs="宋体"/>
          <w:color w:val="auto"/>
        </w:rPr>
        <w:t> </w:t>
      </w:r>
      <w:r>
        <w:rPr>
          <w:rFonts w:ascii="Times New Roman" w:hAnsi="Times New Roman" w:eastAsia="Times New Roman" w:cs="Times New Roman"/>
          <w:color w:val="auto"/>
        </w:rPr>
        <w:t xml:space="preserve">  </w:t>
      </w:r>
      <w:r>
        <w:rPr>
          <w:rFonts w:ascii="宋体" w:hAnsi="宋体" w:eastAsia="宋体" w:cs="宋体"/>
          <w:color w:val="auto"/>
        </w:rPr>
        <w:t>产品的名称、品种、规格、数量和价格：（若产品过多则见附表，如有附表则必须加盖印章）</w:t>
      </w:r>
    </w:p>
    <w:tbl>
      <w:tblPr>
        <w:tblStyle w:val="8"/>
        <w:tblW w:w="0" w:type="auto"/>
        <w:tblInd w:w="108" w:type="dxa"/>
        <w:tblLayout w:type="autofit"/>
        <w:tblCellMar>
          <w:top w:w="0" w:type="dxa"/>
          <w:left w:w="10" w:type="dxa"/>
          <w:bottom w:w="0" w:type="dxa"/>
          <w:right w:w="10" w:type="dxa"/>
        </w:tblCellMar>
      </w:tblPr>
      <w:tblGrid>
        <w:gridCol w:w="1818"/>
        <w:gridCol w:w="1510"/>
        <w:gridCol w:w="894"/>
        <w:gridCol w:w="894"/>
        <w:gridCol w:w="1038"/>
        <w:gridCol w:w="1191"/>
        <w:gridCol w:w="1069"/>
      </w:tblGrid>
      <w:tr>
        <w:tblPrEx>
          <w:tblCellMar>
            <w:top w:w="0" w:type="dxa"/>
            <w:left w:w="10" w:type="dxa"/>
            <w:bottom w:w="0" w:type="dxa"/>
            <w:right w:w="10" w:type="dxa"/>
          </w:tblCellMar>
        </w:tblPrEx>
        <w:tc>
          <w:tcPr>
            <w:tcW w:w="198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spacing w:line="360" w:lineRule="auto"/>
              <w:ind w:firstLine="420"/>
              <w:rPr>
                <w:rFonts w:ascii="宋体" w:hAnsi="宋体" w:eastAsia="宋体" w:cs="宋体"/>
                <w:color w:val="auto"/>
              </w:rPr>
            </w:pPr>
            <w:r>
              <w:rPr>
                <w:rFonts w:ascii="宋体" w:hAnsi="宋体" w:eastAsia="宋体" w:cs="宋体"/>
                <w:color w:val="auto"/>
              </w:rPr>
              <w:t>产品名称</w:t>
            </w:r>
          </w:p>
        </w:tc>
        <w:tc>
          <w:tcPr>
            <w:tcW w:w="162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spacing w:line="360" w:lineRule="auto"/>
              <w:ind w:firstLine="420"/>
              <w:rPr>
                <w:rFonts w:ascii="宋体" w:hAnsi="宋体" w:eastAsia="宋体" w:cs="宋体"/>
                <w:color w:val="auto"/>
              </w:rPr>
            </w:pPr>
            <w:r>
              <w:rPr>
                <w:rFonts w:ascii="宋体" w:hAnsi="宋体" w:eastAsia="宋体" w:cs="宋体"/>
                <w:color w:val="auto"/>
              </w:rPr>
              <w:t>规格型号</w:t>
            </w:r>
          </w:p>
        </w:tc>
        <w:tc>
          <w:tcPr>
            <w:tcW w:w="902"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spacing w:line="360" w:lineRule="auto"/>
              <w:ind w:firstLine="420"/>
              <w:rPr>
                <w:rFonts w:ascii="宋体" w:hAnsi="宋体" w:eastAsia="宋体" w:cs="宋体"/>
                <w:color w:val="auto"/>
              </w:rPr>
            </w:pPr>
            <w:r>
              <w:rPr>
                <w:rFonts w:ascii="宋体" w:hAnsi="宋体" w:eastAsia="宋体" w:cs="宋体"/>
                <w:color w:val="auto"/>
              </w:rPr>
              <w:t>单位</w:t>
            </w:r>
          </w:p>
        </w:tc>
        <w:tc>
          <w:tcPr>
            <w:tcW w:w="902"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spacing w:line="360" w:lineRule="auto"/>
              <w:ind w:firstLine="420"/>
              <w:rPr>
                <w:rFonts w:ascii="宋体" w:hAnsi="宋体" w:eastAsia="宋体" w:cs="宋体"/>
                <w:color w:val="auto"/>
              </w:rPr>
            </w:pPr>
            <w:r>
              <w:rPr>
                <w:rFonts w:ascii="宋体" w:hAnsi="宋体" w:eastAsia="宋体" w:cs="宋体"/>
                <w:color w:val="auto"/>
              </w:rPr>
              <w:t>数量</w:t>
            </w:r>
          </w:p>
        </w:tc>
        <w:tc>
          <w:tcPr>
            <w:tcW w:w="10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spacing w:line="360" w:lineRule="auto"/>
              <w:ind w:firstLine="420"/>
              <w:rPr>
                <w:rFonts w:ascii="宋体" w:hAnsi="宋体" w:eastAsia="宋体" w:cs="宋体"/>
                <w:color w:val="auto"/>
              </w:rPr>
            </w:pPr>
            <w:r>
              <w:rPr>
                <w:rFonts w:ascii="宋体" w:hAnsi="宋体" w:eastAsia="宋体" w:cs="宋体"/>
                <w:color w:val="auto"/>
              </w:rPr>
              <w:t>单价</w:t>
            </w:r>
          </w:p>
        </w:tc>
        <w:tc>
          <w:tcPr>
            <w:tcW w:w="125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spacing w:line="360" w:lineRule="auto"/>
              <w:ind w:firstLine="420"/>
              <w:rPr>
                <w:rFonts w:ascii="宋体" w:hAnsi="宋体" w:eastAsia="宋体" w:cs="宋体"/>
                <w:color w:val="auto"/>
              </w:rPr>
            </w:pPr>
            <w:r>
              <w:rPr>
                <w:rFonts w:ascii="宋体" w:hAnsi="宋体" w:eastAsia="宋体" w:cs="宋体"/>
                <w:color w:val="auto"/>
              </w:rPr>
              <w:t>小计</w:t>
            </w:r>
          </w:p>
        </w:tc>
        <w:tc>
          <w:tcPr>
            <w:tcW w:w="110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spacing w:line="360" w:lineRule="auto"/>
              <w:ind w:firstLine="420"/>
              <w:rPr>
                <w:rFonts w:ascii="宋体" w:hAnsi="宋体" w:eastAsia="宋体" w:cs="宋体"/>
                <w:color w:val="auto"/>
              </w:rPr>
            </w:pPr>
            <w:r>
              <w:rPr>
                <w:rFonts w:ascii="宋体" w:hAnsi="宋体" w:eastAsia="宋体" w:cs="宋体"/>
                <w:color w:val="auto"/>
              </w:rPr>
              <w:t>备注</w:t>
            </w:r>
          </w:p>
        </w:tc>
      </w:tr>
      <w:tr>
        <w:tblPrEx>
          <w:tblCellMar>
            <w:top w:w="0" w:type="dxa"/>
            <w:left w:w="10" w:type="dxa"/>
            <w:bottom w:w="0" w:type="dxa"/>
            <w:right w:w="10" w:type="dxa"/>
          </w:tblCellMar>
        </w:tblPrEx>
        <w:tc>
          <w:tcPr>
            <w:tcW w:w="198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spacing w:line="360" w:lineRule="auto"/>
              <w:ind w:firstLine="420"/>
              <w:rPr>
                <w:rFonts w:ascii="宋体" w:hAnsi="宋体" w:eastAsia="宋体" w:cs="宋体"/>
                <w:color w:val="auto"/>
                <w:sz w:val="22"/>
              </w:rPr>
            </w:pPr>
          </w:p>
        </w:tc>
        <w:tc>
          <w:tcPr>
            <w:tcW w:w="162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spacing w:line="360" w:lineRule="auto"/>
              <w:ind w:firstLine="420"/>
              <w:rPr>
                <w:rFonts w:ascii="宋体" w:hAnsi="宋体" w:eastAsia="宋体" w:cs="宋体"/>
                <w:color w:val="auto"/>
                <w:sz w:val="22"/>
              </w:rPr>
            </w:pPr>
          </w:p>
        </w:tc>
        <w:tc>
          <w:tcPr>
            <w:tcW w:w="902"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spacing w:line="360" w:lineRule="auto"/>
              <w:ind w:firstLine="420"/>
              <w:rPr>
                <w:rFonts w:ascii="宋体" w:hAnsi="宋体" w:eastAsia="宋体" w:cs="宋体"/>
                <w:color w:val="auto"/>
                <w:sz w:val="22"/>
              </w:rPr>
            </w:pPr>
          </w:p>
        </w:tc>
        <w:tc>
          <w:tcPr>
            <w:tcW w:w="902"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spacing w:line="360" w:lineRule="auto"/>
              <w:ind w:firstLine="420"/>
              <w:rPr>
                <w:rFonts w:ascii="宋体" w:hAnsi="宋体" w:eastAsia="宋体" w:cs="宋体"/>
                <w:color w:val="auto"/>
                <w:sz w:val="22"/>
              </w:rPr>
            </w:pPr>
          </w:p>
        </w:tc>
        <w:tc>
          <w:tcPr>
            <w:tcW w:w="10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spacing w:line="360" w:lineRule="auto"/>
              <w:ind w:firstLine="420"/>
              <w:rPr>
                <w:rFonts w:ascii="宋体" w:hAnsi="宋体" w:eastAsia="宋体" w:cs="宋体"/>
                <w:color w:val="auto"/>
                <w:sz w:val="22"/>
              </w:rPr>
            </w:pPr>
          </w:p>
        </w:tc>
        <w:tc>
          <w:tcPr>
            <w:tcW w:w="125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spacing w:line="360" w:lineRule="auto"/>
              <w:ind w:firstLine="420"/>
              <w:rPr>
                <w:rFonts w:ascii="宋体" w:hAnsi="宋体" w:eastAsia="宋体" w:cs="宋体"/>
                <w:color w:val="auto"/>
                <w:sz w:val="22"/>
              </w:rPr>
            </w:pPr>
          </w:p>
        </w:tc>
        <w:tc>
          <w:tcPr>
            <w:tcW w:w="110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spacing w:line="360" w:lineRule="auto"/>
              <w:ind w:firstLine="420"/>
              <w:rPr>
                <w:rFonts w:ascii="宋体" w:hAnsi="宋体" w:eastAsia="宋体" w:cs="宋体"/>
                <w:color w:val="auto"/>
                <w:sz w:val="22"/>
              </w:rPr>
            </w:pPr>
          </w:p>
        </w:tc>
      </w:tr>
      <w:tr>
        <w:tblPrEx>
          <w:tblCellMar>
            <w:top w:w="0" w:type="dxa"/>
            <w:left w:w="10" w:type="dxa"/>
            <w:bottom w:w="0" w:type="dxa"/>
            <w:right w:w="10" w:type="dxa"/>
          </w:tblCellMar>
        </w:tblPrEx>
        <w:tc>
          <w:tcPr>
            <w:tcW w:w="198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spacing w:line="360" w:lineRule="auto"/>
              <w:ind w:firstLine="420"/>
              <w:rPr>
                <w:rFonts w:ascii="宋体" w:hAnsi="宋体" w:eastAsia="宋体" w:cs="宋体"/>
                <w:color w:val="auto"/>
                <w:sz w:val="22"/>
              </w:rPr>
            </w:pPr>
          </w:p>
        </w:tc>
        <w:tc>
          <w:tcPr>
            <w:tcW w:w="162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spacing w:line="360" w:lineRule="auto"/>
              <w:ind w:firstLine="420"/>
              <w:rPr>
                <w:rFonts w:ascii="宋体" w:hAnsi="宋体" w:eastAsia="宋体" w:cs="宋体"/>
                <w:color w:val="auto"/>
                <w:sz w:val="22"/>
              </w:rPr>
            </w:pPr>
          </w:p>
        </w:tc>
        <w:tc>
          <w:tcPr>
            <w:tcW w:w="902"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spacing w:line="360" w:lineRule="auto"/>
              <w:ind w:firstLine="420"/>
              <w:rPr>
                <w:rFonts w:ascii="宋体" w:hAnsi="宋体" w:eastAsia="宋体" w:cs="宋体"/>
                <w:color w:val="auto"/>
                <w:sz w:val="22"/>
              </w:rPr>
            </w:pPr>
          </w:p>
        </w:tc>
        <w:tc>
          <w:tcPr>
            <w:tcW w:w="902"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spacing w:line="360" w:lineRule="auto"/>
              <w:ind w:firstLine="420"/>
              <w:rPr>
                <w:rFonts w:ascii="宋体" w:hAnsi="宋体" w:eastAsia="宋体" w:cs="宋体"/>
                <w:color w:val="auto"/>
                <w:sz w:val="22"/>
              </w:rPr>
            </w:pPr>
          </w:p>
        </w:tc>
        <w:tc>
          <w:tcPr>
            <w:tcW w:w="10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spacing w:line="360" w:lineRule="auto"/>
              <w:ind w:firstLine="420"/>
              <w:rPr>
                <w:rFonts w:ascii="宋体" w:hAnsi="宋体" w:eastAsia="宋体" w:cs="宋体"/>
                <w:color w:val="auto"/>
                <w:sz w:val="22"/>
              </w:rPr>
            </w:pPr>
          </w:p>
        </w:tc>
        <w:tc>
          <w:tcPr>
            <w:tcW w:w="125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spacing w:line="360" w:lineRule="auto"/>
              <w:ind w:firstLine="420"/>
              <w:rPr>
                <w:rFonts w:ascii="宋体" w:hAnsi="宋体" w:eastAsia="宋体" w:cs="宋体"/>
                <w:color w:val="auto"/>
                <w:sz w:val="22"/>
              </w:rPr>
            </w:pPr>
          </w:p>
        </w:tc>
        <w:tc>
          <w:tcPr>
            <w:tcW w:w="110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spacing w:line="360" w:lineRule="auto"/>
              <w:ind w:firstLine="420"/>
              <w:rPr>
                <w:rFonts w:ascii="宋体" w:hAnsi="宋体" w:eastAsia="宋体" w:cs="宋体"/>
                <w:color w:val="auto"/>
                <w:sz w:val="22"/>
              </w:rPr>
            </w:pPr>
          </w:p>
        </w:tc>
      </w:tr>
      <w:tr>
        <w:tblPrEx>
          <w:tblCellMar>
            <w:top w:w="0" w:type="dxa"/>
            <w:left w:w="10" w:type="dxa"/>
            <w:bottom w:w="0" w:type="dxa"/>
            <w:right w:w="10" w:type="dxa"/>
          </w:tblCellMar>
        </w:tblPrEx>
        <w:tc>
          <w:tcPr>
            <w:tcW w:w="198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spacing w:line="360" w:lineRule="auto"/>
              <w:ind w:firstLine="420"/>
              <w:rPr>
                <w:rFonts w:ascii="宋体" w:hAnsi="宋体" w:eastAsia="宋体" w:cs="宋体"/>
                <w:color w:val="auto"/>
                <w:sz w:val="22"/>
              </w:rPr>
            </w:pPr>
          </w:p>
        </w:tc>
        <w:tc>
          <w:tcPr>
            <w:tcW w:w="162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spacing w:line="360" w:lineRule="auto"/>
              <w:ind w:firstLine="420"/>
              <w:rPr>
                <w:rFonts w:ascii="宋体" w:hAnsi="宋体" w:eastAsia="宋体" w:cs="宋体"/>
                <w:color w:val="auto"/>
                <w:sz w:val="22"/>
              </w:rPr>
            </w:pPr>
          </w:p>
        </w:tc>
        <w:tc>
          <w:tcPr>
            <w:tcW w:w="902"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spacing w:line="360" w:lineRule="auto"/>
              <w:ind w:firstLine="420"/>
              <w:rPr>
                <w:rFonts w:ascii="宋体" w:hAnsi="宋体" w:eastAsia="宋体" w:cs="宋体"/>
                <w:color w:val="auto"/>
                <w:sz w:val="22"/>
              </w:rPr>
            </w:pPr>
          </w:p>
        </w:tc>
        <w:tc>
          <w:tcPr>
            <w:tcW w:w="902"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spacing w:line="360" w:lineRule="auto"/>
              <w:ind w:firstLine="420"/>
              <w:rPr>
                <w:rFonts w:ascii="宋体" w:hAnsi="宋体" w:eastAsia="宋体" w:cs="宋体"/>
                <w:color w:val="auto"/>
                <w:sz w:val="22"/>
              </w:rPr>
            </w:pPr>
          </w:p>
        </w:tc>
        <w:tc>
          <w:tcPr>
            <w:tcW w:w="10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spacing w:line="360" w:lineRule="auto"/>
              <w:ind w:firstLine="420"/>
              <w:rPr>
                <w:rFonts w:ascii="宋体" w:hAnsi="宋体" w:eastAsia="宋体" w:cs="宋体"/>
                <w:color w:val="auto"/>
                <w:sz w:val="22"/>
              </w:rPr>
            </w:pPr>
          </w:p>
        </w:tc>
        <w:tc>
          <w:tcPr>
            <w:tcW w:w="125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spacing w:line="360" w:lineRule="auto"/>
              <w:ind w:firstLine="420"/>
              <w:rPr>
                <w:rFonts w:ascii="宋体" w:hAnsi="宋体" w:eastAsia="宋体" w:cs="宋体"/>
                <w:color w:val="auto"/>
                <w:sz w:val="22"/>
              </w:rPr>
            </w:pPr>
          </w:p>
        </w:tc>
        <w:tc>
          <w:tcPr>
            <w:tcW w:w="110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spacing w:line="360" w:lineRule="auto"/>
              <w:ind w:firstLine="420"/>
              <w:rPr>
                <w:rFonts w:ascii="宋体" w:hAnsi="宋体" w:eastAsia="宋体" w:cs="宋体"/>
                <w:color w:val="auto"/>
                <w:sz w:val="22"/>
              </w:rPr>
            </w:pPr>
          </w:p>
        </w:tc>
      </w:tr>
      <w:tr>
        <w:tblPrEx>
          <w:tblCellMar>
            <w:top w:w="0" w:type="dxa"/>
            <w:left w:w="10" w:type="dxa"/>
            <w:bottom w:w="0" w:type="dxa"/>
            <w:right w:w="10" w:type="dxa"/>
          </w:tblCellMar>
        </w:tblPrEx>
        <w:tc>
          <w:tcPr>
            <w:tcW w:w="8837" w:type="dxa"/>
            <w:gridSpan w:val="7"/>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spacing w:line="360" w:lineRule="auto"/>
              <w:ind w:firstLine="420"/>
              <w:rPr>
                <w:rFonts w:ascii="Times New Roman" w:hAnsi="Times New Roman" w:eastAsia="Times New Roman" w:cs="Times New Roman"/>
                <w:color w:val="auto"/>
              </w:rPr>
            </w:pPr>
            <w:r>
              <w:rPr>
                <w:rFonts w:ascii="宋体" w:hAnsi="宋体" w:eastAsia="宋体" w:cs="宋体"/>
                <w:color w:val="auto"/>
              </w:rPr>
              <w:t>合同总价款（大小写）：</w:t>
            </w:r>
          </w:p>
          <w:p>
            <w:pPr>
              <w:spacing w:line="360" w:lineRule="auto"/>
              <w:ind w:firstLine="420"/>
              <w:rPr>
                <w:color w:val="auto"/>
              </w:rPr>
            </w:pPr>
            <w:r>
              <w:rPr>
                <w:rFonts w:ascii="宋体" w:hAnsi="宋体" w:eastAsia="宋体" w:cs="宋体"/>
                <w:color w:val="auto"/>
              </w:rPr>
              <w:t>备注：上述产品报价含产品生产、运输</w:t>
            </w:r>
            <w:r>
              <w:rPr>
                <w:rFonts w:ascii="Times New Roman" w:hAnsi="Times New Roman" w:eastAsia="Times New Roman" w:cs="Times New Roman"/>
                <w:color w:val="auto"/>
              </w:rPr>
              <w:t>&lt;</w:t>
            </w:r>
            <w:r>
              <w:rPr>
                <w:rFonts w:ascii="宋体" w:hAnsi="宋体" w:eastAsia="宋体" w:cs="宋体"/>
                <w:color w:val="auto"/>
              </w:rPr>
              <w:t>送达至甲方指定地点并下货</w:t>
            </w:r>
            <w:r>
              <w:rPr>
                <w:rFonts w:ascii="Times New Roman" w:hAnsi="Times New Roman" w:eastAsia="Times New Roman" w:cs="Times New Roman"/>
                <w:color w:val="auto"/>
              </w:rPr>
              <w:t>&gt;</w:t>
            </w:r>
            <w:r>
              <w:rPr>
                <w:rFonts w:ascii="宋体" w:hAnsi="宋体" w:eastAsia="宋体" w:cs="宋体"/>
                <w:color w:val="auto"/>
              </w:rPr>
              <w:t>、安装、调试、检验及售后服务、税金、劳保基金、人员培训等费用。</w:t>
            </w:r>
          </w:p>
        </w:tc>
      </w:tr>
    </w:tbl>
    <w:p>
      <w:pPr>
        <w:spacing w:line="360" w:lineRule="auto"/>
        <w:ind w:firstLine="422"/>
        <w:rPr>
          <w:rFonts w:ascii="Times New Roman" w:hAnsi="Times New Roman" w:eastAsia="Times New Roman" w:cs="Times New Roman"/>
          <w:color w:val="auto"/>
        </w:rPr>
      </w:pPr>
      <w:r>
        <w:rPr>
          <w:rFonts w:ascii="宋体" w:hAnsi="宋体" w:eastAsia="宋体" w:cs="宋体"/>
          <w:b/>
          <w:color w:val="auto"/>
        </w:rPr>
        <w:t>第二条</w:t>
      </w:r>
      <w:r>
        <w:rPr>
          <w:rFonts w:ascii="Times New Roman" w:hAnsi="Times New Roman" w:eastAsia="Times New Roman" w:cs="Times New Roman"/>
          <w:b/>
          <w:color w:val="auto"/>
        </w:rPr>
        <w:t xml:space="preserve">  </w:t>
      </w:r>
      <w:r>
        <w:rPr>
          <w:rFonts w:ascii="宋体" w:hAnsi="宋体" w:eastAsia="宋体" w:cs="宋体"/>
          <w:color w:val="auto"/>
        </w:rPr>
        <w:t>产品的技术标准（包括质量要求），按下列第（</w:t>
      </w:r>
      <w:r>
        <w:rPr>
          <w:rFonts w:ascii="Times New Roman" w:hAnsi="Times New Roman" w:eastAsia="Times New Roman" w:cs="Times New Roman"/>
          <w:color w:val="auto"/>
        </w:rPr>
        <w:t xml:space="preserve"> </w:t>
      </w:r>
      <w:r>
        <w:rPr>
          <w:rFonts w:ascii="宋体" w:hAnsi="宋体" w:eastAsia="宋体" w:cs="宋体"/>
          <w:color w:val="auto"/>
        </w:rPr>
        <w:t>）项执行：</w:t>
      </w:r>
    </w:p>
    <w:p>
      <w:pPr>
        <w:spacing w:line="360" w:lineRule="auto"/>
        <w:ind w:firstLine="420"/>
        <w:rPr>
          <w:rFonts w:ascii="Times New Roman" w:hAnsi="Times New Roman" w:eastAsia="Times New Roman" w:cs="Times New Roman"/>
          <w:color w:val="auto"/>
        </w:rPr>
      </w:pPr>
      <w:r>
        <w:rPr>
          <w:rFonts w:ascii="宋体" w:hAnsi="宋体" w:eastAsia="宋体" w:cs="宋体"/>
          <w:color w:val="auto"/>
        </w:rPr>
        <w:t>①按国家标准执行；②按部颁标准执行；③若无以上标准，则应不低于同行业质量标准；④有特殊要求的，按甲乙双方在合同中商定的技术条件、样品或补充的技术要求执行；</w:t>
      </w:r>
    </w:p>
    <w:p>
      <w:pPr>
        <w:spacing w:line="360" w:lineRule="auto"/>
        <w:ind w:firstLine="420"/>
        <w:rPr>
          <w:rFonts w:ascii="Times New Roman" w:hAnsi="Times New Roman" w:eastAsia="Times New Roman" w:cs="Times New Roman"/>
          <w:color w:val="auto"/>
        </w:rPr>
      </w:pPr>
      <w:r>
        <w:rPr>
          <w:rFonts w:hint="eastAsia" w:ascii="宋体" w:hAnsi="宋体" w:eastAsia="宋体" w:cs="宋体"/>
          <w:color w:val="auto"/>
        </w:rPr>
        <w:t>乙方在投标文件中声明提供和交付的货物技术标准应与招标采购文件规定的技术标准相一致</w:t>
      </w:r>
      <w:r>
        <w:rPr>
          <w:rFonts w:ascii="宋体" w:hAnsi="宋体" w:eastAsia="宋体" w:cs="宋体"/>
          <w:color w:val="auto"/>
        </w:rPr>
        <w:t>。若技术标准中无相应规定，所投货物应符合相应的国际标准或原产地国家有关部门最新颁布的相应的正式标准。</w:t>
      </w:r>
    </w:p>
    <w:p>
      <w:pPr>
        <w:spacing w:line="360" w:lineRule="auto"/>
        <w:ind w:firstLine="420"/>
        <w:rPr>
          <w:rFonts w:ascii="Times New Roman" w:hAnsi="Times New Roman" w:eastAsia="Times New Roman" w:cs="Times New Roman"/>
          <w:color w:val="auto"/>
        </w:rPr>
      </w:pPr>
      <w:r>
        <w:rPr>
          <w:rFonts w:ascii="宋体" w:hAnsi="宋体" w:eastAsia="宋体" w:cs="宋体"/>
          <w:color w:val="auto"/>
        </w:rPr>
        <w:t>进口产品的质量标准为</w:t>
      </w:r>
      <w:r>
        <w:rPr>
          <w:rFonts w:ascii="Times New Roman" w:hAnsi="Times New Roman" w:eastAsia="Times New Roman" w:cs="Times New Roman"/>
          <w:color w:val="auto"/>
        </w:rPr>
        <w:t xml:space="preserve">                                             </w:t>
      </w:r>
      <w:r>
        <w:rPr>
          <w:rFonts w:ascii="宋体" w:hAnsi="宋体" w:eastAsia="宋体" w:cs="宋体"/>
          <w:color w:val="auto"/>
        </w:rPr>
        <w:t>。</w:t>
      </w:r>
    </w:p>
    <w:p>
      <w:pPr>
        <w:spacing w:line="360" w:lineRule="auto"/>
        <w:ind w:firstLine="420"/>
        <w:rPr>
          <w:rFonts w:ascii="Times New Roman" w:hAnsi="Times New Roman" w:eastAsia="Times New Roman" w:cs="Times New Roman"/>
          <w:color w:val="auto"/>
        </w:rPr>
      </w:pPr>
      <w:r>
        <w:rPr>
          <w:rFonts w:ascii="宋体" w:hAnsi="宋体" w:eastAsia="宋体" w:cs="宋体"/>
          <w:color w:val="auto"/>
        </w:rPr>
        <w:t>乙方所提供的货物应是全新、未使用过的，是完全符合以上质量标准的正品；相关的施工安装是由持有有权部门核发上岗证书的安装调试人员按照国际或国家现行安装验收规范来实施的；乙方所提供的货物在正确安装、正常使用和保养条件下，在其使用寿命内应具有满意的性能。</w:t>
      </w:r>
    </w:p>
    <w:p>
      <w:pPr>
        <w:spacing w:after="120" w:line="360" w:lineRule="auto"/>
        <w:ind w:firstLine="482"/>
        <w:rPr>
          <w:rFonts w:ascii="宋体" w:hAnsi="宋体" w:eastAsia="宋体" w:cs="宋体"/>
          <w:color w:val="auto"/>
          <w:sz w:val="24"/>
        </w:rPr>
      </w:pPr>
      <w:r>
        <w:rPr>
          <w:rFonts w:ascii="宋体" w:hAnsi="宋体" w:eastAsia="宋体" w:cs="宋体"/>
          <w:b/>
          <w:color w:val="auto"/>
          <w:sz w:val="24"/>
        </w:rPr>
        <w:t>第三条</w:t>
      </w:r>
      <w:r>
        <w:rPr>
          <w:rFonts w:ascii="宋体" w:hAnsi="宋体" w:eastAsia="宋体" w:cs="宋体"/>
          <w:color w:val="auto"/>
          <w:sz w:val="24"/>
        </w:rPr>
        <w:t>产品的包装标准和包装物的供应与回收</w:t>
      </w:r>
      <w:r>
        <w:rPr>
          <w:rFonts w:ascii="宋体" w:hAnsi="宋体" w:eastAsia="宋体" w:cs="宋体"/>
          <w:color w:val="auto"/>
          <w:sz w:val="24"/>
          <w:u w:val="single"/>
        </w:rPr>
        <w:t xml:space="preserve">                 </w:t>
      </w:r>
      <w:r>
        <w:rPr>
          <w:rFonts w:ascii="宋体" w:hAnsi="宋体" w:eastAsia="宋体" w:cs="宋体"/>
          <w:color w:val="auto"/>
          <w:sz w:val="24"/>
        </w:rPr>
        <w:t>。</w:t>
      </w:r>
    </w:p>
    <w:p>
      <w:pPr>
        <w:spacing w:line="360" w:lineRule="auto"/>
        <w:ind w:firstLine="420"/>
        <w:rPr>
          <w:rFonts w:ascii="Times New Roman" w:hAnsi="Times New Roman" w:eastAsia="Times New Roman" w:cs="Times New Roman"/>
          <w:color w:val="auto"/>
        </w:rPr>
      </w:pPr>
      <w:r>
        <w:rPr>
          <w:rFonts w:ascii="宋体" w:hAnsi="宋体" w:eastAsia="宋体" w:cs="宋体"/>
          <w:color w:val="auto"/>
        </w:rPr>
        <w:t>（国家或行业主管部门有技术规定的，按技术规定执行；国家与行业主管部门无技术规定的，由甲乙双方商定。）</w:t>
      </w:r>
    </w:p>
    <w:p>
      <w:pPr>
        <w:spacing w:line="360" w:lineRule="auto"/>
        <w:ind w:firstLine="420"/>
        <w:rPr>
          <w:rFonts w:ascii="Times New Roman" w:hAnsi="Times New Roman" w:eastAsia="Times New Roman" w:cs="Times New Roman"/>
          <w:color w:val="auto"/>
        </w:rPr>
      </w:pPr>
      <w:r>
        <w:rPr>
          <w:rFonts w:ascii="宋体" w:hAnsi="宋体" w:eastAsia="宋体" w:cs="宋体"/>
          <w:color w:val="auto"/>
        </w:rPr>
        <w:t>【注：合同中约定的包装标准应与乙方在投标文件中承诺的一致，且投标文件应作为合同附件与合同具有同等法律效力。】</w:t>
      </w:r>
    </w:p>
    <w:p>
      <w:pPr>
        <w:spacing w:line="360" w:lineRule="auto"/>
        <w:ind w:firstLine="422"/>
        <w:rPr>
          <w:rFonts w:ascii="Times New Roman" w:hAnsi="Times New Roman" w:eastAsia="Times New Roman" w:cs="Times New Roman"/>
          <w:color w:val="auto"/>
        </w:rPr>
      </w:pPr>
      <w:r>
        <w:rPr>
          <w:rFonts w:ascii="宋体" w:hAnsi="宋体" w:eastAsia="宋体" w:cs="宋体"/>
          <w:b/>
          <w:color w:val="auto"/>
        </w:rPr>
        <w:t>第四条</w:t>
      </w:r>
      <w:r>
        <w:rPr>
          <w:rFonts w:ascii="Times New Roman" w:hAnsi="Times New Roman" w:eastAsia="Times New Roman" w:cs="Times New Roman"/>
          <w:b/>
          <w:color w:val="auto"/>
        </w:rPr>
        <w:t xml:space="preserve">  </w:t>
      </w:r>
      <w:r>
        <w:rPr>
          <w:rFonts w:ascii="宋体" w:hAnsi="宋体" w:eastAsia="宋体" w:cs="宋体"/>
          <w:color w:val="auto"/>
        </w:rPr>
        <w:t>产品的交货方法、到货地点和交货期限</w:t>
      </w:r>
    </w:p>
    <w:p>
      <w:pPr>
        <w:spacing w:line="360" w:lineRule="auto"/>
        <w:ind w:firstLine="420"/>
        <w:rPr>
          <w:rFonts w:ascii="Times New Roman" w:hAnsi="Times New Roman" w:eastAsia="Times New Roman" w:cs="Times New Roman"/>
          <w:color w:val="auto"/>
        </w:rPr>
      </w:pPr>
      <w:r>
        <w:rPr>
          <w:rFonts w:ascii="Times New Roman" w:hAnsi="Times New Roman" w:eastAsia="Times New Roman" w:cs="Times New Roman"/>
          <w:color w:val="auto"/>
        </w:rPr>
        <w:t>1.</w:t>
      </w:r>
      <w:r>
        <w:rPr>
          <w:rFonts w:ascii="宋体" w:hAnsi="宋体" w:eastAsia="宋体" w:cs="宋体"/>
          <w:color w:val="auto"/>
        </w:rPr>
        <w:t>交货方法，按下列第（</w:t>
      </w:r>
      <w:r>
        <w:rPr>
          <w:rFonts w:ascii="Times New Roman" w:hAnsi="Times New Roman" w:eastAsia="Times New Roman" w:cs="Times New Roman"/>
          <w:color w:val="auto"/>
        </w:rPr>
        <w:t xml:space="preserve"> </w:t>
      </w:r>
      <w:r>
        <w:rPr>
          <w:rFonts w:ascii="宋体" w:hAnsi="宋体" w:eastAsia="宋体" w:cs="宋体"/>
          <w:color w:val="auto"/>
        </w:rPr>
        <w:t>）项执行：</w:t>
      </w:r>
    </w:p>
    <w:p>
      <w:pPr>
        <w:spacing w:line="360" w:lineRule="auto"/>
        <w:ind w:firstLine="420"/>
        <w:rPr>
          <w:rFonts w:ascii="Times New Roman" w:hAnsi="Times New Roman" w:eastAsia="Times New Roman" w:cs="Times New Roman"/>
          <w:color w:val="auto"/>
        </w:rPr>
      </w:pPr>
      <w:r>
        <w:rPr>
          <w:rFonts w:ascii="宋体" w:hAnsi="宋体" w:eastAsia="宋体" w:cs="宋体"/>
          <w:color w:val="auto"/>
        </w:rPr>
        <w:t>①乙方送货上门；②乙方代运；③甲方自提自运。</w:t>
      </w:r>
    </w:p>
    <w:p>
      <w:pPr>
        <w:spacing w:line="360" w:lineRule="auto"/>
        <w:ind w:firstLine="420"/>
        <w:rPr>
          <w:rFonts w:ascii="Times New Roman" w:hAnsi="Times New Roman" w:eastAsia="Times New Roman" w:cs="Times New Roman"/>
          <w:color w:val="auto"/>
        </w:rPr>
      </w:pPr>
      <w:r>
        <w:rPr>
          <w:rFonts w:ascii="Times New Roman" w:hAnsi="Times New Roman" w:eastAsia="Times New Roman" w:cs="Times New Roman"/>
          <w:color w:val="auto"/>
        </w:rPr>
        <w:t>2.</w:t>
      </w:r>
      <w:r>
        <w:rPr>
          <w:rFonts w:ascii="宋体" w:hAnsi="宋体" w:eastAsia="宋体" w:cs="宋体"/>
          <w:color w:val="auto"/>
        </w:rPr>
        <w:t>到货地点：</w:t>
      </w:r>
      <w:r>
        <w:rPr>
          <w:rFonts w:ascii="Times New Roman" w:hAnsi="Times New Roman" w:eastAsia="Times New Roman" w:cs="Times New Roman"/>
          <w:color w:val="auto"/>
          <w:u w:val="single"/>
        </w:rPr>
        <w:t xml:space="preserve">                 (</w:t>
      </w:r>
      <w:r>
        <w:rPr>
          <w:rFonts w:ascii="宋体" w:hAnsi="宋体" w:eastAsia="宋体" w:cs="宋体"/>
          <w:color w:val="auto"/>
        </w:rPr>
        <w:t>甲方指定的任何地点，安装并调试</w:t>
      </w:r>
      <w:r>
        <w:rPr>
          <w:rFonts w:ascii="Times New Roman" w:hAnsi="Times New Roman" w:eastAsia="Times New Roman" w:cs="Times New Roman"/>
          <w:color w:val="auto"/>
        </w:rPr>
        <w:t>.)</w:t>
      </w:r>
    </w:p>
    <w:p>
      <w:pPr>
        <w:spacing w:line="360" w:lineRule="auto"/>
        <w:ind w:firstLine="420"/>
        <w:rPr>
          <w:rFonts w:ascii="Times New Roman" w:hAnsi="Times New Roman" w:eastAsia="Times New Roman" w:cs="Times New Roman"/>
          <w:color w:val="auto"/>
        </w:rPr>
      </w:pPr>
      <w:r>
        <w:rPr>
          <w:rFonts w:ascii="Times New Roman" w:hAnsi="Times New Roman" w:eastAsia="Times New Roman" w:cs="Times New Roman"/>
          <w:color w:val="auto"/>
        </w:rPr>
        <w:t>3.</w:t>
      </w:r>
      <w:r>
        <w:rPr>
          <w:rFonts w:ascii="宋体" w:hAnsi="宋体" w:eastAsia="宋体" w:cs="宋体"/>
          <w:color w:val="auto"/>
        </w:rPr>
        <w:t>产品的交货期限</w:t>
      </w:r>
      <w:r>
        <w:rPr>
          <w:rFonts w:ascii="宋体" w:hAnsi="宋体" w:eastAsia="宋体" w:cs="宋体"/>
          <w:color w:val="auto"/>
          <w:u w:val="single"/>
        </w:rPr>
        <w:t>                         </w:t>
      </w:r>
      <w:r>
        <w:rPr>
          <w:rFonts w:ascii="宋体" w:hAnsi="宋体" w:eastAsia="宋体" w:cs="宋体"/>
          <w:color w:val="auto"/>
        </w:rPr>
        <w:t>。</w:t>
      </w:r>
    </w:p>
    <w:p>
      <w:pPr>
        <w:spacing w:line="360" w:lineRule="auto"/>
        <w:ind w:firstLine="422"/>
        <w:rPr>
          <w:rFonts w:ascii="Times New Roman" w:hAnsi="Times New Roman" w:eastAsia="Times New Roman" w:cs="Times New Roman"/>
          <w:color w:val="auto"/>
        </w:rPr>
      </w:pPr>
      <w:r>
        <w:rPr>
          <w:rFonts w:ascii="宋体" w:hAnsi="宋体" w:eastAsia="宋体" w:cs="宋体"/>
          <w:b/>
          <w:color w:val="auto"/>
        </w:rPr>
        <w:t>第五条</w:t>
      </w:r>
      <w:r>
        <w:rPr>
          <w:rFonts w:ascii="Times New Roman" w:hAnsi="Times New Roman" w:eastAsia="Times New Roman" w:cs="Times New Roman"/>
          <w:color w:val="auto"/>
        </w:rPr>
        <w:t xml:space="preserve">  </w:t>
      </w:r>
      <w:r>
        <w:rPr>
          <w:rFonts w:ascii="宋体" w:hAnsi="宋体" w:eastAsia="宋体" w:cs="宋体"/>
          <w:color w:val="auto"/>
        </w:rPr>
        <w:t>合同总价款</w:t>
      </w:r>
    </w:p>
    <w:p>
      <w:pPr>
        <w:spacing w:line="360" w:lineRule="auto"/>
        <w:ind w:firstLine="420"/>
        <w:rPr>
          <w:rFonts w:ascii="Times New Roman" w:hAnsi="Times New Roman" w:eastAsia="Times New Roman" w:cs="Times New Roman"/>
          <w:color w:val="auto"/>
          <w:u w:val="single"/>
        </w:rPr>
      </w:pPr>
      <w:r>
        <w:rPr>
          <w:rFonts w:ascii="宋体" w:hAnsi="宋体" w:eastAsia="宋体" w:cs="宋体"/>
          <w:color w:val="auto"/>
        </w:rPr>
        <w:t>合同总价款（大小写）：</w:t>
      </w:r>
      <w:r>
        <w:rPr>
          <w:rFonts w:ascii="Times New Roman" w:hAnsi="Times New Roman" w:eastAsia="Times New Roman" w:cs="Times New Roman"/>
          <w:color w:val="auto"/>
          <w:u w:val="single"/>
        </w:rPr>
        <w:t xml:space="preserve">                        </w:t>
      </w:r>
    </w:p>
    <w:p>
      <w:pPr>
        <w:numPr>
          <w:ilvl w:val="0"/>
          <w:numId w:val="28"/>
        </w:numPr>
        <w:tabs>
          <w:tab w:val="left" w:pos="1125"/>
        </w:tabs>
        <w:spacing w:line="360" w:lineRule="auto"/>
        <w:ind w:firstLine="420"/>
        <w:rPr>
          <w:rFonts w:ascii="Times New Roman" w:hAnsi="Times New Roman" w:eastAsia="Times New Roman" w:cs="Times New Roman"/>
          <w:color w:val="auto"/>
        </w:rPr>
      </w:pPr>
      <w:r>
        <w:rPr>
          <w:rFonts w:ascii="宋体" w:hAnsi="宋体" w:eastAsia="宋体" w:cs="宋体"/>
          <w:color w:val="auto"/>
        </w:rPr>
        <w:t>付款条件</w:t>
      </w:r>
      <w:r>
        <w:rPr>
          <w:rFonts w:ascii="Times New Roman" w:hAnsi="Times New Roman" w:eastAsia="Times New Roman" w:cs="Times New Roman"/>
          <w:color w:val="auto"/>
        </w:rPr>
        <w:t xml:space="preserve">                  </w:t>
      </w:r>
    </w:p>
    <w:p>
      <w:pPr>
        <w:spacing w:line="360" w:lineRule="auto"/>
        <w:ind w:firstLine="420"/>
        <w:rPr>
          <w:rFonts w:ascii="Times New Roman" w:hAnsi="Times New Roman" w:eastAsia="Times New Roman" w:cs="Times New Roman"/>
          <w:color w:val="auto"/>
        </w:rPr>
      </w:pPr>
      <w:r>
        <w:rPr>
          <w:rFonts w:ascii="宋体" w:hAnsi="宋体" w:eastAsia="宋体" w:cs="宋体"/>
          <w:color w:val="auto"/>
        </w:rPr>
        <w:t>本合同以人民币付款。</w:t>
      </w:r>
    </w:p>
    <w:p>
      <w:pPr>
        <w:spacing w:line="360" w:lineRule="auto"/>
        <w:ind w:firstLine="420"/>
        <w:rPr>
          <w:rFonts w:ascii="Times New Roman" w:hAnsi="Times New Roman" w:eastAsia="Times New Roman" w:cs="Times New Roman"/>
          <w:color w:val="auto"/>
        </w:rPr>
      </w:pPr>
      <w:r>
        <w:rPr>
          <w:rFonts w:ascii="宋体" w:hAnsi="宋体" w:eastAsia="宋体" w:cs="宋体"/>
          <w:color w:val="auto"/>
        </w:rPr>
        <w:t>该项目是否实行预付款：</w:t>
      </w:r>
    </w:p>
    <w:p>
      <w:pPr>
        <w:spacing w:line="360" w:lineRule="auto"/>
        <w:ind w:firstLine="420"/>
        <w:rPr>
          <w:rFonts w:ascii="Times New Roman" w:hAnsi="Times New Roman" w:eastAsia="Times New Roman" w:cs="Times New Roman"/>
          <w:color w:val="auto"/>
        </w:rPr>
      </w:pPr>
      <w:r>
        <w:rPr>
          <w:rFonts w:ascii="宋体" w:hAnsi="宋体" w:eastAsia="宋体" w:cs="宋体"/>
          <w:color w:val="auto"/>
        </w:rPr>
        <w:t>实行预付款的条件和比例：</w:t>
      </w:r>
    </w:p>
    <w:p>
      <w:pPr>
        <w:spacing w:line="360" w:lineRule="auto"/>
        <w:ind w:firstLine="420"/>
        <w:rPr>
          <w:rFonts w:ascii="Times New Roman" w:hAnsi="Times New Roman" w:eastAsia="Times New Roman" w:cs="Times New Roman"/>
          <w:color w:val="auto"/>
        </w:rPr>
      </w:pPr>
      <w:r>
        <w:rPr>
          <w:rFonts w:ascii="宋体" w:hAnsi="宋体" w:eastAsia="宋体" w:cs="宋体"/>
          <w:color w:val="auto"/>
        </w:rPr>
        <w:t>合同款项结算方式和支付比例：</w:t>
      </w:r>
      <w:r>
        <w:rPr>
          <w:rFonts w:ascii="Times New Roman" w:hAnsi="Times New Roman" w:eastAsia="Times New Roman" w:cs="Times New Roman"/>
          <w:color w:val="auto"/>
        </w:rPr>
        <w:t xml:space="preserve">   </w:t>
      </w:r>
    </w:p>
    <w:p>
      <w:pPr>
        <w:spacing w:line="360" w:lineRule="auto"/>
        <w:ind w:firstLine="420"/>
        <w:rPr>
          <w:rFonts w:ascii="Times New Roman" w:hAnsi="Times New Roman" w:eastAsia="Times New Roman" w:cs="Times New Roman"/>
          <w:b/>
          <w:color w:val="auto"/>
        </w:rPr>
      </w:pPr>
      <w:r>
        <w:rPr>
          <w:rFonts w:ascii="Times New Roman" w:hAnsi="Times New Roman" w:eastAsia="Times New Roman" w:cs="Times New Roman"/>
          <w:color w:val="auto"/>
        </w:rPr>
        <w:t>(</w:t>
      </w:r>
      <w:r>
        <w:rPr>
          <w:rFonts w:ascii="宋体" w:hAnsi="宋体" w:eastAsia="宋体" w:cs="宋体"/>
          <w:color w:val="auto"/>
        </w:rPr>
        <w:t>具体付款方式</w:t>
      </w:r>
      <w:r>
        <w:rPr>
          <w:rFonts w:ascii="宋体" w:hAnsi="宋体" w:eastAsia="宋体" w:cs="宋体"/>
          <w:color w:val="auto"/>
          <w:u w:val="single"/>
        </w:rPr>
        <w:t>按投标人须知前附表以及采、购双方的具体约定</w:t>
      </w:r>
    </w:p>
    <w:p>
      <w:pPr>
        <w:numPr>
          <w:ilvl w:val="0"/>
          <w:numId w:val="29"/>
        </w:numPr>
        <w:tabs>
          <w:tab w:val="left" w:pos="1125"/>
        </w:tabs>
        <w:spacing w:line="360" w:lineRule="auto"/>
        <w:ind w:firstLine="420"/>
        <w:rPr>
          <w:rFonts w:ascii="Times New Roman" w:hAnsi="Times New Roman" w:eastAsia="Times New Roman" w:cs="Times New Roman"/>
          <w:color w:val="auto"/>
        </w:rPr>
      </w:pPr>
      <w:r>
        <w:rPr>
          <w:rFonts w:ascii="宋体" w:hAnsi="宋体" w:eastAsia="宋体" w:cs="宋体"/>
          <w:color w:val="auto"/>
        </w:rPr>
        <w:t>验收方法</w:t>
      </w:r>
    </w:p>
    <w:p>
      <w:pPr>
        <w:spacing w:line="360" w:lineRule="auto"/>
        <w:ind w:firstLine="420"/>
        <w:rPr>
          <w:rFonts w:ascii="Times New Roman" w:hAnsi="Times New Roman" w:eastAsia="Times New Roman" w:cs="Times New Roman"/>
          <w:color w:val="auto"/>
        </w:rPr>
      </w:pPr>
      <w:r>
        <w:rPr>
          <w:rFonts w:ascii="Times New Roman" w:hAnsi="Times New Roman" w:eastAsia="Times New Roman" w:cs="Times New Roman"/>
          <w:color w:val="auto"/>
        </w:rPr>
        <w:t>1.</w:t>
      </w:r>
      <w:r>
        <w:rPr>
          <w:rFonts w:ascii="宋体" w:hAnsi="宋体" w:eastAsia="宋体" w:cs="宋体"/>
          <w:color w:val="auto"/>
        </w:rPr>
        <w:t>乙方安装调试后，在</w:t>
      </w:r>
      <w:r>
        <w:rPr>
          <w:rFonts w:ascii="Times New Roman" w:hAnsi="Times New Roman" w:eastAsia="Times New Roman" w:cs="Times New Roman"/>
          <w:color w:val="auto"/>
        </w:rPr>
        <w:t xml:space="preserve">      </w:t>
      </w:r>
      <w:r>
        <w:rPr>
          <w:rFonts w:ascii="宋体" w:hAnsi="宋体" w:eastAsia="宋体" w:cs="宋体"/>
          <w:color w:val="auto"/>
        </w:rPr>
        <w:t>天内通知甲方组织验收，采购代理机构保留受托参与本项目验收的权利。验收不合格的，乙方应负责重新提供达到本合同约定的质量要求的产品。</w:t>
      </w:r>
    </w:p>
    <w:p>
      <w:pPr>
        <w:spacing w:line="360" w:lineRule="auto"/>
        <w:ind w:firstLine="420"/>
        <w:rPr>
          <w:rFonts w:ascii="Times New Roman" w:hAnsi="Times New Roman" w:eastAsia="Times New Roman" w:cs="Times New Roman"/>
          <w:color w:val="auto"/>
        </w:rPr>
      </w:pPr>
      <w:r>
        <w:rPr>
          <w:rFonts w:ascii="Times New Roman" w:hAnsi="Times New Roman" w:eastAsia="Times New Roman" w:cs="Times New Roman"/>
          <w:color w:val="auto"/>
        </w:rPr>
        <w:t>2.</w:t>
      </w:r>
      <w:r>
        <w:rPr>
          <w:rFonts w:ascii="宋体" w:hAnsi="宋体" w:eastAsia="宋体" w:cs="宋体"/>
          <w:color w:val="auto"/>
        </w:rPr>
        <w:t>甲、乙双方应严格履行合同有关条款，如果验收过程中发现乙方在没有征得采购人同意的情况下擅自变更合同标的物，将拒绝通过验收，由此引起的一切后果及损失由乙方承担。</w:t>
      </w:r>
    </w:p>
    <w:p>
      <w:pPr>
        <w:spacing w:line="360" w:lineRule="auto"/>
        <w:ind w:firstLine="420"/>
        <w:rPr>
          <w:rFonts w:ascii="Times New Roman" w:hAnsi="Times New Roman" w:eastAsia="Times New Roman" w:cs="Times New Roman"/>
          <w:color w:val="auto"/>
        </w:rPr>
      </w:pPr>
      <w:r>
        <w:rPr>
          <w:rFonts w:ascii="Times New Roman" w:hAnsi="Times New Roman" w:eastAsia="Times New Roman" w:cs="Times New Roman"/>
          <w:color w:val="auto"/>
        </w:rPr>
        <w:t>3.</w:t>
      </w:r>
      <w:r>
        <w:rPr>
          <w:rFonts w:ascii="宋体" w:hAnsi="宋体" w:eastAsia="宋体" w:cs="宋体"/>
          <w:color w:val="auto"/>
        </w:rPr>
        <w:t>甲方应承担项目验收的主体责任。项目验收时，应成立三人以上（由甲、乙双方、资产管理人、技术人员、纪检等相关人员组成）验收小组，明确责任，严格依照采购文件、中标（成交）通知书、政府采购合同及相关验收规范进行核对、验收、签字形成验收结论，并出具书面验收报告。验收人员有不同意见的，按少数服从多数的原则，但在验收报告上应注明不同意见的内容。</w:t>
      </w:r>
    </w:p>
    <w:p>
      <w:pPr>
        <w:spacing w:line="360" w:lineRule="auto"/>
        <w:ind w:firstLine="420"/>
        <w:rPr>
          <w:rFonts w:ascii="Times New Roman" w:hAnsi="Times New Roman" w:eastAsia="Times New Roman" w:cs="Times New Roman"/>
          <w:color w:val="auto"/>
        </w:rPr>
      </w:pPr>
      <w:r>
        <w:rPr>
          <w:rFonts w:ascii="Times New Roman" w:hAnsi="Times New Roman" w:eastAsia="Times New Roman" w:cs="Times New Roman"/>
          <w:color w:val="auto"/>
        </w:rPr>
        <w:t>4</w:t>
      </w:r>
      <w:r>
        <w:rPr>
          <w:rFonts w:ascii="宋体" w:hAnsi="宋体" w:eastAsia="宋体" w:cs="宋体"/>
          <w:color w:val="auto"/>
        </w:rPr>
        <w:t>、甲方视情况可以邀请参加本项目的其他投标人或者第三方机构参与验收，参与验收的投标人或者第三方机构的意见作为验收书的参考资料一并存档。</w:t>
      </w:r>
    </w:p>
    <w:p>
      <w:pPr>
        <w:spacing w:line="360" w:lineRule="auto"/>
        <w:ind w:firstLine="420"/>
        <w:rPr>
          <w:rFonts w:ascii="Times New Roman" w:hAnsi="Times New Roman" w:eastAsia="Times New Roman" w:cs="Times New Roman"/>
          <w:color w:val="auto"/>
        </w:rPr>
      </w:pPr>
      <w:r>
        <w:rPr>
          <w:rFonts w:ascii="Times New Roman" w:hAnsi="Times New Roman" w:eastAsia="Times New Roman" w:cs="Times New Roman"/>
          <w:color w:val="auto"/>
        </w:rPr>
        <w:t xml:space="preserve">   </w:t>
      </w:r>
      <w:r>
        <w:rPr>
          <w:rFonts w:ascii="宋体" w:hAnsi="宋体" w:eastAsia="宋体" w:cs="宋体"/>
          <w:color w:val="auto"/>
        </w:rPr>
        <w:t>涉及安全、消防、环保等其他需要由质检或行业主管部门进行验收的项目，必须邀请相关部门或相关专家参与验收。</w:t>
      </w:r>
    </w:p>
    <w:p>
      <w:pPr>
        <w:spacing w:line="360" w:lineRule="auto"/>
        <w:ind w:firstLine="420"/>
        <w:rPr>
          <w:rFonts w:ascii="Times New Roman" w:hAnsi="Times New Roman" w:eastAsia="Times New Roman" w:cs="Times New Roman"/>
          <w:color w:val="auto"/>
        </w:rPr>
      </w:pPr>
      <w:r>
        <w:rPr>
          <w:rFonts w:ascii="宋体" w:hAnsi="宋体" w:eastAsia="宋体" w:cs="宋体"/>
          <w:color w:val="auto"/>
        </w:rPr>
        <w:t>检测、验收费用承担方式：</w:t>
      </w:r>
    </w:p>
    <w:p>
      <w:pPr>
        <w:spacing w:line="360" w:lineRule="auto"/>
        <w:ind w:firstLine="422"/>
        <w:rPr>
          <w:rFonts w:ascii="Times New Roman" w:hAnsi="Times New Roman" w:eastAsia="Times New Roman" w:cs="Times New Roman"/>
          <w:color w:val="auto"/>
        </w:rPr>
      </w:pPr>
      <w:r>
        <w:rPr>
          <w:rFonts w:ascii="宋体" w:hAnsi="宋体" w:eastAsia="宋体" w:cs="宋体"/>
          <w:b/>
          <w:color w:val="auto"/>
        </w:rPr>
        <w:t>第八条 </w:t>
      </w:r>
      <w:r>
        <w:rPr>
          <w:rFonts w:ascii="Times New Roman" w:hAnsi="Times New Roman" w:eastAsia="Times New Roman" w:cs="Times New Roman"/>
          <w:color w:val="auto"/>
        </w:rPr>
        <w:t xml:space="preserve"> </w:t>
      </w:r>
      <w:r>
        <w:rPr>
          <w:rFonts w:ascii="宋体" w:hAnsi="宋体" w:eastAsia="宋体" w:cs="宋体"/>
          <w:color w:val="auto"/>
        </w:rPr>
        <w:t>对产品提出异议的时间和办法</w:t>
      </w:r>
    </w:p>
    <w:p>
      <w:pPr>
        <w:spacing w:line="360" w:lineRule="auto"/>
        <w:ind w:firstLine="420"/>
        <w:rPr>
          <w:rFonts w:ascii="Times New Roman" w:hAnsi="Times New Roman" w:eastAsia="Times New Roman" w:cs="Times New Roman"/>
          <w:color w:val="auto"/>
        </w:rPr>
      </w:pPr>
      <w:r>
        <w:rPr>
          <w:rFonts w:ascii="Times New Roman" w:hAnsi="Times New Roman" w:eastAsia="Times New Roman" w:cs="Times New Roman"/>
          <w:color w:val="auto"/>
        </w:rPr>
        <w:t>1.</w:t>
      </w:r>
      <w:r>
        <w:rPr>
          <w:rFonts w:ascii="宋体" w:hAnsi="宋体" w:eastAsia="宋体" w:cs="宋体"/>
          <w:color w:val="auto"/>
        </w:rPr>
        <w:t>甲方在验收中，如果发现产品不符合合同约定的，应一面妥为保管，一面在</w:t>
      </w:r>
      <w:r>
        <w:rPr>
          <w:rFonts w:ascii="Times New Roman" w:hAnsi="Times New Roman" w:eastAsia="Times New Roman" w:cs="Times New Roman"/>
          <w:color w:val="auto"/>
          <w:u w:val="single"/>
        </w:rPr>
        <w:t xml:space="preserve">         </w:t>
      </w:r>
      <w:r>
        <w:rPr>
          <w:rFonts w:ascii="宋体" w:hAnsi="宋体" w:eastAsia="宋体" w:cs="宋体"/>
          <w:color w:val="auto"/>
        </w:rPr>
        <w:t>工作日内向乙方书面提出异议，并抄送采购代理机构，具体说明产品不符合规定的内容并附相关验收材料，同时提出不符合规定产品的处理意见。</w:t>
      </w:r>
    </w:p>
    <w:p>
      <w:pPr>
        <w:spacing w:line="360" w:lineRule="auto"/>
        <w:ind w:firstLine="420"/>
        <w:rPr>
          <w:rFonts w:ascii="Times New Roman" w:hAnsi="Times New Roman" w:eastAsia="Times New Roman" w:cs="Times New Roman"/>
          <w:color w:val="auto"/>
        </w:rPr>
      </w:pPr>
      <w:r>
        <w:rPr>
          <w:rFonts w:ascii="Times New Roman" w:hAnsi="Times New Roman" w:eastAsia="Times New Roman" w:cs="Times New Roman"/>
          <w:color w:val="auto"/>
        </w:rPr>
        <w:t>2.</w:t>
      </w:r>
      <w:r>
        <w:rPr>
          <w:rFonts w:ascii="宋体" w:hAnsi="宋体" w:eastAsia="宋体" w:cs="宋体"/>
          <w:color w:val="auto"/>
        </w:rPr>
        <w:t>甲方因使用、保管、保养不善等造成产品质量下降的，不得提出异议。</w:t>
      </w:r>
    </w:p>
    <w:p>
      <w:pPr>
        <w:spacing w:line="360" w:lineRule="auto"/>
        <w:ind w:firstLine="420"/>
        <w:rPr>
          <w:rFonts w:ascii="Times New Roman" w:hAnsi="Times New Roman" w:eastAsia="Times New Roman" w:cs="Times New Roman"/>
          <w:color w:val="auto"/>
        </w:rPr>
      </w:pPr>
      <w:r>
        <w:rPr>
          <w:rFonts w:ascii="Times New Roman" w:hAnsi="Times New Roman" w:eastAsia="Times New Roman" w:cs="Times New Roman"/>
          <w:color w:val="auto"/>
        </w:rPr>
        <w:t>3.</w:t>
      </w:r>
      <w:r>
        <w:rPr>
          <w:rFonts w:ascii="宋体" w:hAnsi="宋体" w:eastAsia="宋体" w:cs="宋体"/>
          <w:color w:val="auto"/>
        </w:rPr>
        <w:t>乙方在接到甲方异议后，应在</w:t>
      </w:r>
      <w:r>
        <w:rPr>
          <w:rFonts w:ascii="Times New Roman" w:hAnsi="Times New Roman" w:eastAsia="Times New Roman" w:cs="Times New Roman"/>
          <w:color w:val="auto"/>
        </w:rPr>
        <w:t xml:space="preserve"> </w:t>
      </w:r>
      <w:r>
        <w:rPr>
          <w:rFonts w:ascii="Times New Roman" w:hAnsi="Times New Roman" w:eastAsia="Times New Roman" w:cs="Times New Roman"/>
          <w:color w:val="auto"/>
          <w:u w:val="single"/>
        </w:rPr>
        <w:t xml:space="preserve">       </w:t>
      </w:r>
      <w:r>
        <w:rPr>
          <w:rFonts w:ascii="Times New Roman" w:hAnsi="Times New Roman" w:eastAsia="Times New Roman" w:cs="Times New Roman"/>
          <w:color w:val="auto"/>
        </w:rPr>
        <w:t xml:space="preserve"> </w:t>
      </w:r>
      <w:r>
        <w:rPr>
          <w:rFonts w:ascii="宋体" w:hAnsi="宋体" w:eastAsia="宋体" w:cs="宋体"/>
          <w:color w:val="auto"/>
        </w:rPr>
        <w:t>工作日内负责处理，否则，即视为默认甲方提出的异议和处理意见。</w:t>
      </w:r>
    </w:p>
    <w:p>
      <w:pPr>
        <w:spacing w:line="360" w:lineRule="auto"/>
        <w:ind w:firstLine="422"/>
        <w:rPr>
          <w:rFonts w:ascii="Times New Roman" w:hAnsi="Times New Roman" w:eastAsia="Times New Roman" w:cs="Times New Roman"/>
          <w:color w:val="auto"/>
        </w:rPr>
      </w:pPr>
      <w:r>
        <w:rPr>
          <w:rFonts w:ascii="宋体" w:hAnsi="宋体" w:eastAsia="宋体" w:cs="宋体"/>
          <w:b/>
          <w:color w:val="auto"/>
        </w:rPr>
        <w:t>第九条</w:t>
      </w:r>
      <w:r>
        <w:rPr>
          <w:rFonts w:ascii="Times New Roman" w:hAnsi="Times New Roman" w:eastAsia="Times New Roman" w:cs="Times New Roman"/>
          <w:color w:val="auto"/>
        </w:rPr>
        <w:t xml:space="preserve">  </w:t>
      </w:r>
      <w:r>
        <w:rPr>
          <w:rFonts w:ascii="宋体" w:hAnsi="宋体" w:eastAsia="宋体" w:cs="宋体"/>
          <w:color w:val="auto"/>
        </w:rPr>
        <w:t>乙方应提供完善周到的技术支持和售后服务，否则甲方视情节轻重从乙方的质量保证金中扣除部分或全部补偿甲方。</w:t>
      </w:r>
    </w:p>
    <w:p>
      <w:pPr>
        <w:spacing w:line="360" w:lineRule="auto"/>
        <w:ind w:firstLine="420"/>
        <w:rPr>
          <w:rFonts w:ascii="Times New Roman" w:hAnsi="Times New Roman" w:eastAsia="Times New Roman" w:cs="Times New Roman"/>
          <w:color w:val="auto"/>
        </w:rPr>
      </w:pPr>
      <w:r>
        <w:rPr>
          <w:rFonts w:ascii="Times New Roman" w:hAnsi="Times New Roman" w:eastAsia="Times New Roman" w:cs="Times New Roman"/>
          <w:color w:val="auto"/>
        </w:rPr>
        <w:t>1.</w:t>
      </w:r>
      <w:r>
        <w:rPr>
          <w:rFonts w:ascii="宋体" w:hAnsi="宋体" w:eastAsia="宋体" w:cs="宋体"/>
          <w:color w:val="auto"/>
        </w:rPr>
        <w:t>保修</w:t>
      </w:r>
    </w:p>
    <w:p>
      <w:pPr>
        <w:spacing w:line="360" w:lineRule="auto"/>
        <w:ind w:firstLine="420"/>
        <w:rPr>
          <w:rFonts w:ascii="Times New Roman" w:hAnsi="Times New Roman" w:eastAsia="Times New Roman" w:cs="Times New Roman"/>
          <w:color w:val="auto"/>
        </w:rPr>
      </w:pPr>
      <w:r>
        <w:rPr>
          <w:rFonts w:ascii="宋体" w:hAnsi="宋体" w:eastAsia="宋体" w:cs="宋体"/>
          <w:color w:val="auto"/>
        </w:rPr>
        <w:t>乙方对其所提供的货物免费保修</w:t>
      </w:r>
      <w:r>
        <w:rPr>
          <w:rFonts w:ascii="Times New Roman" w:hAnsi="Times New Roman" w:eastAsia="Times New Roman" w:cs="Times New Roman"/>
          <w:color w:val="auto"/>
          <w:u w:val="single"/>
        </w:rPr>
        <w:t xml:space="preserve">      </w:t>
      </w:r>
      <w:r>
        <w:rPr>
          <w:rFonts w:ascii="宋体" w:hAnsi="宋体" w:eastAsia="宋体" w:cs="宋体"/>
          <w:color w:val="auto"/>
        </w:rPr>
        <w:t>年，保修期从</w:t>
      </w:r>
      <w:r>
        <w:rPr>
          <w:rFonts w:ascii="Times New Roman" w:hAnsi="Times New Roman" w:eastAsia="Times New Roman" w:cs="Times New Roman"/>
          <w:color w:val="auto"/>
          <w:u w:val="single"/>
        </w:rPr>
        <w:t xml:space="preserve">             </w:t>
      </w:r>
      <w:r>
        <w:rPr>
          <w:rFonts w:ascii="宋体" w:hAnsi="宋体" w:eastAsia="宋体" w:cs="宋体"/>
          <w:color w:val="auto"/>
        </w:rPr>
        <w:t>开始。乙方应在接到报修通知后</w:t>
      </w:r>
      <w:r>
        <w:rPr>
          <w:rFonts w:ascii="Times New Roman" w:hAnsi="Times New Roman" w:eastAsia="Times New Roman" w:cs="Times New Roman"/>
          <w:color w:val="auto"/>
          <w:u w:val="single"/>
        </w:rPr>
        <w:t xml:space="preserve">      </w:t>
      </w:r>
      <w:r>
        <w:rPr>
          <w:rFonts w:ascii="宋体" w:hAnsi="宋体" w:eastAsia="宋体" w:cs="宋体"/>
          <w:color w:val="auto"/>
        </w:rPr>
        <w:t>天内上门维修，负责更换有瑕疵的货物、部件或提供相应的质量保证期内的服务。由此造成的损失，甲方保留索赔的权利。</w:t>
      </w:r>
    </w:p>
    <w:p>
      <w:pPr>
        <w:spacing w:line="360" w:lineRule="auto"/>
        <w:ind w:firstLine="420"/>
        <w:rPr>
          <w:rFonts w:ascii="Times New Roman" w:hAnsi="Times New Roman" w:eastAsia="Times New Roman" w:cs="Times New Roman"/>
          <w:color w:val="auto"/>
        </w:rPr>
      </w:pPr>
      <w:r>
        <w:rPr>
          <w:rFonts w:ascii="宋体" w:hAnsi="宋体" w:eastAsia="宋体" w:cs="宋体"/>
          <w:color w:val="auto"/>
        </w:rPr>
        <w:t>如果乙方在收到报修通知后</w:t>
      </w:r>
      <w:r>
        <w:rPr>
          <w:rFonts w:ascii="Times New Roman" w:hAnsi="Times New Roman" w:eastAsia="Times New Roman" w:cs="Times New Roman"/>
          <w:color w:val="auto"/>
          <w:u w:val="single"/>
        </w:rPr>
        <w:t xml:space="preserve">      </w:t>
      </w:r>
      <w:r>
        <w:rPr>
          <w:rFonts w:ascii="宋体" w:hAnsi="宋体" w:eastAsia="宋体" w:cs="宋体"/>
          <w:color w:val="auto"/>
        </w:rPr>
        <w:t>天内没有弥补缺陷，甲方可采取必要的补救措施，但费用和风险由乙方承担。</w:t>
      </w:r>
    </w:p>
    <w:p>
      <w:pPr>
        <w:spacing w:line="360" w:lineRule="auto"/>
        <w:ind w:firstLine="420"/>
        <w:rPr>
          <w:rFonts w:ascii="Times New Roman" w:hAnsi="Times New Roman" w:eastAsia="Times New Roman" w:cs="Times New Roman"/>
          <w:color w:val="auto"/>
        </w:rPr>
      </w:pPr>
      <w:r>
        <w:rPr>
          <w:rFonts w:ascii="Times New Roman" w:hAnsi="Times New Roman" w:eastAsia="Times New Roman" w:cs="Times New Roman"/>
          <w:color w:val="auto"/>
        </w:rPr>
        <w:t>2.</w:t>
      </w:r>
      <w:r>
        <w:rPr>
          <w:rFonts w:ascii="宋体" w:hAnsi="宋体" w:eastAsia="宋体" w:cs="宋体"/>
          <w:color w:val="auto"/>
        </w:rPr>
        <w:t>维修</w:t>
      </w:r>
    </w:p>
    <w:p>
      <w:pPr>
        <w:spacing w:after="120" w:line="360" w:lineRule="auto"/>
        <w:ind w:firstLine="420"/>
        <w:rPr>
          <w:rFonts w:ascii="Times New Roman" w:hAnsi="Times New Roman" w:eastAsia="Times New Roman" w:cs="Times New Roman"/>
          <w:color w:val="auto"/>
        </w:rPr>
      </w:pPr>
      <w:r>
        <w:rPr>
          <w:rFonts w:ascii="宋体" w:hAnsi="宋体" w:eastAsia="宋体" w:cs="宋体"/>
          <w:color w:val="auto"/>
        </w:rPr>
        <w:t>保修期届满后，乙方应对其提供的货物负有维修义务，但所涉及的费用由甲方承担。</w:t>
      </w:r>
    </w:p>
    <w:p>
      <w:pPr>
        <w:spacing w:line="360" w:lineRule="auto"/>
        <w:ind w:firstLine="422"/>
        <w:rPr>
          <w:rFonts w:ascii="Times New Roman" w:hAnsi="Times New Roman" w:eastAsia="Times New Roman" w:cs="Times New Roman"/>
          <w:color w:val="auto"/>
        </w:rPr>
      </w:pPr>
      <w:r>
        <w:rPr>
          <w:rFonts w:ascii="宋体" w:hAnsi="宋体" w:eastAsia="宋体" w:cs="宋体"/>
          <w:b/>
          <w:color w:val="auto"/>
        </w:rPr>
        <w:t>第十条</w:t>
      </w:r>
      <w:r>
        <w:rPr>
          <w:rFonts w:ascii="宋体" w:hAnsi="宋体" w:eastAsia="宋体" w:cs="宋体"/>
          <w:color w:val="auto"/>
        </w:rPr>
        <w:t> </w:t>
      </w:r>
      <w:r>
        <w:rPr>
          <w:rFonts w:ascii="Times New Roman" w:hAnsi="Times New Roman" w:eastAsia="Times New Roman" w:cs="Times New Roman"/>
          <w:color w:val="auto"/>
        </w:rPr>
        <w:t xml:space="preserve"> </w:t>
      </w:r>
      <w:r>
        <w:rPr>
          <w:rFonts w:ascii="宋体" w:hAnsi="宋体" w:eastAsia="宋体" w:cs="宋体"/>
          <w:color w:val="auto"/>
        </w:rPr>
        <w:t>乙方的违约责任</w:t>
      </w:r>
    </w:p>
    <w:p>
      <w:pPr>
        <w:spacing w:line="360" w:lineRule="auto"/>
        <w:ind w:left="420"/>
        <w:rPr>
          <w:rFonts w:ascii="Times New Roman" w:hAnsi="Times New Roman" w:eastAsia="Times New Roman" w:cs="Times New Roman"/>
          <w:color w:val="auto"/>
        </w:rPr>
      </w:pPr>
      <w:r>
        <w:rPr>
          <w:rFonts w:hint="eastAsia" w:ascii="Times New Roman" w:hAnsi="Times New Roman" w:eastAsia="宋体" w:cs="Times New Roman"/>
          <w:color w:val="auto"/>
        </w:rPr>
        <w:t>1.</w:t>
      </w:r>
      <w:r>
        <w:rPr>
          <w:rFonts w:hint="eastAsia" w:ascii="Times New Roman" w:hAnsi="Times New Roman" w:eastAsia="Times New Roman" w:cs="Times New Roman"/>
          <w:color w:val="auto"/>
        </w:rPr>
        <w:t>乙方不能交货的，应向甲方偿付不能交货部分货款的5%(通用产品的幅度为1%-5%，专用产品的幅度为10%-30%)的违约金，在响应文件中作出声明。</w:t>
      </w:r>
    </w:p>
    <w:p>
      <w:pPr>
        <w:numPr>
          <w:ilvl w:val="1"/>
          <w:numId w:val="27"/>
        </w:numPr>
        <w:spacing w:line="360" w:lineRule="auto"/>
        <w:ind w:firstLine="420"/>
        <w:rPr>
          <w:rFonts w:ascii="Times New Roman" w:hAnsi="Times New Roman" w:eastAsia="Times New Roman" w:cs="Times New Roman"/>
          <w:color w:val="auto"/>
        </w:rPr>
      </w:pPr>
      <w:r>
        <w:rPr>
          <w:rFonts w:ascii="Times New Roman" w:hAnsi="Times New Roman" w:eastAsia="Times New Roman" w:cs="Times New Roman"/>
          <w:color w:val="auto"/>
        </w:rPr>
        <w:t>2.</w:t>
      </w:r>
      <w:r>
        <w:rPr>
          <w:rFonts w:ascii="宋体" w:hAnsi="宋体" w:eastAsia="宋体" w:cs="宋体"/>
          <w:color w:val="auto"/>
        </w:rPr>
        <w:t>乙方所交产品不符合合同规定的，如果甲方同意利用，应当按质论价；如果甲方不能利用的，应根据产品的具体情况，由乙方负责包换或包修，并承担修理、调换或退货而支付的实际费用</w:t>
      </w:r>
      <w:r>
        <w:rPr>
          <w:rFonts w:ascii="Times New Roman" w:hAnsi="Times New Roman" w:eastAsia="Times New Roman" w:cs="Times New Roman"/>
          <w:color w:val="auto"/>
        </w:rPr>
        <w:t>,</w:t>
      </w:r>
      <w:r>
        <w:rPr>
          <w:rFonts w:ascii="宋体" w:hAnsi="宋体" w:eastAsia="宋体" w:cs="宋体"/>
          <w:color w:val="auto"/>
        </w:rPr>
        <w:t>同时，乙方应按规定，对更换件相应延长质量保证期，并赔偿甲方相应的损失。乙方不能修理或者不能调换的，按不能交货处理。</w:t>
      </w:r>
    </w:p>
    <w:p>
      <w:pPr>
        <w:spacing w:line="360" w:lineRule="auto"/>
        <w:ind w:firstLine="420"/>
        <w:rPr>
          <w:rFonts w:ascii="Times New Roman" w:hAnsi="Times New Roman" w:eastAsia="Times New Roman" w:cs="Times New Roman"/>
          <w:color w:val="auto"/>
        </w:rPr>
      </w:pPr>
      <w:r>
        <w:rPr>
          <w:rFonts w:ascii="Times New Roman" w:hAnsi="Times New Roman" w:eastAsia="Times New Roman" w:cs="Times New Roman"/>
          <w:color w:val="auto"/>
        </w:rPr>
        <w:t>3.</w:t>
      </w:r>
      <w:r>
        <w:rPr>
          <w:rFonts w:ascii="宋体" w:hAnsi="宋体" w:eastAsia="宋体" w:cs="宋体"/>
          <w:color w:val="auto"/>
        </w:rPr>
        <w:t>乙方因产品包装不符合合同规定，必须返修或重新包装的，乙方应负责返修或重包装，并承担支付的费用。甲方不要求返修或重新包装而要求赔偿损失的，乙方应当偿付甲方该不合格包装物低于合格包装物的价值部分。因包装不符合规定造成货物损坏或灭失的，乙方应当负责赔偿。每件货物包装箱内应附一份详细装箱单和质量证书。为进口件的，应出具报关手续和原产地、原产工厂证明、报关手续和商检证明等。</w:t>
      </w:r>
    </w:p>
    <w:p>
      <w:pPr>
        <w:spacing w:line="360" w:lineRule="auto"/>
        <w:ind w:firstLine="420"/>
        <w:rPr>
          <w:rFonts w:ascii="Times New Roman" w:hAnsi="Times New Roman" w:eastAsia="Times New Roman" w:cs="Times New Roman"/>
          <w:color w:val="auto"/>
        </w:rPr>
      </w:pPr>
      <w:r>
        <w:rPr>
          <w:rFonts w:ascii="Times New Roman" w:hAnsi="Times New Roman" w:eastAsia="Times New Roman" w:cs="Times New Roman"/>
          <w:color w:val="auto"/>
        </w:rPr>
        <w:t>4.</w:t>
      </w:r>
      <w:r>
        <w:rPr>
          <w:rFonts w:ascii="宋体" w:hAnsi="宋体" w:eastAsia="宋体" w:cs="宋体"/>
          <w:color w:val="auto"/>
        </w:rPr>
        <w:t>如果乙方没有按照规定的时间交货、完成货物安装和提供服务，应向甲方支付违约金，违约金从货款中扣除，按每周迟交货物或未提供服务交货价的</w:t>
      </w:r>
      <w:r>
        <w:rPr>
          <w:rFonts w:ascii="Times New Roman" w:hAnsi="Times New Roman" w:eastAsia="Times New Roman" w:cs="Times New Roman"/>
          <w:color w:val="auto"/>
        </w:rPr>
        <w:t>0.5%</w:t>
      </w:r>
      <w:r>
        <w:rPr>
          <w:rFonts w:ascii="宋体" w:hAnsi="宋体" w:eastAsia="宋体" w:cs="宋体"/>
          <w:color w:val="auto"/>
        </w:rPr>
        <w:t>计收。但违约金的最高限额为迟交货物或提供服务合同价的</w:t>
      </w:r>
      <w:r>
        <w:rPr>
          <w:rFonts w:ascii="Times New Roman" w:hAnsi="Times New Roman" w:eastAsia="Times New Roman" w:cs="Times New Roman"/>
          <w:color w:val="auto"/>
        </w:rPr>
        <w:t>5%</w:t>
      </w:r>
      <w:r>
        <w:rPr>
          <w:rFonts w:ascii="宋体" w:hAnsi="宋体" w:eastAsia="宋体" w:cs="宋体"/>
          <w:color w:val="auto"/>
        </w:rPr>
        <w:t>。一周按</w:t>
      </w:r>
      <w:r>
        <w:rPr>
          <w:rFonts w:ascii="Times New Roman" w:hAnsi="Times New Roman" w:eastAsia="Times New Roman" w:cs="Times New Roman"/>
          <w:color w:val="auto"/>
        </w:rPr>
        <w:t>7</w:t>
      </w:r>
      <w:r>
        <w:rPr>
          <w:rFonts w:ascii="宋体" w:hAnsi="宋体" w:eastAsia="宋体" w:cs="宋体"/>
          <w:color w:val="auto"/>
        </w:rPr>
        <w:t>天计算，不足</w:t>
      </w:r>
      <w:r>
        <w:rPr>
          <w:rFonts w:ascii="Times New Roman" w:hAnsi="Times New Roman" w:eastAsia="Times New Roman" w:cs="Times New Roman"/>
          <w:color w:val="auto"/>
        </w:rPr>
        <w:t>7</w:t>
      </w:r>
      <w:r>
        <w:rPr>
          <w:rFonts w:ascii="宋体" w:hAnsi="宋体" w:eastAsia="宋体" w:cs="宋体"/>
          <w:color w:val="auto"/>
        </w:rPr>
        <w:t>天按一周计算。如果达到最高限额，甲方应考虑终止合同，由此给甲方造成的损失由乙方承担。</w:t>
      </w:r>
    </w:p>
    <w:p>
      <w:pPr>
        <w:spacing w:line="360" w:lineRule="auto"/>
        <w:ind w:firstLine="420"/>
        <w:rPr>
          <w:rFonts w:ascii="Times New Roman" w:hAnsi="Times New Roman" w:eastAsia="Times New Roman" w:cs="Times New Roman"/>
          <w:color w:val="auto"/>
        </w:rPr>
      </w:pPr>
      <w:r>
        <w:rPr>
          <w:rFonts w:ascii="Times New Roman" w:hAnsi="Times New Roman" w:eastAsia="Times New Roman" w:cs="Times New Roman"/>
          <w:color w:val="auto"/>
        </w:rPr>
        <w:t>5.</w:t>
      </w:r>
      <w:r>
        <w:rPr>
          <w:rFonts w:ascii="宋体" w:hAnsi="宋体" w:eastAsia="宋体" w:cs="宋体"/>
          <w:color w:val="auto"/>
        </w:rPr>
        <w:t>乙方提前交货的产品、多交的产品和不符合合同规定的产品，甲方在代保管期内实际支付的保管、保养等费用以及非因甲方保管不善而发生的损失，应当由乙方承担。</w:t>
      </w:r>
    </w:p>
    <w:p>
      <w:pPr>
        <w:spacing w:line="360" w:lineRule="auto"/>
        <w:ind w:firstLine="420"/>
        <w:rPr>
          <w:rFonts w:ascii="Times New Roman" w:hAnsi="Times New Roman" w:eastAsia="Times New Roman" w:cs="Times New Roman"/>
          <w:color w:val="auto"/>
        </w:rPr>
      </w:pPr>
      <w:r>
        <w:rPr>
          <w:rFonts w:ascii="Times New Roman" w:hAnsi="Times New Roman" w:eastAsia="Times New Roman" w:cs="Times New Roman"/>
          <w:color w:val="auto"/>
        </w:rPr>
        <w:t>6.</w:t>
      </w:r>
      <w:r>
        <w:rPr>
          <w:rFonts w:ascii="宋体" w:hAnsi="宋体" w:eastAsia="宋体" w:cs="宋体"/>
          <w:color w:val="auto"/>
        </w:rPr>
        <w:t>乙方应对其所提供的货物承担所有权担保责任，并应保证甲方在中华人民共和国内使用该货物时不侵犯第三人的知识产权。否则乙方应承担由此引起的一切法律责任及费用。</w:t>
      </w:r>
    </w:p>
    <w:p>
      <w:pPr>
        <w:spacing w:line="360" w:lineRule="auto"/>
        <w:ind w:firstLine="420"/>
        <w:rPr>
          <w:rFonts w:ascii="Times New Roman" w:hAnsi="Times New Roman" w:eastAsia="Times New Roman" w:cs="Times New Roman"/>
          <w:color w:val="auto"/>
        </w:rPr>
      </w:pPr>
      <w:r>
        <w:rPr>
          <w:rFonts w:ascii="Times New Roman" w:hAnsi="Times New Roman" w:eastAsia="Times New Roman" w:cs="Times New Roman"/>
          <w:color w:val="auto"/>
        </w:rPr>
        <w:t>7.</w:t>
      </w:r>
      <w:r>
        <w:rPr>
          <w:rFonts w:ascii="宋体" w:hAnsi="宋体" w:eastAsia="宋体" w:cs="宋体"/>
          <w:color w:val="auto"/>
        </w:rPr>
        <w:t>任何一方未经对方同意而单方面终止合同的，应向对方赔偿相当于本合同总价款</w:t>
      </w:r>
      <w:r>
        <w:rPr>
          <w:rFonts w:ascii="Times New Roman" w:hAnsi="Times New Roman" w:eastAsia="Times New Roman" w:cs="Times New Roman"/>
          <w:color w:val="auto"/>
          <w:u w:val="single"/>
        </w:rPr>
        <w:t xml:space="preserve">      %</w:t>
      </w:r>
      <w:r>
        <w:rPr>
          <w:rFonts w:ascii="宋体" w:hAnsi="宋体" w:eastAsia="宋体" w:cs="宋体"/>
          <w:color w:val="auto"/>
        </w:rPr>
        <w:t>违约金。</w:t>
      </w:r>
    </w:p>
    <w:p>
      <w:pPr>
        <w:spacing w:line="360" w:lineRule="auto"/>
        <w:ind w:firstLine="422"/>
        <w:rPr>
          <w:rFonts w:ascii="Times New Roman" w:hAnsi="Times New Roman" w:eastAsia="Times New Roman" w:cs="Times New Roman"/>
          <w:color w:val="auto"/>
        </w:rPr>
      </w:pPr>
      <w:r>
        <w:rPr>
          <w:rFonts w:ascii="宋体" w:hAnsi="宋体" w:eastAsia="宋体" w:cs="宋体"/>
          <w:b/>
          <w:color w:val="auto"/>
        </w:rPr>
        <w:t>第十一条</w:t>
      </w:r>
      <w:r>
        <w:rPr>
          <w:rFonts w:ascii="宋体" w:hAnsi="宋体" w:eastAsia="宋体" w:cs="宋体"/>
          <w:color w:val="auto"/>
        </w:rPr>
        <w:t> </w:t>
      </w:r>
      <w:r>
        <w:rPr>
          <w:rFonts w:ascii="Times New Roman" w:hAnsi="Times New Roman" w:eastAsia="Times New Roman" w:cs="Times New Roman"/>
          <w:color w:val="auto"/>
        </w:rPr>
        <w:t xml:space="preserve"> </w:t>
      </w:r>
      <w:r>
        <w:rPr>
          <w:rFonts w:ascii="宋体" w:hAnsi="宋体" w:eastAsia="宋体" w:cs="宋体"/>
          <w:color w:val="auto"/>
        </w:rPr>
        <w:t>甲方的违约责任</w:t>
      </w:r>
    </w:p>
    <w:p>
      <w:pPr>
        <w:spacing w:line="360" w:lineRule="auto"/>
        <w:ind w:firstLine="420"/>
        <w:rPr>
          <w:rFonts w:ascii="Times New Roman" w:hAnsi="Times New Roman" w:eastAsia="Times New Roman" w:cs="Times New Roman"/>
          <w:color w:val="auto"/>
        </w:rPr>
      </w:pPr>
      <w:r>
        <w:rPr>
          <w:rFonts w:ascii="Times New Roman" w:hAnsi="Times New Roman" w:eastAsia="Times New Roman" w:cs="Times New Roman"/>
          <w:color w:val="auto"/>
        </w:rPr>
        <w:t>1.</w:t>
      </w:r>
      <w:r>
        <w:rPr>
          <w:rFonts w:ascii="宋体" w:hAnsi="宋体" w:eastAsia="宋体" w:cs="宋体"/>
          <w:color w:val="auto"/>
        </w:rPr>
        <w:t>甲方中途退货，应向乙方偿付退货部分货款</w:t>
      </w:r>
      <w:r>
        <w:rPr>
          <w:rFonts w:ascii="宋体" w:hAnsi="宋体" w:eastAsia="宋体" w:cs="宋体"/>
          <w:color w:val="auto"/>
          <w:u w:val="single"/>
        </w:rPr>
        <w:t>            </w:t>
      </w:r>
      <w:r>
        <w:rPr>
          <w:rFonts w:ascii="Times New Roman" w:hAnsi="Times New Roman" w:eastAsia="Times New Roman" w:cs="Times New Roman"/>
          <w:color w:val="auto"/>
          <w:u w:val="single"/>
        </w:rPr>
        <w:t xml:space="preserve"> </w:t>
      </w:r>
      <w:r>
        <w:rPr>
          <w:rFonts w:ascii="Times New Roman" w:hAnsi="Times New Roman" w:eastAsia="Times New Roman" w:cs="Times New Roman"/>
          <w:color w:val="auto"/>
        </w:rPr>
        <w:t>%</w:t>
      </w:r>
      <w:r>
        <w:rPr>
          <w:rFonts w:ascii="宋体" w:hAnsi="宋体" w:eastAsia="宋体" w:cs="宋体"/>
          <w:color w:val="auto"/>
        </w:rPr>
        <w:t>（通用产品的幅度为</w:t>
      </w:r>
      <w:r>
        <w:rPr>
          <w:rFonts w:ascii="Times New Roman" w:hAnsi="Times New Roman" w:eastAsia="Times New Roman" w:cs="Times New Roman"/>
          <w:color w:val="auto"/>
        </w:rPr>
        <w:t>1%~5%</w:t>
      </w:r>
      <w:r>
        <w:rPr>
          <w:rFonts w:ascii="宋体" w:hAnsi="宋体" w:eastAsia="宋体" w:cs="宋体"/>
          <w:color w:val="auto"/>
        </w:rPr>
        <w:t>专用产品的幅度为</w:t>
      </w:r>
      <w:r>
        <w:rPr>
          <w:rFonts w:ascii="Times New Roman" w:hAnsi="Times New Roman" w:eastAsia="Times New Roman" w:cs="Times New Roman"/>
          <w:color w:val="auto"/>
        </w:rPr>
        <w:t>15%-30%</w:t>
      </w:r>
      <w:r>
        <w:rPr>
          <w:rFonts w:ascii="宋体" w:hAnsi="宋体" w:eastAsia="宋体" w:cs="宋体"/>
          <w:color w:val="auto"/>
        </w:rPr>
        <w:t>）的违约金。</w:t>
      </w:r>
    </w:p>
    <w:p>
      <w:pPr>
        <w:spacing w:line="360" w:lineRule="auto"/>
        <w:ind w:firstLine="420"/>
        <w:rPr>
          <w:rFonts w:ascii="Times New Roman" w:hAnsi="Times New Roman" w:eastAsia="Times New Roman" w:cs="Times New Roman"/>
          <w:color w:val="auto"/>
        </w:rPr>
      </w:pPr>
      <w:r>
        <w:rPr>
          <w:rFonts w:ascii="Times New Roman" w:hAnsi="Times New Roman" w:eastAsia="Times New Roman" w:cs="Times New Roman"/>
          <w:color w:val="auto"/>
        </w:rPr>
        <w:t>2.</w:t>
      </w:r>
      <w:r>
        <w:rPr>
          <w:rFonts w:ascii="宋体" w:hAnsi="宋体" w:eastAsia="宋体" w:cs="宋体"/>
          <w:color w:val="auto"/>
        </w:rPr>
        <w:t>甲方违反合同规定拒绝接货的，应当承担由此造成的损失。</w:t>
      </w:r>
    </w:p>
    <w:p>
      <w:pPr>
        <w:spacing w:line="360" w:lineRule="auto"/>
        <w:ind w:firstLine="420"/>
        <w:rPr>
          <w:rFonts w:ascii="Times New Roman" w:hAnsi="Times New Roman" w:eastAsia="Times New Roman" w:cs="Times New Roman"/>
          <w:color w:val="auto"/>
          <w:u w:val="single"/>
        </w:rPr>
      </w:pPr>
      <w:r>
        <w:rPr>
          <w:rFonts w:ascii="Times New Roman" w:hAnsi="Times New Roman" w:eastAsia="Times New Roman" w:cs="Times New Roman"/>
          <w:color w:val="auto"/>
        </w:rPr>
        <w:t xml:space="preserve">3. </w:t>
      </w:r>
      <w:r>
        <w:rPr>
          <w:rFonts w:ascii="宋体" w:hAnsi="宋体" w:eastAsia="宋体" w:cs="宋体"/>
          <w:color w:val="auto"/>
        </w:rPr>
        <w:t>甲方未按照合同约定支付货款，应向乙方违约金</w:t>
      </w:r>
      <w:r>
        <w:rPr>
          <w:rFonts w:ascii="Times New Roman" w:hAnsi="Times New Roman" w:eastAsia="Times New Roman" w:cs="Times New Roman"/>
          <w:color w:val="auto"/>
          <w:u w:val="single"/>
        </w:rPr>
        <w:t xml:space="preserve">   </w:t>
      </w:r>
      <w:r>
        <w:rPr>
          <w:rFonts w:ascii="宋体" w:hAnsi="宋体" w:eastAsia="宋体" w:cs="宋体"/>
          <w:color w:val="auto"/>
        </w:rPr>
        <w:t>元。</w:t>
      </w:r>
    </w:p>
    <w:p>
      <w:pPr>
        <w:spacing w:line="360" w:lineRule="auto"/>
        <w:ind w:firstLine="422"/>
        <w:rPr>
          <w:rFonts w:ascii="Times New Roman" w:hAnsi="Times New Roman" w:eastAsia="Times New Roman" w:cs="Times New Roman"/>
          <w:b/>
          <w:color w:val="auto"/>
        </w:rPr>
      </w:pPr>
      <w:r>
        <w:rPr>
          <w:rFonts w:ascii="宋体" w:hAnsi="宋体" w:eastAsia="宋体" w:cs="宋体"/>
          <w:b/>
          <w:color w:val="auto"/>
        </w:rPr>
        <w:t>第十二条 </w:t>
      </w:r>
      <w:r>
        <w:rPr>
          <w:rFonts w:ascii="Times New Roman" w:hAnsi="Times New Roman" w:eastAsia="Times New Roman" w:cs="Times New Roman"/>
          <w:color w:val="auto"/>
        </w:rPr>
        <w:t xml:space="preserve"> </w:t>
      </w:r>
      <w:r>
        <w:rPr>
          <w:rFonts w:ascii="宋体" w:hAnsi="宋体" w:eastAsia="宋体" w:cs="宋体"/>
          <w:color w:val="auto"/>
        </w:rPr>
        <w:t>不可抗力</w:t>
      </w:r>
    </w:p>
    <w:p>
      <w:pPr>
        <w:spacing w:line="360" w:lineRule="auto"/>
        <w:ind w:firstLine="420"/>
        <w:rPr>
          <w:rFonts w:ascii="Times New Roman" w:hAnsi="Times New Roman" w:eastAsia="Times New Roman" w:cs="Times New Roman"/>
          <w:color w:val="auto"/>
        </w:rPr>
      </w:pPr>
      <w:r>
        <w:rPr>
          <w:rFonts w:ascii="Times New Roman" w:hAnsi="Times New Roman" w:eastAsia="Times New Roman" w:cs="Times New Roman"/>
          <w:color w:val="auto"/>
        </w:rPr>
        <w:t>1.</w:t>
      </w:r>
      <w:r>
        <w:rPr>
          <w:rFonts w:ascii="宋体" w:hAnsi="宋体" w:eastAsia="宋体" w:cs="宋体"/>
          <w:color w:val="auto"/>
        </w:rPr>
        <w:t>如果双方任何一方由于受诸如战争、严重火灾、洪水、台风、地震等不可抗力的事故，致使影响合同履行时，履行合同的期限应予以延长，延长的期限应相当于事故所影响的时间。不可抗力事故系指买卖双方在缔结合同时所不能预见的，并且它的发生及其后果是无法避免和无法克服的事故。</w:t>
      </w:r>
    </w:p>
    <w:p>
      <w:pPr>
        <w:spacing w:line="360" w:lineRule="auto"/>
        <w:ind w:firstLine="420"/>
        <w:rPr>
          <w:rFonts w:ascii="Times New Roman" w:hAnsi="Times New Roman" w:eastAsia="Times New Roman" w:cs="Times New Roman"/>
          <w:color w:val="auto"/>
        </w:rPr>
      </w:pPr>
      <w:r>
        <w:rPr>
          <w:rFonts w:ascii="Times New Roman" w:hAnsi="Times New Roman" w:eastAsia="Times New Roman" w:cs="Times New Roman"/>
          <w:color w:val="auto"/>
        </w:rPr>
        <w:t>2.</w:t>
      </w:r>
      <w:r>
        <w:rPr>
          <w:rFonts w:ascii="宋体" w:hAnsi="宋体" w:eastAsia="宋体" w:cs="宋体"/>
          <w:color w:val="auto"/>
        </w:rPr>
        <w:t>甲乙双方的任何一方由于不可抗力的原因不能履行合同时，应及时向对方通报不能履行或不能完全履行的理由，在取得有关部门证明以后，允许延期履行、部分履行或者不履行合同，并根据情况可部分或全部免予承担违约责任。</w:t>
      </w:r>
    </w:p>
    <w:p>
      <w:pPr>
        <w:spacing w:line="360" w:lineRule="auto"/>
        <w:ind w:firstLine="422"/>
        <w:rPr>
          <w:rFonts w:ascii="Times New Roman" w:hAnsi="Times New Roman" w:eastAsia="Times New Roman" w:cs="Times New Roman"/>
          <w:b/>
          <w:color w:val="auto"/>
        </w:rPr>
      </w:pPr>
      <w:r>
        <w:rPr>
          <w:rFonts w:ascii="宋体" w:hAnsi="宋体" w:eastAsia="宋体" w:cs="宋体"/>
          <w:b/>
          <w:color w:val="auto"/>
        </w:rPr>
        <w:t>第十三条</w:t>
      </w:r>
      <w:r>
        <w:rPr>
          <w:rFonts w:ascii="Times New Roman" w:hAnsi="Times New Roman" w:eastAsia="Times New Roman" w:cs="Times New Roman"/>
          <w:b/>
          <w:color w:val="auto"/>
        </w:rPr>
        <w:t xml:space="preserve">  </w:t>
      </w:r>
      <w:r>
        <w:rPr>
          <w:rFonts w:ascii="宋体" w:hAnsi="宋体" w:eastAsia="宋体" w:cs="宋体"/>
          <w:color w:val="auto"/>
        </w:rPr>
        <w:t>履约（或质量）保证金</w:t>
      </w:r>
    </w:p>
    <w:p>
      <w:pPr>
        <w:spacing w:line="360" w:lineRule="auto"/>
        <w:ind w:firstLine="420"/>
        <w:rPr>
          <w:rFonts w:ascii="Times New Roman" w:hAnsi="Times New Roman" w:eastAsia="Times New Roman" w:cs="Times New Roman"/>
          <w:color w:val="auto"/>
        </w:rPr>
      </w:pPr>
      <w:r>
        <w:rPr>
          <w:rFonts w:ascii="Times New Roman" w:hAnsi="Times New Roman" w:eastAsia="Times New Roman" w:cs="Times New Roman"/>
          <w:color w:val="auto"/>
        </w:rPr>
        <w:t>1.</w:t>
      </w:r>
      <w:r>
        <w:rPr>
          <w:rFonts w:ascii="宋体" w:hAnsi="宋体" w:eastAsia="宋体" w:cs="宋体"/>
          <w:color w:val="auto"/>
        </w:rPr>
        <w:t>本项目不收取履约保证金。确需收取履约保证金的，甲方不得要求乙方以现款的形式提供。乙方提供的履约保证金按规定格式以银行保函形式提供，与此有关的费用由卖方承担。</w:t>
      </w:r>
    </w:p>
    <w:p>
      <w:pPr>
        <w:spacing w:line="360" w:lineRule="auto"/>
        <w:ind w:firstLine="420"/>
        <w:rPr>
          <w:rFonts w:ascii="Times New Roman" w:hAnsi="Times New Roman" w:eastAsia="Times New Roman" w:cs="Times New Roman"/>
          <w:color w:val="auto"/>
        </w:rPr>
      </w:pPr>
      <w:r>
        <w:rPr>
          <w:rFonts w:ascii="Times New Roman" w:hAnsi="Times New Roman" w:eastAsia="Times New Roman" w:cs="Times New Roman"/>
          <w:color w:val="auto"/>
        </w:rPr>
        <w:t>2.</w:t>
      </w:r>
      <w:r>
        <w:rPr>
          <w:rFonts w:ascii="宋体" w:hAnsi="宋体" w:eastAsia="宋体" w:cs="宋体"/>
          <w:color w:val="auto"/>
        </w:rPr>
        <w:t>若确需质量保证金的，质量保证金不得超过合同总价款的</w:t>
      </w:r>
      <w:r>
        <w:rPr>
          <w:rFonts w:ascii="Times New Roman" w:hAnsi="Times New Roman" w:eastAsia="Times New Roman" w:cs="Times New Roman"/>
          <w:color w:val="auto"/>
        </w:rPr>
        <w:t>5%</w:t>
      </w:r>
      <w:r>
        <w:rPr>
          <w:rFonts w:ascii="宋体" w:hAnsi="宋体" w:eastAsia="宋体" w:cs="宋体"/>
          <w:color w:val="auto"/>
        </w:rPr>
        <w:t>。</w:t>
      </w:r>
    </w:p>
    <w:p>
      <w:pPr>
        <w:spacing w:line="360" w:lineRule="auto"/>
        <w:ind w:firstLine="420"/>
        <w:rPr>
          <w:rFonts w:ascii="Times New Roman" w:hAnsi="Times New Roman" w:eastAsia="Times New Roman" w:cs="Times New Roman"/>
          <w:color w:val="auto"/>
        </w:rPr>
      </w:pPr>
      <w:r>
        <w:rPr>
          <w:rFonts w:ascii="Times New Roman" w:hAnsi="Times New Roman" w:eastAsia="Times New Roman" w:cs="Times New Roman"/>
          <w:color w:val="auto"/>
        </w:rPr>
        <w:t>3.</w:t>
      </w:r>
      <w:r>
        <w:rPr>
          <w:rFonts w:ascii="宋体" w:hAnsi="宋体" w:eastAsia="宋体" w:cs="宋体"/>
          <w:color w:val="auto"/>
        </w:rPr>
        <w:t>如乙方未能履行其合同规定的任何义务，甲方有权从履约保证金中取得补偿。</w:t>
      </w:r>
    </w:p>
    <w:p>
      <w:pPr>
        <w:spacing w:line="360" w:lineRule="auto"/>
        <w:ind w:firstLine="422"/>
        <w:rPr>
          <w:rFonts w:ascii="Times New Roman" w:hAnsi="Times New Roman" w:eastAsia="Times New Roman" w:cs="Times New Roman"/>
          <w:b/>
          <w:color w:val="auto"/>
        </w:rPr>
      </w:pPr>
      <w:r>
        <w:rPr>
          <w:rFonts w:ascii="宋体" w:hAnsi="宋体" w:eastAsia="宋体" w:cs="宋体"/>
          <w:b/>
          <w:color w:val="auto"/>
        </w:rPr>
        <w:t>第十四条</w:t>
      </w:r>
      <w:r>
        <w:rPr>
          <w:rFonts w:ascii="Times New Roman" w:hAnsi="Times New Roman" w:eastAsia="Times New Roman" w:cs="Times New Roman"/>
          <w:b/>
          <w:color w:val="auto"/>
        </w:rPr>
        <w:t xml:space="preserve"> </w:t>
      </w:r>
      <w:r>
        <w:rPr>
          <w:rFonts w:ascii="宋体" w:hAnsi="宋体" w:eastAsia="宋体" w:cs="宋体"/>
          <w:color w:val="auto"/>
        </w:rPr>
        <w:t>转让与分包</w:t>
      </w:r>
    </w:p>
    <w:p>
      <w:pPr>
        <w:spacing w:line="360" w:lineRule="auto"/>
        <w:ind w:firstLine="420"/>
        <w:rPr>
          <w:rFonts w:ascii="Times New Roman" w:hAnsi="Times New Roman" w:eastAsia="Times New Roman" w:cs="Times New Roman"/>
          <w:color w:val="auto"/>
        </w:rPr>
      </w:pPr>
      <w:r>
        <w:rPr>
          <w:rFonts w:ascii="Times New Roman" w:hAnsi="Times New Roman" w:eastAsia="Times New Roman" w:cs="Times New Roman"/>
          <w:color w:val="auto"/>
        </w:rPr>
        <w:t>1.</w:t>
      </w:r>
      <w:r>
        <w:rPr>
          <w:rFonts w:ascii="宋体" w:hAnsi="宋体" w:eastAsia="宋体" w:cs="宋体"/>
          <w:color w:val="auto"/>
        </w:rPr>
        <w:t>除甲方事先书面同意外，乙方不得部分转让或全部转让其应履行的合同义务。</w:t>
      </w:r>
    </w:p>
    <w:p>
      <w:pPr>
        <w:spacing w:line="360" w:lineRule="auto"/>
        <w:ind w:firstLine="420"/>
        <w:rPr>
          <w:rFonts w:ascii="Times New Roman" w:hAnsi="Times New Roman" w:eastAsia="Times New Roman" w:cs="Times New Roman"/>
          <w:color w:val="auto"/>
        </w:rPr>
      </w:pPr>
      <w:r>
        <w:rPr>
          <w:rFonts w:ascii="Times New Roman" w:hAnsi="Times New Roman" w:eastAsia="Times New Roman" w:cs="Times New Roman"/>
          <w:color w:val="auto"/>
        </w:rPr>
        <w:t>2.</w:t>
      </w:r>
      <w:r>
        <w:rPr>
          <w:rFonts w:ascii="宋体" w:hAnsi="宋体" w:eastAsia="宋体" w:cs="宋体"/>
          <w:color w:val="auto"/>
        </w:rPr>
        <w:t>乙方应在投标文件中或以其他书面形式对甲方确认本合同项下所授予的所有分包合同。但该确认不解除乙方承担的本合同下的任何责任或义务。意即在本合同项下，乙方对甲方负总责。</w:t>
      </w:r>
    </w:p>
    <w:p>
      <w:pPr>
        <w:spacing w:line="360" w:lineRule="auto"/>
        <w:ind w:firstLine="422"/>
        <w:rPr>
          <w:rFonts w:ascii="Times New Roman" w:hAnsi="Times New Roman" w:eastAsia="Times New Roman" w:cs="Times New Roman"/>
          <w:b/>
          <w:color w:val="auto"/>
        </w:rPr>
      </w:pPr>
      <w:r>
        <w:rPr>
          <w:rFonts w:ascii="宋体" w:hAnsi="宋体" w:eastAsia="宋体" w:cs="宋体"/>
          <w:b/>
          <w:color w:val="auto"/>
        </w:rPr>
        <w:t>第十五条</w:t>
      </w:r>
      <w:r>
        <w:rPr>
          <w:rFonts w:ascii="Times New Roman" w:hAnsi="Times New Roman" w:eastAsia="Times New Roman" w:cs="Times New Roman"/>
          <w:b/>
          <w:color w:val="auto"/>
        </w:rPr>
        <w:t xml:space="preserve"> </w:t>
      </w:r>
      <w:r>
        <w:rPr>
          <w:rFonts w:ascii="宋体" w:hAnsi="宋体" w:eastAsia="宋体" w:cs="宋体"/>
          <w:color w:val="auto"/>
        </w:rPr>
        <w:t>合同文件及资料的使用</w:t>
      </w:r>
    </w:p>
    <w:p>
      <w:pPr>
        <w:spacing w:line="360" w:lineRule="auto"/>
        <w:ind w:firstLine="420"/>
        <w:rPr>
          <w:rFonts w:ascii="Times New Roman" w:hAnsi="Times New Roman" w:eastAsia="Times New Roman" w:cs="Times New Roman"/>
          <w:color w:val="auto"/>
        </w:rPr>
      </w:pPr>
      <w:r>
        <w:rPr>
          <w:rFonts w:ascii="Times New Roman" w:hAnsi="Times New Roman" w:eastAsia="Times New Roman" w:cs="Times New Roman"/>
          <w:color w:val="auto"/>
        </w:rPr>
        <w:t>1.</w:t>
      </w:r>
      <w:r>
        <w:rPr>
          <w:rFonts w:ascii="宋体" w:hAnsi="宋体" w:eastAsia="宋体" w:cs="宋体"/>
          <w:color w:val="auto"/>
        </w:rPr>
        <w:t>乙方在未经甲方同意的情况下，不得将合同、合同中的规定、有关计划、图纸、样本或甲方为上述内容向乙方提供的资料透露给任何人。</w:t>
      </w:r>
    </w:p>
    <w:p>
      <w:pPr>
        <w:spacing w:line="360" w:lineRule="auto"/>
        <w:ind w:firstLine="420"/>
        <w:rPr>
          <w:rFonts w:ascii="Times New Roman" w:hAnsi="Times New Roman" w:eastAsia="Times New Roman" w:cs="Times New Roman"/>
          <w:color w:val="auto"/>
        </w:rPr>
      </w:pPr>
      <w:r>
        <w:rPr>
          <w:rFonts w:ascii="Times New Roman" w:hAnsi="Times New Roman" w:eastAsia="Times New Roman" w:cs="Times New Roman"/>
          <w:color w:val="auto"/>
        </w:rPr>
        <w:t>2.</w:t>
      </w:r>
      <w:r>
        <w:rPr>
          <w:rFonts w:ascii="宋体" w:hAnsi="宋体" w:eastAsia="宋体" w:cs="宋体"/>
          <w:color w:val="auto"/>
        </w:rPr>
        <w:t>除非执行合同需要，在事先未得到甲方同意的情况下，乙方不得使用前款所列的任何文件和资料。</w:t>
      </w:r>
    </w:p>
    <w:p>
      <w:pPr>
        <w:spacing w:line="360" w:lineRule="auto"/>
        <w:ind w:firstLine="422"/>
        <w:rPr>
          <w:rFonts w:ascii="Times New Roman" w:hAnsi="Times New Roman" w:eastAsia="Times New Roman" w:cs="Times New Roman"/>
          <w:color w:val="auto"/>
        </w:rPr>
      </w:pPr>
      <w:r>
        <w:rPr>
          <w:rFonts w:ascii="宋体" w:hAnsi="宋体" w:eastAsia="宋体" w:cs="宋体"/>
          <w:b/>
          <w:color w:val="auto"/>
        </w:rPr>
        <w:t>第十六条 </w:t>
      </w:r>
      <w:r>
        <w:rPr>
          <w:rFonts w:ascii="宋体" w:hAnsi="宋体" w:eastAsia="宋体" w:cs="宋体"/>
          <w:color w:val="auto"/>
        </w:rPr>
        <w:t>合同纠纷调处</w:t>
      </w:r>
    </w:p>
    <w:p>
      <w:pPr>
        <w:spacing w:line="360" w:lineRule="auto"/>
        <w:ind w:firstLine="420"/>
        <w:rPr>
          <w:rFonts w:ascii="Times New Roman" w:hAnsi="Times New Roman" w:eastAsia="Times New Roman" w:cs="Times New Roman"/>
          <w:color w:val="auto"/>
        </w:rPr>
      </w:pPr>
      <w:r>
        <w:rPr>
          <w:rFonts w:ascii="Times New Roman" w:hAnsi="Times New Roman" w:eastAsia="Times New Roman" w:cs="Times New Roman"/>
          <w:color w:val="auto"/>
        </w:rPr>
        <w:t>1.</w:t>
      </w:r>
      <w:r>
        <w:rPr>
          <w:rFonts w:ascii="宋体" w:hAnsi="宋体" w:eastAsia="宋体" w:cs="宋体"/>
          <w:color w:val="auto"/>
        </w:rPr>
        <w:t>按本合同规定应该偿付的违约金、赔偿金、保管保养费和各种经济损失，应当在明确责任后</w:t>
      </w:r>
      <w:r>
        <w:rPr>
          <w:rFonts w:ascii="Times New Roman" w:hAnsi="Times New Roman" w:eastAsia="Times New Roman" w:cs="Times New Roman"/>
          <w:color w:val="auto"/>
        </w:rPr>
        <w:t>10</w:t>
      </w:r>
      <w:r>
        <w:rPr>
          <w:rFonts w:ascii="宋体" w:hAnsi="宋体" w:eastAsia="宋体" w:cs="宋体"/>
          <w:color w:val="auto"/>
        </w:rPr>
        <w:t>天内，按银行规定的结算办法付清，否则按逾期付款处理。但任何一方不得自行扣发货物或扣付货款来充抵。</w:t>
      </w:r>
    </w:p>
    <w:p>
      <w:pPr>
        <w:spacing w:line="360" w:lineRule="auto"/>
        <w:ind w:firstLine="420"/>
        <w:rPr>
          <w:rFonts w:ascii="Times New Roman" w:hAnsi="Times New Roman" w:eastAsia="Times New Roman" w:cs="Times New Roman"/>
          <w:color w:val="auto"/>
        </w:rPr>
      </w:pPr>
      <w:r>
        <w:rPr>
          <w:rFonts w:ascii="Times New Roman" w:hAnsi="Times New Roman" w:eastAsia="Times New Roman" w:cs="Times New Roman"/>
          <w:color w:val="auto"/>
        </w:rPr>
        <w:t>2.</w:t>
      </w:r>
      <w:r>
        <w:rPr>
          <w:rFonts w:ascii="宋体" w:hAnsi="宋体" w:eastAsia="宋体" w:cs="宋体"/>
          <w:color w:val="auto"/>
        </w:rPr>
        <w:t>本合同如发生纠纷，当事人双方应当及时协商解决，协商不成时，任何一方均可请本项目政府采购监督管理部门调解，调解不成，按以下第（</w:t>
      </w:r>
      <w:r>
        <w:rPr>
          <w:rFonts w:ascii="Times New Roman" w:hAnsi="Times New Roman" w:eastAsia="Times New Roman" w:cs="Times New Roman"/>
          <w:color w:val="auto"/>
        </w:rPr>
        <w:t xml:space="preserve"> </w:t>
      </w:r>
      <w:r>
        <w:rPr>
          <w:rFonts w:ascii="宋体" w:hAnsi="宋体" w:eastAsia="宋体" w:cs="宋体"/>
          <w:color w:val="auto"/>
        </w:rPr>
        <w:t>）项方式处理：①根据《中华人民共和国仲裁法》的规定向</w:t>
      </w:r>
      <w:r>
        <w:rPr>
          <w:rFonts w:ascii="宋体" w:hAnsi="宋体" w:eastAsia="宋体" w:cs="宋体"/>
          <w:b/>
          <w:color w:val="auto"/>
          <w:u w:val="single"/>
        </w:rPr>
        <w:t>周口仲裁委员会</w:t>
      </w:r>
      <w:r>
        <w:rPr>
          <w:rFonts w:ascii="宋体" w:hAnsi="宋体" w:eastAsia="宋体" w:cs="宋体"/>
          <w:color w:val="auto"/>
        </w:rPr>
        <w:t>申请仲裁。②向合同签订地有级别管辖权的人民法院起诉。</w:t>
      </w:r>
    </w:p>
    <w:p>
      <w:pPr>
        <w:spacing w:line="300" w:lineRule="auto"/>
        <w:ind w:firstLine="420"/>
        <w:rPr>
          <w:rFonts w:ascii="Times New Roman" w:hAnsi="Times New Roman" w:eastAsia="Times New Roman" w:cs="Times New Roman"/>
          <w:color w:val="auto"/>
        </w:rPr>
      </w:pPr>
      <w:r>
        <w:rPr>
          <w:rFonts w:ascii="Times New Roman" w:hAnsi="Times New Roman" w:eastAsia="Times New Roman" w:cs="Times New Roman"/>
          <w:color w:val="auto"/>
        </w:rPr>
        <w:t>3</w:t>
      </w:r>
      <w:r>
        <w:rPr>
          <w:rFonts w:ascii="宋体" w:hAnsi="宋体" w:eastAsia="宋体" w:cs="宋体"/>
          <w:color w:val="auto"/>
        </w:rPr>
        <w:t>、甲、乙双方均有权利向本项目具有监管职能的政府采购监督管理部门举报反映对方在合同履约中的违法违纪行为。</w:t>
      </w:r>
    </w:p>
    <w:p>
      <w:pPr>
        <w:spacing w:line="360" w:lineRule="auto"/>
        <w:ind w:firstLine="422"/>
        <w:rPr>
          <w:rFonts w:ascii="Times New Roman" w:hAnsi="Times New Roman" w:eastAsia="Times New Roman" w:cs="Times New Roman"/>
          <w:color w:val="auto"/>
        </w:rPr>
      </w:pPr>
      <w:r>
        <w:rPr>
          <w:rFonts w:ascii="宋体" w:hAnsi="宋体" w:eastAsia="宋体" w:cs="宋体"/>
          <w:b/>
          <w:color w:val="auto"/>
        </w:rPr>
        <w:t>第十七条</w:t>
      </w:r>
      <w:r>
        <w:rPr>
          <w:rFonts w:ascii="Times New Roman" w:hAnsi="Times New Roman" w:eastAsia="Times New Roman" w:cs="Times New Roman"/>
          <w:b/>
          <w:color w:val="auto"/>
        </w:rPr>
        <w:t xml:space="preserve">  </w:t>
      </w:r>
      <w:r>
        <w:rPr>
          <w:rFonts w:ascii="宋体" w:hAnsi="宋体" w:eastAsia="宋体" w:cs="宋体"/>
          <w:color w:val="auto"/>
        </w:rPr>
        <w:t>下列关于周口市公共资源交易中心政府采购代理机构名称</w:t>
      </w:r>
      <w:r>
        <w:rPr>
          <w:rFonts w:ascii="宋体" w:hAnsi="宋体" w:eastAsia="宋体" w:cs="宋体"/>
          <w:color w:val="auto"/>
          <w:u w:val="single"/>
        </w:rPr>
        <w:t>某项目（项目编号：某编号）</w:t>
      </w:r>
      <w:r>
        <w:rPr>
          <w:rFonts w:ascii="宋体" w:hAnsi="宋体" w:eastAsia="宋体" w:cs="宋体"/>
          <w:color w:val="auto"/>
        </w:rPr>
        <w:t>的采购文件及有关附件是本合同不可分割的组成部分，与本合同具有同等法律效力，这些文件包括但不限于：①招标文件；②乙方提供的投标文件；③服务承诺；④甲乙双方商定的其他文件。以上附件顺序在前的具有优先解释权。</w:t>
      </w:r>
    </w:p>
    <w:p>
      <w:pPr>
        <w:spacing w:line="360" w:lineRule="auto"/>
        <w:ind w:firstLine="420"/>
        <w:rPr>
          <w:rFonts w:ascii="Times New Roman" w:hAnsi="Times New Roman" w:eastAsia="Times New Roman" w:cs="Times New Roman"/>
          <w:color w:val="auto"/>
        </w:rPr>
      </w:pPr>
      <w:r>
        <w:rPr>
          <w:rFonts w:ascii="Times New Roman" w:hAnsi="Times New Roman" w:eastAsia="Times New Roman" w:cs="Times New Roman"/>
          <w:color w:val="auto"/>
        </w:rPr>
        <w:t xml:space="preserve">    </w:t>
      </w:r>
      <w:r>
        <w:rPr>
          <w:rFonts w:ascii="宋体" w:hAnsi="宋体" w:eastAsia="宋体" w:cs="宋体"/>
          <w:color w:val="auto"/>
        </w:rPr>
        <w:t>本合同一式</w:t>
      </w:r>
      <w:r>
        <w:rPr>
          <w:rFonts w:ascii="Times New Roman" w:hAnsi="Times New Roman" w:eastAsia="Times New Roman" w:cs="Times New Roman"/>
          <w:color w:val="auto"/>
          <w:u w:val="single"/>
        </w:rPr>
        <w:t xml:space="preserve">   </w:t>
      </w:r>
      <w:r>
        <w:rPr>
          <w:rFonts w:ascii="宋体" w:hAnsi="宋体" w:eastAsia="宋体" w:cs="宋体"/>
          <w:color w:val="auto"/>
        </w:rPr>
        <w:t>份，甲乙双方各执</w:t>
      </w:r>
      <w:r>
        <w:rPr>
          <w:rFonts w:ascii="Times New Roman" w:hAnsi="Times New Roman" w:eastAsia="Times New Roman" w:cs="Times New Roman"/>
          <w:color w:val="auto"/>
          <w:u w:val="single"/>
        </w:rPr>
        <w:t xml:space="preserve">   </w:t>
      </w:r>
      <w:r>
        <w:rPr>
          <w:rFonts w:ascii="宋体" w:hAnsi="宋体" w:eastAsia="宋体" w:cs="宋体"/>
          <w:color w:val="auto"/>
        </w:rPr>
        <w:t>份，自双方当事人签字盖章之日起生效。</w:t>
      </w:r>
    </w:p>
    <w:p>
      <w:pPr>
        <w:spacing w:line="360" w:lineRule="auto"/>
        <w:ind w:firstLine="420"/>
        <w:rPr>
          <w:rFonts w:ascii="Times New Roman" w:hAnsi="Times New Roman" w:eastAsia="Times New Roman" w:cs="Times New Roman"/>
          <w:color w:val="auto"/>
        </w:rPr>
      </w:pPr>
    </w:p>
    <w:p>
      <w:pPr>
        <w:spacing w:line="360" w:lineRule="auto"/>
        <w:ind w:firstLine="420"/>
        <w:rPr>
          <w:rFonts w:ascii="Times New Roman" w:hAnsi="Times New Roman" w:eastAsia="Times New Roman" w:cs="Times New Roman"/>
          <w:color w:val="auto"/>
        </w:rPr>
      </w:pPr>
    </w:p>
    <w:p>
      <w:pPr>
        <w:spacing w:line="360" w:lineRule="auto"/>
        <w:ind w:firstLine="420"/>
        <w:rPr>
          <w:rFonts w:ascii="Times New Roman" w:hAnsi="Times New Roman" w:eastAsia="Times New Roman" w:cs="Times New Roman"/>
          <w:color w:val="auto"/>
        </w:rPr>
      </w:pPr>
      <w:r>
        <w:rPr>
          <w:rFonts w:ascii="宋体" w:hAnsi="宋体" w:eastAsia="宋体" w:cs="宋体"/>
          <w:color w:val="auto"/>
        </w:rPr>
        <w:t>采购人（甲方）：</w:t>
      </w:r>
      <w:r>
        <w:rPr>
          <w:rFonts w:ascii="Times New Roman" w:hAnsi="Times New Roman" w:eastAsia="Times New Roman" w:cs="Times New Roman"/>
          <w:color w:val="auto"/>
        </w:rPr>
        <w:t xml:space="preserve">    </w:t>
      </w:r>
      <w:r>
        <w:rPr>
          <w:rFonts w:ascii="宋体" w:hAnsi="宋体" w:eastAsia="宋体" w:cs="宋体"/>
          <w:color w:val="auto"/>
        </w:rPr>
        <w:t>（公章）</w:t>
      </w:r>
      <w:r>
        <w:rPr>
          <w:rFonts w:ascii="Times New Roman" w:hAnsi="Times New Roman" w:eastAsia="Times New Roman" w:cs="Times New Roman"/>
          <w:color w:val="auto"/>
        </w:rPr>
        <w:t xml:space="preserve">           </w:t>
      </w:r>
      <w:r>
        <w:rPr>
          <w:rFonts w:ascii="宋体" w:hAnsi="宋体" w:eastAsia="宋体" w:cs="宋体"/>
          <w:color w:val="auto"/>
        </w:rPr>
        <w:t>供货人（乙方）：</w:t>
      </w:r>
      <w:r>
        <w:rPr>
          <w:rFonts w:ascii="Times New Roman" w:hAnsi="Times New Roman" w:eastAsia="Times New Roman" w:cs="Times New Roman"/>
          <w:color w:val="auto"/>
        </w:rPr>
        <w:t xml:space="preserve">     </w:t>
      </w:r>
      <w:r>
        <w:rPr>
          <w:rFonts w:ascii="宋体" w:hAnsi="宋体" w:eastAsia="宋体" w:cs="宋体"/>
          <w:color w:val="auto"/>
        </w:rPr>
        <w:t>（公章）</w:t>
      </w:r>
      <w:r>
        <w:rPr>
          <w:rFonts w:ascii="Times New Roman" w:hAnsi="Times New Roman" w:eastAsia="Times New Roman" w:cs="Times New Roman"/>
          <w:color w:val="auto"/>
        </w:rPr>
        <w:t xml:space="preserve">  </w:t>
      </w:r>
    </w:p>
    <w:p>
      <w:pPr>
        <w:spacing w:line="360" w:lineRule="auto"/>
        <w:ind w:firstLine="420"/>
        <w:rPr>
          <w:rFonts w:ascii="Times New Roman" w:hAnsi="Times New Roman" w:eastAsia="Times New Roman" w:cs="Times New Roman"/>
          <w:color w:val="auto"/>
        </w:rPr>
      </w:pPr>
      <w:r>
        <w:rPr>
          <w:rFonts w:ascii="宋体" w:hAnsi="宋体" w:eastAsia="宋体" w:cs="宋体"/>
          <w:color w:val="auto"/>
        </w:rPr>
        <w:t>地址：</w:t>
      </w:r>
      <w:r>
        <w:rPr>
          <w:rFonts w:ascii="Times New Roman" w:hAnsi="Times New Roman" w:eastAsia="Times New Roman" w:cs="Times New Roman"/>
          <w:color w:val="auto"/>
        </w:rPr>
        <w:t xml:space="preserve">                               </w:t>
      </w:r>
      <w:r>
        <w:rPr>
          <w:rFonts w:ascii="宋体" w:hAnsi="宋体" w:eastAsia="宋体" w:cs="宋体"/>
          <w:color w:val="auto"/>
        </w:rPr>
        <w:t>地址：</w:t>
      </w:r>
    </w:p>
    <w:p>
      <w:pPr>
        <w:spacing w:line="360" w:lineRule="auto"/>
        <w:ind w:firstLine="420"/>
        <w:rPr>
          <w:rFonts w:ascii="Times New Roman" w:hAnsi="Times New Roman" w:eastAsia="Times New Roman" w:cs="Times New Roman"/>
          <w:color w:val="auto"/>
        </w:rPr>
      </w:pPr>
      <w:r>
        <w:rPr>
          <w:rFonts w:ascii="宋体" w:hAnsi="宋体" w:eastAsia="宋体" w:cs="宋体"/>
          <w:color w:val="auto"/>
        </w:rPr>
        <w:t>法定代表人：</w:t>
      </w:r>
      <w:r>
        <w:rPr>
          <w:rFonts w:ascii="Times New Roman" w:hAnsi="Times New Roman" w:eastAsia="Times New Roman" w:cs="Times New Roman"/>
          <w:color w:val="auto"/>
        </w:rPr>
        <w:t xml:space="preserve">                         </w:t>
      </w:r>
      <w:r>
        <w:rPr>
          <w:rFonts w:ascii="宋体" w:hAnsi="宋体" w:eastAsia="宋体" w:cs="宋体"/>
          <w:color w:val="auto"/>
        </w:rPr>
        <w:t>法定代表人：</w:t>
      </w:r>
    </w:p>
    <w:p>
      <w:pPr>
        <w:spacing w:line="360" w:lineRule="auto"/>
        <w:ind w:firstLine="420"/>
        <w:rPr>
          <w:rFonts w:ascii="Times New Roman" w:hAnsi="Times New Roman" w:eastAsia="Times New Roman" w:cs="Times New Roman"/>
          <w:color w:val="auto"/>
          <w:u w:val="single"/>
        </w:rPr>
      </w:pPr>
      <w:r>
        <w:rPr>
          <w:rFonts w:ascii="宋体" w:hAnsi="宋体" w:eastAsia="宋体" w:cs="宋体"/>
          <w:color w:val="auto"/>
        </w:rPr>
        <w:t>委托代理人：</w:t>
      </w:r>
      <w:r>
        <w:rPr>
          <w:rFonts w:ascii="Times New Roman" w:hAnsi="Times New Roman" w:eastAsia="Times New Roman" w:cs="Times New Roman"/>
          <w:color w:val="auto"/>
        </w:rPr>
        <w:t xml:space="preserve">                         </w:t>
      </w:r>
      <w:r>
        <w:rPr>
          <w:rFonts w:ascii="宋体" w:hAnsi="宋体" w:eastAsia="宋体" w:cs="宋体"/>
          <w:color w:val="auto"/>
        </w:rPr>
        <w:t>委托代理人：</w:t>
      </w:r>
    </w:p>
    <w:p>
      <w:pPr>
        <w:spacing w:line="360" w:lineRule="auto"/>
        <w:ind w:firstLine="420"/>
        <w:rPr>
          <w:rFonts w:ascii="Times New Roman" w:hAnsi="Times New Roman" w:eastAsia="Times New Roman" w:cs="Times New Roman"/>
          <w:color w:val="auto"/>
        </w:rPr>
      </w:pPr>
      <w:r>
        <w:rPr>
          <w:rFonts w:ascii="宋体" w:hAnsi="宋体" w:eastAsia="宋体" w:cs="宋体"/>
          <w:color w:val="auto"/>
        </w:rPr>
        <w:t>电话：</w:t>
      </w:r>
      <w:r>
        <w:rPr>
          <w:rFonts w:ascii="Times New Roman" w:hAnsi="Times New Roman" w:eastAsia="Times New Roman" w:cs="Times New Roman"/>
          <w:color w:val="auto"/>
        </w:rPr>
        <w:t xml:space="preserve">                               </w:t>
      </w:r>
      <w:r>
        <w:rPr>
          <w:rFonts w:ascii="宋体" w:hAnsi="宋体" w:eastAsia="宋体" w:cs="宋体"/>
          <w:color w:val="auto"/>
        </w:rPr>
        <w:t>电话：</w:t>
      </w:r>
    </w:p>
    <w:p>
      <w:pPr>
        <w:spacing w:line="360" w:lineRule="auto"/>
        <w:ind w:firstLine="420"/>
        <w:rPr>
          <w:rFonts w:ascii="Times New Roman" w:hAnsi="Times New Roman" w:eastAsia="Times New Roman" w:cs="Times New Roman"/>
          <w:color w:val="auto"/>
        </w:rPr>
      </w:pPr>
      <w:r>
        <w:rPr>
          <w:rFonts w:ascii="宋体" w:hAnsi="宋体" w:eastAsia="宋体" w:cs="宋体"/>
          <w:color w:val="auto"/>
        </w:rPr>
        <w:t>开户银行：</w:t>
      </w:r>
      <w:r>
        <w:rPr>
          <w:rFonts w:ascii="Times New Roman" w:hAnsi="Times New Roman" w:eastAsia="Times New Roman" w:cs="Times New Roman"/>
          <w:color w:val="auto"/>
        </w:rPr>
        <w:t xml:space="preserve">                           </w:t>
      </w:r>
      <w:r>
        <w:rPr>
          <w:rFonts w:ascii="宋体" w:hAnsi="宋体" w:eastAsia="宋体" w:cs="宋体"/>
          <w:color w:val="auto"/>
        </w:rPr>
        <w:t>开户银行：</w:t>
      </w:r>
    </w:p>
    <w:p>
      <w:pPr>
        <w:spacing w:line="360" w:lineRule="auto"/>
        <w:ind w:firstLine="420"/>
        <w:rPr>
          <w:rFonts w:ascii="Times New Roman" w:hAnsi="Times New Roman" w:eastAsia="Times New Roman" w:cs="Times New Roman"/>
          <w:color w:val="auto"/>
        </w:rPr>
      </w:pPr>
      <w:r>
        <w:rPr>
          <w:rFonts w:ascii="宋体" w:hAnsi="宋体" w:eastAsia="宋体" w:cs="宋体"/>
          <w:color w:val="auto"/>
        </w:rPr>
        <w:t>账号：</w:t>
      </w:r>
      <w:r>
        <w:rPr>
          <w:rFonts w:ascii="Times New Roman" w:hAnsi="Times New Roman" w:eastAsia="Times New Roman" w:cs="Times New Roman"/>
          <w:color w:val="auto"/>
        </w:rPr>
        <w:t xml:space="preserve">                               </w:t>
      </w:r>
      <w:r>
        <w:rPr>
          <w:rFonts w:ascii="宋体" w:hAnsi="宋体" w:eastAsia="宋体" w:cs="宋体"/>
          <w:color w:val="auto"/>
        </w:rPr>
        <w:t>账号：</w:t>
      </w:r>
    </w:p>
    <w:p>
      <w:pPr>
        <w:spacing w:line="640" w:lineRule="auto"/>
        <w:ind w:firstLine="1575"/>
        <w:rPr>
          <w:rFonts w:ascii="Times New Roman" w:hAnsi="Times New Roman" w:eastAsia="Times New Roman" w:cs="Times New Roman"/>
          <w:color w:val="auto"/>
          <w:u w:val="single"/>
        </w:rPr>
      </w:pPr>
    </w:p>
    <w:p>
      <w:pPr>
        <w:spacing w:line="500" w:lineRule="auto"/>
        <w:rPr>
          <w:rFonts w:ascii="Times New Roman" w:hAnsi="Times New Roman" w:eastAsia="Times New Roman" w:cs="Times New Roman"/>
          <w:color w:val="auto"/>
        </w:rPr>
      </w:pPr>
      <w:r>
        <w:rPr>
          <w:rFonts w:ascii="宋体" w:hAnsi="宋体" w:eastAsia="宋体" w:cs="宋体"/>
          <w:color w:val="auto"/>
          <w:u w:val="single"/>
        </w:rPr>
        <w:t>   </w:t>
      </w:r>
      <w:r>
        <w:rPr>
          <w:rFonts w:ascii="Times New Roman" w:hAnsi="Times New Roman" w:eastAsia="Times New Roman" w:cs="Times New Roman"/>
          <w:color w:val="auto"/>
          <w:u w:val="single"/>
        </w:rPr>
        <w:t xml:space="preserve">   </w:t>
      </w:r>
      <w:r>
        <w:rPr>
          <w:rFonts w:ascii="宋体" w:hAnsi="宋体" w:eastAsia="宋体" w:cs="宋体"/>
          <w:color w:val="auto"/>
        </w:rPr>
        <w:t>年</w:t>
      </w:r>
      <w:r>
        <w:rPr>
          <w:rFonts w:ascii="宋体" w:hAnsi="宋体" w:eastAsia="宋体" w:cs="宋体"/>
          <w:color w:val="auto"/>
          <w:u w:val="single"/>
        </w:rPr>
        <w:t>   </w:t>
      </w:r>
      <w:r>
        <w:rPr>
          <w:rFonts w:ascii="Times New Roman" w:hAnsi="Times New Roman" w:eastAsia="Times New Roman" w:cs="Times New Roman"/>
          <w:color w:val="auto"/>
          <w:u w:val="single"/>
        </w:rPr>
        <w:t xml:space="preserve"> </w:t>
      </w:r>
      <w:r>
        <w:rPr>
          <w:rFonts w:ascii="宋体" w:hAnsi="宋体" w:eastAsia="宋体" w:cs="宋体"/>
          <w:color w:val="auto"/>
        </w:rPr>
        <w:t>月</w:t>
      </w:r>
      <w:r>
        <w:rPr>
          <w:rFonts w:ascii="宋体" w:hAnsi="宋体" w:eastAsia="宋体" w:cs="宋体"/>
          <w:color w:val="auto"/>
          <w:u w:val="single"/>
        </w:rPr>
        <w:t>   </w:t>
      </w:r>
      <w:r>
        <w:rPr>
          <w:rFonts w:ascii="Times New Roman" w:hAnsi="Times New Roman" w:eastAsia="Times New Roman" w:cs="Times New Roman"/>
          <w:color w:val="auto"/>
          <w:u w:val="single"/>
        </w:rPr>
        <w:t xml:space="preserve"> </w:t>
      </w:r>
      <w:r>
        <w:rPr>
          <w:rFonts w:ascii="宋体" w:hAnsi="宋体" w:eastAsia="宋体" w:cs="宋体"/>
          <w:color w:val="auto"/>
        </w:rPr>
        <w:t>日</w:t>
      </w:r>
      <w:r>
        <w:rPr>
          <w:rFonts w:ascii="Times New Roman" w:hAnsi="Times New Roman" w:eastAsia="Times New Roman" w:cs="Times New Roman"/>
          <w:color w:val="auto"/>
        </w:rPr>
        <w:t xml:space="preserve">                        </w:t>
      </w:r>
      <w:r>
        <w:rPr>
          <w:rFonts w:ascii="Times New Roman" w:hAnsi="Times New Roman" w:eastAsia="Times New Roman" w:cs="Times New Roman"/>
          <w:color w:val="auto"/>
          <w:u w:val="single"/>
        </w:rPr>
        <w:t xml:space="preserve">        </w:t>
      </w:r>
      <w:r>
        <w:rPr>
          <w:rFonts w:ascii="宋体" w:hAnsi="宋体" w:eastAsia="宋体" w:cs="宋体"/>
          <w:color w:val="auto"/>
        </w:rPr>
        <w:t>年</w:t>
      </w:r>
      <w:r>
        <w:rPr>
          <w:rFonts w:ascii="宋体" w:hAnsi="宋体" w:eastAsia="宋体" w:cs="宋体"/>
          <w:color w:val="auto"/>
          <w:u w:val="single"/>
        </w:rPr>
        <w:t>   </w:t>
      </w:r>
      <w:r>
        <w:rPr>
          <w:rFonts w:ascii="Times New Roman" w:hAnsi="Times New Roman" w:eastAsia="Times New Roman" w:cs="Times New Roman"/>
          <w:color w:val="auto"/>
          <w:u w:val="single"/>
        </w:rPr>
        <w:t xml:space="preserve"> </w:t>
      </w:r>
      <w:r>
        <w:rPr>
          <w:rFonts w:ascii="宋体" w:hAnsi="宋体" w:eastAsia="宋体" w:cs="宋体"/>
          <w:color w:val="auto"/>
        </w:rPr>
        <w:t>月</w:t>
      </w:r>
      <w:r>
        <w:rPr>
          <w:rFonts w:ascii="宋体" w:hAnsi="宋体" w:eastAsia="宋体" w:cs="宋体"/>
          <w:color w:val="auto"/>
          <w:u w:val="single"/>
        </w:rPr>
        <w:t> </w:t>
      </w:r>
      <w:r>
        <w:rPr>
          <w:rFonts w:ascii="Times New Roman" w:hAnsi="Times New Roman" w:eastAsia="Times New Roman" w:cs="Times New Roman"/>
          <w:color w:val="auto"/>
          <w:u w:val="single"/>
        </w:rPr>
        <w:t xml:space="preserve"> </w:t>
      </w:r>
      <w:r>
        <w:rPr>
          <w:rFonts w:ascii="宋体" w:hAnsi="宋体" w:eastAsia="宋体" w:cs="宋体"/>
          <w:color w:val="auto"/>
        </w:rPr>
        <w:t>日</w:t>
      </w:r>
    </w:p>
    <w:p>
      <w:pPr>
        <w:ind w:firstLine="321"/>
        <w:jc w:val="center"/>
        <w:rPr>
          <w:rFonts w:ascii="Times New Roman" w:hAnsi="Times New Roman" w:eastAsia="Times New Roman" w:cs="Times New Roman"/>
          <w:b/>
          <w:color w:val="auto"/>
          <w:sz w:val="32"/>
        </w:rPr>
      </w:pPr>
    </w:p>
    <w:p>
      <w:pPr>
        <w:ind w:firstLine="420"/>
        <w:jc w:val="left"/>
        <w:rPr>
          <w:rFonts w:ascii="Times New Roman" w:hAnsi="Times New Roman" w:eastAsia="Times New Roman" w:cs="Times New Roman"/>
          <w:color w:val="auto"/>
          <w:sz w:val="22"/>
        </w:rPr>
      </w:pPr>
    </w:p>
    <w:sectPr>
      <w:footerReference r:id="rId3" w:type="default"/>
      <w:pgSz w:w="11906" w:h="16838"/>
      <w:pgMar w:top="1440" w:right="1800" w:bottom="1440" w:left="1800" w:header="720" w:footer="72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FC652E0-34AE-4581-8484-DCC8FF36BF5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Arial Black">
    <w:panose1 w:val="020B0A04020102020204"/>
    <w:charset w:val="00"/>
    <w:family w:val="swiss"/>
    <w:pitch w:val="default"/>
    <w:sig w:usb0="A00002AF" w:usb1="400078FB" w:usb2="00000000" w:usb3="00000000" w:csb0="6000009F" w:csb1="DFD70000"/>
    <w:embedRegular r:id="rId2" w:fontKey="{94DEFAAE-0594-49A8-9BB0-DC88E2BC22CC}"/>
  </w:font>
  <w:font w:name="仿宋_GB2312">
    <w:altName w:val="仿宋"/>
    <w:panose1 w:val="02010609030101010101"/>
    <w:charset w:val="86"/>
    <w:family w:val="modern"/>
    <w:pitch w:val="default"/>
    <w:sig w:usb0="00000000" w:usb1="00000000" w:usb2="00000010" w:usb3="00000000" w:csb0="00040000" w:csb1="00000000"/>
    <w:embedRegular r:id="rId3" w:fontKey="{A9B07E0D-30F8-4A71-8249-F09DCA2C1B2C}"/>
  </w:font>
  <w:font w:name="微软简标宋">
    <w:altName w:val="黑体"/>
    <w:panose1 w:val="00000000000000000000"/>
    <w:charset w:val="00"/>
    <w:family w:val="auto"/>
    <w:pitch w:val="default"/>
    <w:sig w:usb0="00000000" w:usb1="00000000" w:usb2="00000000" w:usb3="00000000" w:csb0="00000000" w:csb1="00000000"/>
    <w:embedRegular r:id="rId4" w:fontKey="{06704A82-B493-45EE-8043-1C40030DE3D2}"/>
  </w:font>
  <w:font w:name="方正小标宋简体">
    <w:altName w:val="方正舒体"/>
    <w:panose1 w:val="03000509000000000000"/>
    <w:charset w:val="86"/>
    <w:family w:val="script"/>
    <w:pitch w:val="default"/>
    <w:sig w:usb0="00000000" w:usb1="00000000" w:usb2="00000010" w:usb3="00000000" w:csb0="00040000" w:csb1="00000000"/>
    <w:embedRegular r:id="rId5" w:fontKey="{6C3A5E2E-DB49-4A9F-A5B0-3CE8D6A50D8D}"/>
  </w:font>
  <w:font w:name="仿宋">
    <w:panose1 w:val="02010609060101010101"/>
    <w:charset w:val="86"/>
    <w:family w:val="auto"/>
    <w:pitch w:val="default"/>
    <w:sig w:usb0="800002BF" w:usb1="38CF7CFA" w:usb2="00000016" w:usb3="00000000" w:csb0="00040001" w:csb1="00000000"/>
  </w:font>
  <w:font w:name="方正舒体">
    <w:panose1 w:val="02010601030101010101"/>
    <w:charset w:val="86"/>
    <w:family w:val="auto"/>
    <w:pitch w:val="default"/>
    <w:sig w:usb0="00000003"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86729809"/>
      <w:docPartObj>
        <w:docPartGallery w:val="autotext"/>
      </w:docPartObj>
    </w:sdtPr>
    <w:sdtContent>
      <w:p>
        <w:pPr>
          <w:pStyle w:val="4"/>
          <w:jc w:val="center"/>
        </w:pPr>
        <w:r>
          <w:fldChar w:fldCharType="begin"/>
        </w:r>
        <w:r>
          <w:instrText xml:space="preserve">PAGE   \* MERGEFORMAT</w:instrText>
        </w:r>
        <w:r>
          <w:fldChar w:fldCharType="separate"/>
        </w:r>
        <w:r>
          <w:rPr>
            <w:lang w:val="zh-CN"/>
          </w:rPr>
          <w:t>2</w:t>
        </w:r>
        <w:r>
          <w:fldChar w:fldCharType="end"/>
        </w:r>
      </w:p>
    </w:sdtContent>
  </w:sdt>
  <w:p>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6D0183"/>
    <w:multiLevelType w:val="singleLevel"/>
    <w:tmpl w:val="806D0183"/>
    <w:lvl w:ilvl="0" w:tentative="0">
      <w:start w:val="1"/>
      <w:numFmt w:val="decimal"/>
      <w:suff w:val="nothing"/>
      <w:lvlText w:val="%1）"/>
      <w:lvlJc w:val="left"/>
    </w:lvl>
  </w:abstractNum>
  <w:abstractNum w:abstractNumId="1">
    <w:nsid w:val="9239341B"/>
    <w:multiLevelType w:val="singleLevel"/>
    <w:tmpl w:val="9239341B"/>
    <w:lvl w:ilvl="0" w:tentative="0">
      <w:start w:val="1"/>
      <w:numFmt w:val="bullet"/>
      <w:lvlText w:val="•"/>
      <w:lvlJc w:val="left"/>
    </w:lvl>
  </w:abstractNum>
  <w:abstractNum w:abstractNumId="2">
    <w:nsid w:val="9288B902"/>
    <w:multiLevelType w:val="singleLevel"/>
    <w:tmpl w:val="9288B902"/>
    <w:lvl w:ilvl="0" w:tentative="0">
      <w:start w:val="1"/>
      <w:numFmt w:val="bullet"/>
      <w:lvlText w:val="•"/>
      <w:lvlJc w:val="left"/>
    </w:lvl>
  </w:abstractNum>
  <w:abstractNum w:abstractNumId="3">
    <w:nsid w:val="9C8AC8EF"/>
    <w:multiLevelType w:val="singleLevel"/>
    <w:tmpl w:val="9C8AC8EF"/>
    <w:lvl w:ilvl="0" w:tentative="0">
      <w:start w:val="1"/>
      <w:numFmt w:val="bullet"/>
      <w:lvlText w:val="•"/>
      <w:lvlJc w:val="left"/>
    </w:lvl>
  </w:abstractNum>
  <w:abstractNum w:abstractNumId="4">
    <w:nsid w:val="B5E306ED"/>
    <w:multiLevelType w:val="singleLevel"/>
    <w:tmpl w:val="B5E306ED"/>
    <w:lvl w:ilvl="0" w:tentative="0">
      <w:start w:val="1"/>
      <w:numFmt w:val="bullet"/>
      <w:lvlText w:val="•"/>
      <w:lvlJc w:val="left"/>
    </w:lvl>
  </w:abstractNum>
  <w:abstractNum w:abstractNumId="5">
    <w:nsid w:val="BF205925"/>
    <w:multiLevelType w:val="singleLevel"/>
    <w:tmpl w:val="BF205925"/>
    <w:lvl w:ilvl="0" w:tentative="0">
      <w:start w:val="1"/>
      <w:numFmt w:val="bullet"/>
      <w:lvlText w:val="•"/>
      <w:lvlJc w:val="left"/>
    </w:lvl>
  </w:abstractNum>
  <w:abstractNum w:abstractNumId="6">
    <w:nsid w:val="C8879AEF"/>
    <w:multiLevelType w:val="singleLevel"/>
    <w:tmpl w:val="C8879AEF"/>
    <w:lvl w:ilvl="0" w:tentative="0">
      <w:start w:val="1"/>
      <w:numFmt w:val="bullet"/>
      <w:lvlText w:val="•"/>
      <w:lvlJc w:val="left"/>
    </w:lvl>
  </w:abstractNum>
  <w:abstractNum w:abstractNumId="7">
    <w:nsid w:val="CF092B84"/>
    <w:multiLevelType w:val="singleLevel"/>
    <w:tmpl w:val="CF092B84"/>
    <w:lvl w:ilvl="0" w:tentative="0">
      <w:start w:val="1"/>
      <w:numFmt w:val="bullet"/>
      <w:lvlText w:val="•"/>
      <w:lvlJc w:val="left"/>
    </w:lvl>
  </w:abstractNum>
  <w:abstractNum w:abstractNumId="8">
    <w:nsid w:val="D7F9FE59"/>
    <w:multiLevelType w:val="singleLevel"/>
    <w:tmpl w:val="D7F9FE59"/>
    <w:lvl w:ilvl="0" w:tentative="0">
      <w:start w:val="1"/>
      <w:numFmt w:val="bullet"/>
      <w:lvlText w:val="•"/>
      <w:lvlJc w:val="left"/>
    </w:lvl>
  </w:abstractNum>
  <w:abstractNum w:abstractNumId="9">
    <w:nsid w:val="DCBA6B53"/>
    <w:multiLevelType w:val="singleLevel"/>
    <w:tmpl w:val="DCBA6B53"/>
    <w:lvl w:ilvl="0" w:tentative="0">
      <w:start w:val="1"/>
      <w:numFmt w:val="bullet"/>
      <w:lvlText w:val="•"/>
      <w:lvlJc w:val="left"/>
    </w:lvl>
  </w:abstractNum>
  <w:abstractNum w:abstractNumId="10">
    <w:nsid w:val="F4B5D9F5"/>
    <w:multiLevelType w:val="singleLevel"/>
    <w:tmpl w:val="F4B5D9F5"/>
    <w:lvl w:ilvl="0" w:tentative="0">
      <w:start w:val="1"/>
      <w:numFmt w:val="bullet"/>
      <w:lvlText w:val="•"/>
      <w:lvlJc w:val="left"/>
    </w:lvl>
  </w:abstractNum>
  <w:abstractNum w:abstractNumId="11">
    <w:nsid w:val="0053208E"/>
    <w:multiLevelType w:val="singleLevel"/>
    <w:tmpl w:val="0053208E"/>
    <w:lvl w:ilvl="0" w:tentative="0">
      <w:start w:val="1"/>
      <w:numFmt w:val="bullet"/>
      <w:lvlText w:val="•"/>
      <w:lvlJc w:val="left"/>
    </w:lvl>
  </w:abstractNum>
  <w:abstractNum w:abstractNumId="12">
    <w:nsid w:val="0248C179"/>
    <w:multiLevelType w:val="singleLevel"/>
    <w:tmpl w:val="0248C179"/>
    <w:lvl w:ilvl="0" w:tentative="0">
      <w:start w:val="1"/>
      <w:numFmt w:val="bullet"/>
      <w:lvlText w:val="•"/>
      <w:lvlJc w:val="left"/>
    </w:lvl>
  </w:abstractNum>
  <w:abstractNum w:abstractNumId="13">
    <w:nsid w:val="03D62ECE"/>
    <w:multiLevelType w:val="singleLevel"/>
    <w:tmpl w:val="03D62ECE"/>
    <w:lvl w:ilvl="0" w:tentative="0">
      <w:start w:val="1"/>
      <w:numFmt w:val="bullet"/>
      <w:lvlText w:val="•"/>
      <w:lvlJc w:val="left"/>
    </w:lvl>
  </w:abstractNum>
  <w:abstractNum w:abstractNumId="14">
    <w:nsid w:val="0E640482"/>
    <w:multiLevelType w:val="singleLevel"/>
    <w:tmpl w:val="0E640482"/>
    <w:lvl w:ilvl="0" w:tentative="0">
      <w:start w:val="1"/>
      <w:numFmt w:val="bullet"/>
      <w:lvlText w:val="•"/>
      <w:lvlJc w:val="left"/>
    </w:lvl>
  </w:abstractNum>
  <w:abstractNum w:abstractNumId="15">
    <w:nsid w:val="2470EC97"/>
    <w:multiLevelType w:val="singleLevel"/>
    <w:tmpl w:val="2470EC97"/>
    <w:lvl w:ilvl="0" w:tentative="0">
      <w:start w:val="1"/>
      <w:numFmt w:val="bullet"/>
      <w:lvlText w:val="•"/>
      <w:lvlJc w:val="left"/>
    </w:lvl>
  </w:abstractNum>
  <w:abstractNum w:abstractNumId="16">
    <w:nsid w:val="25B654F3"/>
    <w:multiLevelType w:val="singleLevel"/>
    <w:tmpl w:val="25B654F3"/>
    <w:lvl w:ilvl="0" w:tentative="0">
      <w:start w:val="1"/>
      <w:numFmt w:val="bullet"/>
      <w:lvlText w:val="•"/>
      <w:lvlJc w:val="left"/>
    </w:lvl>
  </w:abstractNum>
  <w:abstractNum w:abstractNumId="17">
    <w:nsid w:val="2A8F537B"/>
    <w:multiLevelType w:val="singleLevel"/>
    <w:tmpl w:val="2A8F537B"/>
    <w:lvl w:ilvl="0" w:tentative="0">
      <w:start w:val="1"/>
      <w:numFmt w:val="bullet"/>
      <w:lvlText w:val="•"/>
      <w:lvlJc w:val="left"/>
    </w:lvl>
  </w:abstractNum>
  <w:abstractNum w:abstractNumId="18">
    <w:nsid w:val="39A0D9AC"/>
    <w:multiLevelType w:val="singleLevel"/>
    <w:tmpl w:val="39A0D9AC"/>
    <w:lvl w:ilvl="0" w:tentative="0">
      <w:start w:val="1"/>
      <w:numFmt w:val="bullet"/>
      <w:lvlText w:val="•"/>
      <w:lvlJc w:val="left"/>
    </w:lvl>
  </w:abstractNum>
  <w:abstractNum w:abstractNumId="19">
    <w:nsid w:val="46A08BB8"/>
    <w:multiLevelType w:val="singleLevel"/>
    <w:tmpl w:val="46A08BB8"/>
    <w:lvl w:ilvl="0" w:tentative="0">
      <w:start w:val="1"/>
      <w:numFmt w:val="bullet"/>
      <w:lvlText w:val="•"/>
      <w:lvlJc w:val="left"/>
    </w:lvl>
  </w:abstractNum>
  <w:abstractNum w:abstractNumId="20">
    <w:nsid w:val="4C1BAE26"/>
    <w:multiLevelType w:val="singleLevel"/>
    <w:tmpl w:val="4C1BAE26"/>
    <w:lvl w:ilvl="0" w:tentative="0">
      <w:start w:val="1"/>
      <w:numFmt w:val="bullet"/>
      <w:lvlText w:val="•"/>
      <w:lvlJc w:val="left"/>
    </w:lvl>
  </w:abstractNum>
  <w:abstractNum w:abstractNumId="21">
    <w:nsid w:val="4D4DC07F"/>
    <w:multiLevelType w:val="singleLevel"/>
    <w:tmpl w:val="4D4DC07F"/>
    <w:lvl w:ilvl="0" w:tentative="0">
      <w:start w:val="1"/>
      <w:numFmt w:val="bullet"/>
      <w:lvlText w:val="•"/>
      <w:lvlJc w:val="left"/>
    </w:lvl>
  </w:abstractNum>
  <w:abstractNum w:abstractNumId="22">
    <w:nsid w:val="59ADCABA"/>
    <w:multiLevelType w:val="singleLevel"/>
    <w:tmpl w:val="59ADCABA"/>
    <w:lvl w:ilvl="0" w:tentative="0">
      <w:start w:val="1"/>
      <w:numFmt w:val="bullet"/>
      <w:lvlText w:val="•"/>
      <w:lvlJc w:val="left"/>
    </w:lvl>
  </w:abstractNum>
  <w:abstractNum w:abstractNumId="23">
    <w:nsid w:val="5A241D34"/>
    <w:multiLevelType w:val="singleLevel"/>
    <w:tmpl w:val="5A241D34"/>
    <w:lvl w:ilvl="0" w:tentative="0">
      <w:start w:val="1"/>
      <w:numFmt w:val="bullet"/>
      <w:lvlText w:val="•"/>
      <w:lvlJc w:val="left"/>
    </w:lvl>
  </w:abstractNum>
  <w:abstractNum w:abstractNumId="24">
    <w:nsid w:val="60382F6E"/>
    <w:multiLevelType w:val="singleLevel"/>
    <w:tmpl w:val="60382F6E"/>
    <w:lvl w:ilvl="0" w:tentative="0">
      <w:start w:val="1"/>
      <w:numFmt w:val="bullet"/>
      <w:lvlText w:val="•"/>
      <w:lvlJc w:val="left"/>
    </w:lvl>
  </w:abstractNum>
  <w:abstractNum w:abstractNumId="25">
    <w:nsid w:val="629F7852"/>
    <w:multiLevelType w:val="multilevel"/>
    <w:tmpl w:val="629F7852"/>
    <w:lvl w:ilvl="0" w:tentative="0">
      <w:start w:val="1"/>
      <w:numFmt w:val="decimal"/>
      <w:lvlText w:val="%1."/>
      <w:lvlJc w:val="left"/>
    </w:lvl>
    <w:lvl w:ilvl="1" w:tentative="0">
      <w:start w:val="1"/>
      <w:numFmt w:val="decimal"/>
      <w:lvlText w:val="%1.%2."/>
      <w:lvlJc w:val="left"/>
      <w:pPr>
        <w:tabs>
          <w:tab w:val="left" w:pos="312"/>
        </w:tabs>
        <w:ind w:left="0" w:firstLine="0"/>
      </w:pPr>
      <w:rPr>
        <w:rFonts w:hint="default"/>
      </w:rPr>
    </w:lvl>
    <w:lvl w:ilvl="2" w:tentative="0">
      <w:start w:val="1"/>
      <w:numFmt w:val="decimal"/>
      <w:lvlText w:val="%1.%2.%3."/>
      <w:lvlJc w:val="left"/>
      <w:pPr>
        <w:tabs>
          <w:tab w:val="left" w:pos="312"/>
        </w:tabs>
        <w:ind w:left="0" w:firstLine="0"/>
      </w:pPr>
      <w:rPr>
        <w:rFonts w:hint="default"/>
      </w:rPr>
    </w:lvl>
    <w:lvl w:ilvl="3" w:tentative="0">
      <w:start w:val="1"/>
      <w:numFmt w:val="decimal"/>
      <w:lvlText w:val="%1.%2.%3.%4."/>
      <w:lvlJc w:val="left"/>
      <w:pPr>
        <w:tabs>
          <w:tab w:val="left" w:pos="312"/>
        </w:tabs>
        <w:ind w:left="0" w:firstLine="0"/>
      </w:pPr>
      <w:rPr>
        <w:rFonts w:hint="default"/>
      </w:rPr>
    </w:lvl>
    <w:lvl w:ilvl="4" w:tentative="0">
      <w:start w:val="1"/>
      <w:numFmt w:val="decimal"/>
      <w:lvlText w:val="%1.%2.%3.%4.%5."/>
      <w:lvlJc w:val="left"/>
      <w:pPr>
        <w:tabs>
          <w:tab w:val="left" w:pos="312"/>
        </w:tabs>
        <w:ind w:left="0" w:firstLine="0"/>
      </w:pPr>
      <w:rPr>
        <w:rFonts w:hint="default"/>
      </w:rPr>
    </w:lvl>
    <w:lvl w:ilvl="5" w:tentative="0">
      <w:start w:val="1"/>
      <w:numFmt w:val="decimal"/>
      <w:lvlText w:val="%1.%2.%3.%4.%5.%6."/>
      <w:lvlJc w:val="left"/>
      <w:pPr>
        <w:tabs>
          <w:tab w:val="left" w:pos="312"/>
        </w:tabs>
        <w:ind w:left="0" w:firstLine="0"/>
      </w:pPr>
      <w:rPr>
        <w:rFonts w:hint="default"/>
      </w:rPr>
    </w:lvl>
    <w:lvl w:ilvl="6" w:tentative="0">
      <w:start w:val="1"/>
      <w:numFmt w:val="decimal"/>
      <w:lvlText w:val="%1.%2.%3.%4.%5.%6.%7."/>
      <w:lvlJc w:val="left"/>
      <w:pPr>
        <w:tabs>
          <w:tab w:val="left" w:pos="312"/>
        </w:tabs>
        <w:ind w:left="0" w:firstLine="0"/>
      </w:pPr>
      <w:rPr>
        <w:rFonts w:hint="default"/>
      </w:rPr>
    </w:lvl>
    <w:lvl w:ilvl="7" w:tentative="0">
      <w:start w:val="1"/>
      <w:numFmt w:val="decimal"/>
      <w:lvlText w:val="%1.%2.%3.%4.%5.%6.%7.%8."/>
      <w:lvlJc w:val="left"/>
      <w:pPr>
        <w:tabs>
          <w:tab w:val="left" w:pos="312"/>
        </w:tabs>
        <w:ind w:left="0" w:firstLine="0"/>
      </w:pPr>
      <w:rPr>
        <w:rFonts w:hint="default"/>
      </w:rPr>
    </w:lvl>
    <w:lvl w:ilvl="8" w:tentative="0">
      <w:start w:val="1"/>
      <w:numFmt w:val="decimal"/>
      <w:lvlText w:val="%1.%2.%3.%4.%5.%6.%7.%8.%9."/>
      <w:lvlJc w:val="left"/>
      <w:pPr>
        <w:tabs>
          <w:tab w:val="left" w:pos="312"/>
        </w:tabs>
        <w:ind w:left="0" w:firstLine="0"/>
      </w:pPr>
      <w:rPr>
        <w:rFonts w:hint="default"/>
      </w:rPr>
    </w:lvl>
  </w:abstractNum>
  <w:abstractNum w:abstractNumId="26">
    <w:nsid w:val="72183CF9"/>
    <w:multiLevelType w:val="singleLevel"/>
    <w:tmpl w:val="72183CF9"/>
    <w:lvl w:ilvl="0" w:tentative="0">
      <w:start w:val="1"/>
      <w:numFmt w:val="bullet"/>
      <w:lvlText w:val="•"/>
      <w:lvlJc w:val="left"/>
    </w:lvl>
  </w:abstractNum>
  <w:abstractNum w:abstractNumId="27">
    <w:nsid w:val="77ECEA79"/>
    <w:multiLevelType w:val="singleLevel"/>
    <w:tmpl w:val="77ECEA79"/>
    <w:lvl w:ilvl="0" w:tentative="0">
      <w:start w:val="1"/>
      <w:numFmt w:val="decimal"/>
      <w:lvlText w:val="%1."/>
      <w:lvlJc w:val="left"/>
    </w:lvl>
  </w:abstractNum>
  <w:abstractNum w:abstractNumId="28">
    <w:nsid w:val="7C246926"/>
    <w:multiLevelType w:val="singleLevel"/>
    <w:tmpl w:val="7C246926"/>
    <w:lvl w:ilvl="0" w:tentative="0">
      <w:start w:val="1"/>
      <w:numFmt w:val="decimal"/>
      <w:lvlText w:val="%1."/>
      <w:lvlJc w:val="left"/>
    </w:lvl>
  </w:abstractNum>
  <w:num w:numId="1">
    <w:abstractNumId w:val="11"/>
  </w:num>
  <w:num w:numId="2">
    <w:abstractNumId w:val="0"/>
  </w:num>
  <w:num w:numId="3">
    <w:abstractNumId w:val="7"/>
  </w:num>
  <w:num w:numId="4">
    <w:abstractNumId w:val="22"/>
  </w:num>
  <w:num w:numId="5">
    <w:abstractNumId w:val="5"/>
  </w:num>
  <w:num w:numId="6">
    <w:abstractNumId w:val="4"/>
  </w:num>
  <w:num w:numId="7">
    <w:abstractNumId w:val="13"/>
  </w:num>
  <w:num w:numId="8">
    <w:abstractNumId w:val="16"/>
  </w:num>
  <w:num w:numId="9">
    <w:abstractNumId w:val="26"/>
  </w:num>
  <w:num w:numId="10">
    <w:abstractNumId w:val="12"/>
  </w:num>
  <w:num w:numId="11">
    <w:abstractNumId w:val="1"/>
  </w:num>
  <w:num w:numId="12">
    <w:abstractNumId w:val="17"/>
  </w:num>
  <w:num w:numId="13">
    <w:abstractNumId w:val="23"/>
  </w:num>
  <w:num w:numId="14">
    <w:abstractNumId w:val="6"/>
  </w:num>
  <w:num w:numId="15">
    <w:abstractNumId w:val="21"/>
  </w:num>
  <w:num w:numId="16">
    <w:abstractNumId w:val="10"/>
  </w:num>
  <w:num w:numId="17">
    <w:abstractNumId w:val="15"/>
  </w:num>
  <w:num w:numId="18">
    <w:abstractNumId w:val="9"/>
  </w:num>
  <w:num w:numId="19">
    <w:abstractNumId w:val="8"/>
  </w:num>
  <w:num w:numId="20">
    <w:abstractNumId w:val="3"/>
  </w:num>
  <w:num w:numId="21">
    <w:abstractNumId w:val="20"/>
  </w:num>
  <w:num w:numId="22">
    <w:abstractNumId w:val="24"/>
  </w:num>
  <w:num w:numId="23">
    <w:abstractNumId w:val="14"/>
  </w:num>
  <w:num w:numId="24">
    <w:abstractNumId w:val="19"/>
  </w:num>
  <w:num w:numId="25">
    <w:abstractNumId w:val="28"/>
  </w:num>
  <w:num w:numId="26">
    <w:abstractNumId w:val="27"/>
  </w:num>
  <w:num w:numId="27">
    <w:abstractNumId w:val="25"/>
  </w:num>
  <w:num w:numId="28">
    <w:abstractNumId w:val="2"/>
  </w:num>
  <w:num w:numId="2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noPunctuationKerning w:val="1"/>
  <w:characterSpacingControl w:val="doNotCompress"/>
  <w:compat>
    <w:doNotExpandShiftReturn/>
    <w:doNotWrapTextWithPunct/>
    <w:doNotUseEastAsianBreakRules/>
    <w:useFELayout/>
    <w:doNotUseIndentAsNumberingTabStop/>
    <w:splitPgBreakAndParaMark/>
    <w:compatSetting w:name="compatibilityMode" w:uri="http://schemas.microsoft.com/office/word" w:val="12"/>
  </w:compat>
  <w:docVars>
    <w:docVar w:name="commondata" w:val="eyJoZGlkIjoiNWI1ZTI5OWQ4NDQ5ZWE1OGEyZGYyMmUxNGJiZTRhOWQifQ=="/>
  </w:docVars>
  <w:rsids>
    <w:rsidRoot w:val="00C35B2F"/>
    <w:rsid w:val="000718B3"/>
    <w:rsid w:val="0009103F"/>
    <w:rsid w:val="0010040C"/>
    <w:rsid w:val="00116B21"/>
    <w:rsid w:val="0018521F"/>
    <w:rsid w:val="002755DE"/>
    <w:rsid w:val="00283378"/>
    <w:rsid w:val="0029539B"/>
    <w:rsid w:val="002B4EA3"/>
    <w:rsid w:val="003174C4"/>
    <w:rsid w:val="00324EB3"/>
    <w:rsid w:val="0034506C"/>
    <w:rsid w:val="003E5FB4"/>
    <w:rsid w:val="003E6E12"/>
    <w:rsid w:val="00421DCC"/>
    <w:rsid w:val="0043002D"/>
    <w:rsid w:val="00576AC5"/>
    <w:rsid w:val="00615F99"/>
    <w:rsid w:val="00621D55"/>
    <w:rsid w:val="00657A7F"/>
    <w:rsid w:val="007130F4"/>
    <w:rsid w:val="007A0FE6"/>
    <w:rsid w:val="00850079"/>
    <w:rsid w:val="008640C6"/>
    <w:rsid w:val="0086781C"/>
    <w:rsid w:val="008746C4"/>
    <w:rsid w:val="00883AF6"/>
    <w:rsid w:val="009707BB"/>
    <w:rsid w:val="00972C13"/>
    <w:rsid w:val="009F698A"/>
    <w:rsid w:val="00B251F9"/>
    <w:rsid w:val="00B2553F"/>
    <w:rsid w:val="00BB56BE"/>
    <w:rsid w:val="00BC2342"/>
    <w:rsid w:val="00C35B2F"/>
    <w:rsid w:val="00CF2C1D"/>
    <w:rsid w:val="00D6119E"/>
    <w:rsid w:val="00DC672B"/>
    <w:rsid w:val="00E0695A"/>
    <w:rsid w:val="00EA40E8"/>
    <w:rsid w:val="01141165"/>
    <w:rsid w:val="01260E98"/>
    <w:rsid w:val="016A6FD7"/>
    <w:rsid w:val="01C04E49"/>
    <w:rsid w:val="01D628BE"/>
    <w:rsid w:val="0204742C"/>
    <w:rsid w:val="02F94AB6"/>
    <w:rsid w:val="0433224A"/>
    <w:rsid w:val="04640B52"/>
    <w:rsid w:val="048E7480"/>
    <w:rsid w:val="04BF588C"/>
    <w:rsid w:val="04DC01EC"/>
    <w:rsid w:val="05A5591B"/>
    <w:rsid w:val="05A94BA8"/>
    <w:rsid w:val="05EA4B8A"/>
    <w:rsid w:val="067C019E"/>
    <w:rsid w:val="06B56F46"/>
    <w:rsid w:val="07FB307F"/>
    <w:rsid w:val="080F49BC"/>
    <w:rsid w:val="0852495C"/>
    <w:rsid w:val="08E458C1"/>
    <w:rsid w:val="09265ED9"/>
    <w:rsid w:val="09734E97"/>
    <w:rsid w:val="0A4E393A"/>
    <w:rsid w:val="0AC769A1"/>
    <w:rsid w:val="0ADE3BB0"/>
    <w:rsid w:val="0B16324C"/>
    <w:rsid w:val="0B3C4A7C"/>
    <w:rsid w:val="0B4B60CB"/>
    <w:rsid w:val="0BCB720C"/>
    <w:rsid w:val="0BCE4606"/>
    <w:rsid w:val="0BDF05C2"/>
    <w:rsid w:val="0C4A0F50"/>
    <w:rsid w:val="0D780CCE"/>
    <w:rsid w:val="0ED61957"/>
    <w:rsid w:val="0F7D6A6F"/>
    <w:rsid w:val="0FA7589A"/>
    <w:rsid w:val="0FD83CA6"/>
    <w:rsid w:val="10090303"/>
    <w:rsid w:val="10947BCD"/>
    <w:rsid w:val="10B1077E"/>
    <w:rsid w:val="111274C7"/>
    <w:rsid w:val="11F1104F"/>
    <w:rsid w:val="12C0114D"/>
    <w:rsid w:val="12EA7F78"/>
    <w:rsid w:val="13076D7C"/>
    <w:rsid w:val="132316DC"/>
    <w:rsid w:val="142B0848"/>
    <w:rsid w:val="1484072D"/>
    <w:rsid w:val="151A0B57"/>
    <w:rsid w:val="15204125"/>
    <w:rsid w:val="15613053"/>
    <w:rsid w:val="15A308B2"/>
    <w:rsid w:val="15B11221"/>
    <w:rsid w:val="15B4486D"/>
    <w:rsid w:val="167E55A7"/>
    <w:rsid w:val="17005FBC"/>
    <w:rsid w:val="176D1177"/>
    <w:rsid w:val="17FB6783"/>
    <w:rsid w:val="182E0907"/>
    <w:rsid w:val="18AD2173"/>
    <w:rsid w:val="18CB43A7"/>
    <w:rsid w:val="18FC0A05"/>
    <w:rsid w:val="190A277E"/>
    <w:rsid w:val="196547FC"/>
    <w:rsid w:val="19882767"/>
    <w:rsid w:val="19A42BF8"/>
    <w:rsid w:val="1A197394"/>
    <w:rsid w:val="1A491A28"/>
    <w:rsid w:val="1A7F369B"/>
    <w:rsid w:val="1B1464DA"/>
    <w:rsid w:val="1B530684"/>
    <w:rsid w:val="1B6603B7"/>
    <w:rsid w:val="1C9A47BD"/>
    <w:rsid w:val="1E0C3498"/>
    <w:rsid w:val="1E827BFE"/>
    <w:rsid w:val="1EEC7470"/>
    <w:rsid w:val="1F35597B"/>
    <w:rsid w:val="1FFB7C68"/>
    <w:rsid w:val="2032321D"/>
    <w:rsid w:val="20E163FE"/>
    <w:rsid w:val="214D44F3"/>
    <w:rsid w:val="21894E00"/>
    <w:rsid w:val="21F26E49"/>
    <w:rsid w:val="225418B2"/>
    <w:rsid w:val="22625D7D"/>
    <w:rsid w:val="22E06CA1"/>
    <w:rsid w:val="23201794"/>
    <w:rsid w:val="23C91E2B"/>
    <w:rsid w:val="249B37C8"/>
    <w:rsid w:val="24AC1531"/>
    <w:rsid w:val="25034EC9"/>
    <w:rsid w:val="251F61A7"/>
    <w:rsid w:val="25714529"/>
    <w:rsid w:val="263A0DBE"/>
    <w:rsid w:val="26C40D95"/>
    <w:rsid w:val="26F62F37"/>
    <w:rsid w:val="27392E24"/>
    <w:rsid w:val="27677991"/>
    <w:rsid w:val="27E62FAC"/>
    <w:rsid w:val="286A598B"/>
    <w:rsid w:val="29C27101"/>
    <w:rsid w:val="2A225DF1"/>
    <w:rsid w:val="2B05199B"/>
    <w:rsid w:val="2B794137"/>
    <w:rsid w:val="2B795EE5"/>
    <w:rsid w:val="2B8A6344"/>
    <w:rsid w:val="2C33078A"/>
    <w:rsid w:val="2C412EA7"/>
    <w:rsid w:val="2C666469"/>
    <w:rsid w:val="2C730B86"/>
    <w:rsid w:val="2CBB5CE4"/>
    <w:rsid w:val="2CF31F20"/>
    <w:rsid w:val="2D0619FA"/>
    <w:rsid w:val="2D6055AE"/>
    <w:rsid w:val="2DC07DFB"/>
    <w:rsid w:val="2DF53CB4"/>
    <w:rsid w:val="2E31307F"/>
    <w:rsid w:val="2F397E65"/>
    <w:rsid w:val="2FE57FED"/>
    <w:rsid w:val="2FFA3A98"/>
    <w:rsid w:val="30393E95"/>
    <w:rsid w:val="30843362"/>
    <w:rsid w:val="31271C2A"/>
    <w:rsid w:val="31464ABB"/>
    <w:rsid w:val="317F1D7B"/>
    <w:rsid w:val="32811540"/>
    <w:rsid w:val="32D560F7"/>
    <w:rsid w:val="331D184C"/>
    <w:rsid w:val="332D05A9"/>
    <w:rsid w:val="334D2131"/>
    <w:rsid w:val="3436271A"/>
    <w:rsid w:val="3474193F"/>
    <w:rsid w:val="34CA77B1"/>
    <w:rsid w:val="351D1FD7"/>
    <w:rsid w:val="358D2CB9"/>
    <w:rsid w:val="3619454C"/>
    <w:rsid w:val="364F7F6E"/>
    <w:rsid w:val="368D0A96"/>
    <w:rsid w:val="37335AE2"/>
    <w:rsid w:val="37977E1F"/>
    <w:rsid w:val="379C71E3"/>
    <w:rsid w:val="384358B1"/>
    <w:rsid w:val="39184F8F"/>
    <w:rsid w:val="399D36E6"/>
    <w:rsid w:val="39D16050"/>
    <w:rsid w:val="3A654B5F"/>
    <w:rsid w:val="3AD9074E"/>
    <w:rsid w:val="3B0A71ED"/>
    <w:rsid w:val="3BFC46F4"/>
    <w:rsid w:val="3C961EE0"/>
    <w:rsid w:val="3CCA2A44"/>
    <w:rsid w:val="3D0221DE"/>
    <w:rsid w:val="3D3879AE"/>
    <w:rsid w:val="3D5470A4"/>
    <w:rsid w:val="3D9A2417"/>
    <w:rsid w:val="3DA6700D"/>
    <w:rsid w:val="3E2E0DB1"/>
    <w:rsid w:val="3E410AE4"/>
    <w:rsid w:val="3E740EBA"/>
    <w:rsid w:val="3F56036D"/>
    <w:rsid w:val="3F5B3E28"/>
    <w:rsid w:val="3FB37CE6"/>
    <w:rsid w:val="3FE07E89"/>
    <w:rsid w:val="3FFF47B3"/>
    <w:rsid w:val="402E5098"/>
    <w:rsid w:val="40C33A32"/>
    <w:rsid w:val="415723CD"/>
    <w:rsid w:val="41735459"/>
    <w:rsid w:val="427174BE"/>
    <w:rsid w:val="436A63E7"/>
    <w:rsid w:val="445F3A72"/>
    <w:rsid w:val="44C30432"/>
    <w:rsid w:val="44D34460"/>
    <w:rsid w:val="46375078"/>
    <w:rsid w:val="468772B0"/>
    <w:rsid w:val="46D63D94"/>
    <w:rsid w:val="477E4B57"/>
    <w:rsid w:val="482374AD"/>
    <w:rsid w:val="4880045B"/>
    <w:rsid w:val="488C6E00"/>
    <w:rsid w:val="48EE7ABB"/>
    <w:rsid w:val="49042E3A"/>
    <w:rsid w:val="491F5679"/>
    <w:rsid w:val="49A563CB"/>
    <w:rsid w:val="4A1B043B"/>
    <w:rsid w:val="4B320132"/>
    <w:rsid w:val="4BB9615E"/>
    <w:rsid w:val="4C7B3413"/>
    <w:rsid w:val="4CC254E6"/>
    <w:rsid w:val="4CEF795D"/>
    <w:rsid w:val="4D153868"/>
    <w:rsid w:val="4D245859"/>
    <w:rsid w:val="4D2C2C5D"/>
    <w:rsid w:val="4D3A2F3E"/>
    <w:rsid w:val="4D602609"/>
    <w:rsid w:val="4DEB6377"/>
    <w:rsid w:val="4EF851EF"/>
    <w:rsid w:val="4FA42C81"/>
    <w:rsid w:val="50816EA0"/>
    <w:rsid w:val="5095081C"/>
    <w:rsid w:val="511300BE"/>
    <w:rsid w:val="51D13AD5"/>
    <w:rsid w:val="522E717A"/>
    <w:rsid w:val="52426781"/>
    <w:rsid w:val="53373E0C"/>
    <w:rsid w:val="53F02939"/>
    <w:rsid w:val="54A61249"/>
    <w:rsid w:val="54F14BBA"/>
    <w:rsid w:val="55990DAE"/>
    <w:rsid w:val="55E42029"/>
    <w:rsid w:val="56142A69"/>
    <w:rsid w:val="56680EAC"/>
    <w:rsid w:val="56CB4F97"/>
    <w:rsid w:val="572B1EDA"/>
    <w:rsid w:val="577218B7"/>
    <w:rsid w:val="592B61C1"/>
    <w:rsid w:val="5A07278A"/>
    <w:rsid w:val="5B046CCA"/>
    <w:rsid w:val="5B8F47E5"/>
    <w:rsid w:val="5B9242D5"/>
    <w:rsid w:val="5BFE196B"/>
    <w:rsid w:val="5C480E38"/>
    <w:rsid w:val="5CD91096"/>
    <w:rsid w:val="5D0128BF"/>
    <w:rsid w:val="5D287CD1"/>
    <w:rsid w:val="5D325D70"/>
    <w:rsid w:val="5E070FAB"/>
    <w:rsid w:val="5E556B2A"/>
    <w:rsid w:val="5F622211"/>
    <w:rsid w:val="5FFE63DD"/>
    <w:rsid w:val="6005151A"/>
    <w:rsid w:val="600D6620"/>
    <w:rsid w:val="60BF1491"/>
    <w:rsid w:val="611B4D6D"/>
    <w:rsid w:val="624B5761"/>
    <w:rsid w:val="629758E3"/>
    <w:rsid w:val="62A96AD4"/>
    <w:rsid w:val="637974B6"/>
    <w:rsid w:val="63AE3C76"/>
    <w:rsid w:val="63D70E99"/>
    <w:rsid w:val="63DD630A"/>
    <w:rsid w:val="64552344"/>
    <w:rsid w:val="656B0C8E"/>
    <w:rsid w:val="65A73073"/>
    <w:rsid w:val="65DF6369"/>
    <w:rsid w:val="65E41BD1"/>
    <w:rsid w:val="65F75DA9"/>
    <w:rsid w:val="667473F9"/>
    <w:rsid w:val="675C5930"/>
    <w:rsid w:val="679118E5"/>
    <w:rsid w:val="67DF4D46"/>
    <w:rsid w:val="67E10ABE"/>
    <w:rsid w:val="681F5143"/>
    <w:rsid w:val="682E35D8"/>
    <w:rsid w:val="691D7CD6"/>
    <w:rsid w:val="696574CD"/>
    <w:rsid w:val="698259B4"/>
    <w:rsid w:val="69B4254E"/>
    <w:rsid w:val="6BC84A99"/>
    <w:rsid w:val="6C9A748E"/>
    <w:rsid w:val="6CB57E24"/>
    <w:rsid w:val="6CF90658"/>
    <w:rsid w:val="6D75048C"/>
    <w:rsid w:val="6E241705"/>
    <w:rsid w:val="6ED30A35"/>
    <w:rsid w:val="6EE60768"/>
    <w:rsid w:val="6F347726"/>
    <w:rsid w:val="6F743FC6"/>
    <w:rsid w:val="6F751AEC"/>
    <w:rsid w:val="6F8F7052"/>
    <w:rsid w:val="70441BEA"/>
    <w:rsid w:val="70651B61"/>
    <w:rsid w:val="70ED4030"/>
    <w:rsid w:val="7101188A"/>
    <w:rsid w:val="71C034F3"/>
    <w:rsid w:val="71CD3E62"/>
    <w:rsid w:val="722A7167"/>
    <w:rsid w:val="73165394"/>
    <w:rsid w:val="73171838"/>
    <w:rsid w:val="73A6496A"/>
    <w:rsid w:val="73BF77DA"/>
    <w:rsid w:val="73F456D6"/>
    <w:rsid w:val="73F94F64"/>
    <w:rsid w:val="747C5A5B"/>
    <w:rsid w:val="74992CD1"/>
    <w:rsid w:val="749A44CF"/>
    <w:rsid w:val="74E05D7E"/>
    <w:rsid w:val="756B19C7"/>
    <w:rsid w:val="756B5E6B"/>
    <w:rsid w:val="75FF0362"/>
    <w:rsid w:val="7615608D"/>
    <w:rsid w:val="76BD44A5"/>
    <w:rsid w:val="778E7BEF"/>
    <w:rsid w:val="779276DF"/>
    <w:rsid w:val="77AF5277"/>
    <w:rsid w:val="77E06FE4"/>
    <w:rsid w:val="78AB1CC1"/>
    <w:rsid w:val="78C22246"/>
    <w:rsid w:val="7A37631C"/>
    <w:rsid w:val="7AC57DCC"/>
    <w:rsid w:val="7AF16E13"/>
    <w:rsid w:val="7BD77DB7"/>
    <w:rsid w:val="7BF91C66"/>
    <w:rsid w:val="7C185920"/>
    <w:rsid w:val="7C857813"/>
    <w:rsid w:val="7C8B6DF3"/>
    <w:rsid w:val="7D567401"/>
    <w:rsid w:val="7D787377"/>
    <w:rsid w:val="7D9D6DDE"/>
    <w:rsid w:val="7E1A5A51"/>
    <w:rsid w:val="7E4E1E86"/>
    <w:rsid w:val="7E576F8D"/>
    <w:rsid w:val="7EEA7E01"/>
    <w:rsid w:val="7F427C3D"/>
    <w:rsid w:val="7FAC3308"/>
    <w:rsid w:val="7FE012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99"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sz w:val="21"/>
      <w:szCs w:val="22"/>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customStyle="1" w:styleId="2">
    <w:name w:val="无间隔1"/>
    <w:autoRedefine/>
    <w:qFormat/>
    <w:uiPriority w:val="0"/>
    <w:pPr>
      <w:widowControl w:val="0"/>
      <w:jc w:val="both"/>
    </w:pPr>
    <w:rPr>
      <w:rFonts w:ascii="Calibri" w:hAnsi="Calibri" w:eastAsia="宋体" w:cs="Times New Roman"/>
      <w:kern w:val="2"/>
      <w:sz w:val="21"/>
      <w:szCs w:val="22"/>
      <w:lang w:val="en-US" w:eastAsia="zh-CN" w:bidi="ar-SA"/>
    </w:rPr>
  </w:style>
  <w:style w:type="paragraph" w:styleId="3">
    <w:name w:val="caption"/>
    <w:basedOn w:val="1"/>
    <w:next w:val="1"/>
    <w:autoRedefine/>
    <w:qFormat/>
    <w:uiPriority w:val="0"/>
    <w:rPr>
      <w:rFonts w:ascii="Cambria" w:hAnsi="Cambria" w:eastAsia="黑体"/>
      <w:sz w:val="20"/>
    </w:rPr>
  </w:style>
  <w:style w:type="paragraph" w:styleId="4">
    <w:name w:val="footer"/>
    <w:basedOn w:val="1"/>
    <w:link w:val="16"/>
    <w:autoRedefine/>
    <w:qFormat/>
    <w:uiPriority w:val="99"/>
    <w:pPr>
      <w:tabs>
        <w:tab w:val="center" w:pos="4153"/>
        <w:tab w:val="right" w:pos="8306"/>
      </w:tabs>
      <w:snapToGrid w:val="0"/>
      <w:jc w:val="left"/>
    </w:pPr>
    <w:rPr>
      <w:sz w:val="18"/>
    </w:rPr>
  </w:style>
  <w:style w:type="paragraph" w:styleId="5">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footnote text"/>
    <w:basedOn w:val="1"/>
    <w:autoRedefine/>
    <w:qFormat/>
    <w:uiPriority w:val="99"/>
    <w:pPr>
      <w:snapToGrid w:val="0"/>
      <w:jc w:val="left"/>
    </w:pPr>
    <w:rPr>
      <w:sz w:val="18"/>
      <w:szCs w:val="18"/>
    </w:rPr>
  </w:style>
  <w:style w:type="paragraph" w:styleId="7">
    <w:name w:val="Normal (Web)"/>
    <w:basedOn w:val="1"/>
    <w:autoRedefine/>
    <w:qFormat/>
    <w:uiPriority w:val="99"/>
    <w:pPr>
      <w:widowControl/>
      <w:spacing w:before="100" w:beforeAutospacing="1" w:after="100" w:afterAutospacing="1"/>
      <w:jc w:val="left"/>
    </w:pPr>
    <w:rPr>
      <w:rFonts w:ascii="宋体" w:hAnsi="宋体"/>
      <w:sz w:val="24"/>
      <w:szCs w:val="24"/>
    </w:rPr>
  </w:style>
  <w:style w:type="table" w:styleId="9">
    <w:name w:val="Table Grid"/>
    <w:basedOn w:val="8"/>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autoRedefine/>
    <w:qFormat/>
    <w:uiPriority w:val="22"/>
    <w:rPr>
      <w:b/>
      <w:bCs/>
    </w:rPr>
  </w:style>
  <w:style w:type="paragraph" w:customStyle="1" w:styleId="12">
    <w:name w:val="Default"/>
    <w:next w:val="6"/>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3">
    <w:name w:val="BodyText1I"/>
    <w:basedOn w:val="14"/>
    <w:autoRedefine/>
    <w:qFormat/>
    <w:uiPriority w:val="99"/>
    <w:pPr>
      <w:ind w:firstLine="420" w:firstLineChars="100"/>
    </w:pPr>
  </w:style>
  <w:style w:type="paragraph" w:customStyle="1" w:styleId="14">
    <w:name w:val="BodyText"/>
    <w:basedOn w:val="1"/>
    <w:autoRedefine/>
    <w:qFormat/>
    <w:uiPriority w:val="99"/>
    <w:pPr>
      <w:spacing w:after="120"/>
    </w:pPr>
  </w:style>
  <w:style w:type="paragraph" w:styleId="15">
    <w:name w:val="List Paragraph"/>
    <w:basedOn w:val="1"/>
    <w:autoRedefine/>
    <w:qFormat/>
    <w:uiPriority w:val="34"/>
    <w:pPr>
      <w:ind w:firstLine="420" w:firstLineChars="200"/>
    </w:pPr>
  </w:style>
  <w:style w:type="character" w:customStyle="1" w:styleId="16">
    <w:name w:val="页脚 字符"/>
    <w:basedOn w:val="10"/>
    <w:link w:val="4"/>
    <w:qFormat/>
    <w:uiPriority w:val="99"/>
    <w:rPr>
      <w:rFonts w:asciiTheme="minorHAnsi" w:hAnsiTheme="minorHAnsi" w:eastAsiaTheme="minorEastAsia" w:cstheme="minorBidi"/>
      <w:sz w:val="18"/>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53</Pages>
  <Words>19473</Words>
  <Characters>20697</Characters>
  <Lines>165</Lines>
  <Paragraphs>46</Paragraphs>
  <TotalTime>1</TotalTime>
  <ScaleCrop>false</ScaleCrop>
  <LinksUpToDate>false</LinksUpToDate>
  <CharactersWithSpaces>21805</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2021-12-14T13:31:00Z</dcterms:created>
  <dc:creator>Administrator</dc:creator>
  <cp:lastModifiedBy>user</cp:lastModifiedBy>
  <dcterms:modified xsi:type="dcterms:W3CDTF">2024-06-03T07:41:09Z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C17062F0C12B4DEABC74939960AD8055</vt:lpwstr>
  </property>
</Properties>
</file>