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Arial Black" w:hAnsi="Arial Black" w:eastAsia="黑体"/>
          <w:b w:val="0"/>
          <w:bCs w:val="0"/>
          <w:spacing w:val="36"/>
          <w:sz w:val="52"/>
          <w:szCs w:val="52"/>
          <w:highlight w:val="none"/>
        </w:rPr>
      </w:pPr>
      <w:r>
        <w:rPr>
          <w:rFonts w:hint="eastAsia" w:ascii="Arial Black" w:hAnsi="Arial Black" w:eastAsia="黑体"/>
          <w:b w:val="0"/>
          <w:bCs w:val="0"/>
          <w:spacing w:val="36"/>
          <w:sz w:val="52"/>
          <w:szCs w:val="52"/>
          <w:highlight w:val="none"/>
        </w:rPr>
        <w:t>周口市公共资源交易中心</w:t>
      </w:r>
    </w:p>
    <w:p>
      <w:pPr>
        <w:tabs>
          <w:tab w:val="left" w:pos="315"/>
          <w:tab w:val="left" w:pos="8820"/>
        </w:tabs>
        <w:spacing w:line="500" w:lineRule="exact"/>
        <w:ind w:right="267" w:rightChars="127"/>
        <w:jc w:val="center"/>
        <w:rPr>
          <w:rFonts w:ascii="仿宋_GB2312" w:eastAsia="仿宋_GB2312"/>
          <w:b w:val="0"/>
          <w:bCs w:val="0"/>
          <w:sz w:val="48"/>
          <w:highlight w:val="none"/>
        </w:rPr>
      </w:pPr>
    </w:p>
    <w:p>
      <w:pPr>
        <w:tabs>
          <w:tab w:val="left" w:pos="315"/>
          <w:tab w:val="left" w:pos="8820"/>
        </w:tabs>
        <w:spacing w:line="500" w:lineRule="exact"/>
        <w:ind w:right="267" w:rightChars="127"/>
        <w:jc w:val="center"/>
        <w:rPr>
          <w:rFonts w:ascii="微软简标宋" w:eastAsia="黑体"/>
          <w:b w:val="0"/>
          <w:bCs w:val="0"/>
          <w:sz w:val="52"/>
          <w:highlight w:val="none"/>
        </w:rPr>
      </w:pPr>
      <w:r>
        <w:rPr>
          <w:rFonts w:hint="eastAsia" w:ascii="微软简标宋" w:eastAsia="黑体"/>
          <w:b w:val="0"/>
          <w:bCs w:val="0"/>
          <w:sz w:val="52"/>
          <w:highlight w:val="none"/>
        </w:rPr>
        <w:t>竞争性磋商文件</w:t>
      </w:r>
    </w:p>
    <w:p>
      <w:pPr>
        <w:tabs>
          <w:tab w:val="left" w:pos="315"/>
          <w:tab w:val="left" w:pos="8820"/>
        </w:tabs>
        <w:spacing w:line="500" w:lineRule="exact"/>
        <w:ind w:right="267" w:rightChars="127"/>
        <w:jc w:val="center"/>
        <w:rPr>
          <w:rFonts w:ascii="仿宋_GB2312" w:eastAsia="仿宋_GB2312"/>
          <w:b w:val="0"/>
          <w:bCs w:val="0"/>
          <w:sz w:val="44"/>
          <w:highlight w:val="none"/>
        </w:rPr>
      </w:pPr>
    </w:p>
    <w:p>
      <w:pPr>
        <w:tabs>
          <w:tab w:val="left" w:pos="315"/>
          <w:tab w:val="left" w:pos="8820"/>
        </w:tabs>
        <w:ind w:right="267" w:rightChars="127"/>
        <w:rPr>
          <w:rFonts w:ascii="仿宋_GB2312" w:eastAsia="仿宋_GB2312"/>
          <w:b w:val="0"/>
          <w:bCs w:val="0"/>
          <w:sz w:val="44"/>
          <w:highlight w:val="none"/>
        </w:rPr>
      </w:pPr>
    </w:p>
    <w:p>
      <w:pPr>
        <w:tabs>
          <w:tab w:val="left" w:pos="315"/>
          <w:tab w:val="left" w:pos="8820"/>
        </w:tabs>
        <w:spacing w:line="500" w:lineRule="exact"/>
        <w:ind w:right="267" w:rightChars="127"/>
        <w:rPr>
          <w:rFonts w:ascii="仿宋_GB2312" w:eastAsia="仿宋_GB2312"/>
          <w:b w:val="0"/>
          <w:bCs w:val="0"/>
          <w:sz w:val="36"/>
          <w:highlight w:val="none"/>
        </w:rPr>
      </w:pPr>
    </w:p>
    <w:p>
      <w:pPr>
        <w:tabs>
          <w:tab w:val="left" w:pos="315"/>
          <w:tab w:val="left" w:pos="8820"/>
        </w:tabs>
        <w:spacing w:line="500" w:lineRule="exact"/>
        <w:ind w:right="267" w:rightChars="127"/>
        <w:rPr>
          <w:rFonts w:ascii="仿宋_GB2312" w:eastAsia="仿宋_GB2312"/>
          <w:b w:val="0"/>
          <w:bCs w:val="0"/>
          <w:sz w:val="36"/>
          <w:highlight w:val="none"/>
        </w:rPr>
      </w:pPr>
    </w:p>
    <w:p>
      <w:pPr>
        <w:tabs>
          <w:tab w:val="left" w:pos="315"/>
          <w:tab w:val="left" w:pos="8820"/>
        </w:tabs>
        <w:spacing w:line="500" w:lineRule="exact"/>
        <w:ind w:right="267" w:rightChars="127"/>
        <w:jc w:val="center"/>
        <w:rPr>
          <w:rFonts w:ascii="宋体" w:hAnsi="宋体"/>
          <w:b w:val="0"/>
          <w:bCs w:val="0"/>
          <w:sz w:val="32"/>
          <w:highlight w:val="none"/>
        </w:rPr>
      </w:pPr>
    </w:p>
    <w:p>
      <w:pPr>
        <w:pStyle w:val="2"/>
        <w:rPr>
          <w:rFonts w:ascii="宋体" w:hAnsi="宋体"/>
          <w:b w:val="0"/>
          <w:bCs w:val="0"/>
          <w:sz w:val="32"/>
          <w:highlight w:val="none"/>
        </w:rPr>
      </w:pPr>
    </w:p>
    <w:p>
      <w:pPr>
        <w:pStyle w:val="2"/>
        <w:rPr>
          <w:rFonts w:ascii="宋体" w:hAnsi="宋体"/>
          <w:b w:val="0"/>
          <w:bCs w:val="0"/>
          <w:sz w:val="32"/>
          <w:highlight w:val="none"/>
        </w:rPr>
      </w:pPr>
    </w:p>
    <w:p>
      <w:pPr>
        <w:pStyle w:val="2"/>
        <w:rPr>
          <w:rFonts w:ascii="宋体" w:hAnsi="宋体"/>
          <w:b w:val="0"/>
          <w:bCs w:val="0"/>
          <w:sz w:val="32"/>
          <w:highlight w:val="none"/>
        </w:rPr>
      </w:pPr>
    </w:p>
    <w:p>
      <w:pPr>
        <w:pStyle w:val="2"/>
        <w:rPr>
          <w:rFonts w:ascii="宋体" w:hAnsi="宋体"/>
          <w:b w:val="0"/>
          <w:bCs w:val="0"/>
          <w:sz w:val="32"/>
          <w:highlight w:val="none"/>
        </w:rPr>
      </w:pPr>
    </w:p>
    <w:p>
      <w:pPr>
        <w:pStyle w:val="2"/>
        <w:rPr>
          <w:rFonts w:ascii="宋体" w:hAnsi="宋体"/>
          <w:b w:val="0"/>
          <w:bCs w:val="0"/>
          <w:sz w:val="32"/>
          <w:highlight w:val="none"/>
        </w:rPr>
      </w:pPr>
    </w:p>
    <w:p>
      <w:pPr>
        <w:pStyle w:val="2"/>
        <w:rPr>
          <w:b w:val="0"/>
          <w:bCs w:val="0"/>
          <w:highlight w:val="none"/>
        </w:rPr>
      </w:pPr>
    </w:p>
    <w:p>
      <w:pPr>
        <w:tabs>
          <w:tab w:val="left" w:pos="315"/>
          <w:tab w:val="left" w:pos="8820"/>
        </w:tabs>
        <w:spacing w:line="500" w:lineRule="exact"/>
        <w:ind w:right="267" w:rightChars="127"/>
        <w:jc w:val="center"/>
        <w:rPr>
          <w:rFonts w:ascii="微软简标宋" w:eastAsia="黑体"/>
          <w:b w:val="0"/>
          <w:bCs w:val="0"/>
          <w:sz w:val="52"/>
          <w:highlight w:val="none"/>
        </w:rPr>
      </w:pPr>
    </w:p>
    <w:p>
      <w:pPr>
        <w:tabs>
          <w:tab w:val="left" w:pos="315"/>
          <w:tab w:val="left" w:pos="8820"/>
        </w:tabs>
        <w:spacing w:line="600" w:lineRule="exact"/>
        <w:ind w:right="267" w:rightChars="127" w:firstLine="1200" w:firstLineChars="400"/>
        <w:jc w:val="left"/>
        <w:rPr>
          <w:rFonts w:hint="eastAsia" w:ascii="微软简标宋" w:eastAsia="黑体"/>
          <w:b w:val="0"/>
          <w:bCs w:val="0"/>
          <w:sz w:val="30"/>
          <w:szCs w:val="30"/>
          <w:highlight w:val="none"/>
          <w:lang w:eastAsia="zh-CN"/>
        </w:rPr>
      </w:pPr>
      <w:r>
        <w:rPr>
          <w:rFonts w:hint="eastAsia" w:ascii="微软简标宋" w:eastAsia="黑体"/>
          <w:b w:val="0"/>
          <w:bCs w:val="0"/>
          <w:sz w:val="30"/>
          <w:szCs w:val="30"/>
          <w:highlight w:val="none"/>
        </w:rPr>
        <w:t xml:space="preserve">项目名称: </w:t>
      </w:r>
      <w:r>
        <w:rPr>
          <w:rFonts w:hint="eastAsia" w:ascii="微软简标宋" w:eastAsia="黑体"/>
          <w:b w:val="0"/>
          <w:bCs w:val="0"/>
          <w:sz w:val="30"/>
          <w:szCs w:val="30"/>
          <w:highlight w:val="none"/>
          <w:lang w:eastAsia="zh-CN"/>
        </w:rPr>
        <w:t>西华县中医院信息化系统硬件设备升级项目</w:t>
      </w:r>
    </w:p>
    <w:p>
      <w:pPr>
        <w:tabs>
          <w:tab w:val="left" w:pos="315"/>
          <w:tab w:val="left" w:pos="8820"/>
        </w:tabs>
        <w:spacing w:line="600" w:lineRule="exact"/>
        <w:ind w:right="267" w:rightChars="127" w:firstLine="1200" w:firstLineChars="400"/>
        <w:jc w:val="left"/>
        <w:rPr>
          <w:rFonts w:hint="default" w:ascii="微软简标宋" w:eastAsia="黑体"/>
          <w:b w:val="0"/>
          <w:bCs w:val="0"/>
          <w:sz w:val="30"/>
          <w:szCs w:val="30"/>
          <w:highlight w:val="none"/>
          <w:lang w:val="en-US" w:eastAsia="zh-CN"/>
        </w:rPr>
      </w:pPr>
      <w:r>
        <w:rPr>
          <w:rFonts w:hint="eastAsia" w:ascii="微软简标宋" w:eastAsia="黑体"/>
          <w:b w:val="0"/>
          <w:bCs w:val="0"/>
          <w:sz w:val="30"/>
          <w:szCs w:val="30"/>
          <w:highlight w:val="none"/>
        </w:rPr>
        <w:t xml:space="preserve">项目编号: </w:t>
      </w:r>
      <w:r>
        <w:rPr>
          <w:rFonts w:hint="eastAsia" w:ascii="微软简标宋" w:eastAsia="黑体"/>
          <w:b w:val="0"/>
          <w:bCs w:val="0"/>
          <w:sz w:val="30"/>
          <w:szCs w:val="30"/>
          <w:highlight w:val="none"/>
          <w:lang w:val="en-US" w:eastAsia="zh-CN"/>
        </w:rPr>
        <w:t>西华磋商采购-2024-21</w:t>
      </w:r>
    </w:p>
    <w:p>
      <w:pPr>
        <w:pStyle w:val="10"/>
        <w:rPr>
          <w:rFonts w:ascii="宋体" w:hAnsi="宋体"/>
          <w:b w:val="0"/>
          <w:bCs w:val="0"/>
          <w:sz w:val="32"/>
          <w:highlight w:val="none"/>
        </w:rPr>
      </w:pPr>
    </w:p>
    <w:p>
      <w:pPr>
        <w:pStyle w:val="10"/>
        <w:jc w:val="center"/>
        <w:rPr>
          <w:rFonts w:hint="eastAsia" w:ascii="宋体" w:hAnsi="宋体"/>
          <w:b w:val="0"/>
          <w:bCs w:val="0"/>
          <w:sz w:val="32"/>
          <w:highlight w:val="none"/>
        </w:rPr>
      </w:pPr>
      <w:r>
        <w:rPr>
          <w:rFonts w:hint="eastAsia" w:ascii="宋体" w:hAnsi="宋体"/>
          <w:b w:val="0"/>
          <w:bCs w:val="0"/>
          <w:sz w:val="32"/>
          <w:highlight w:val="none"/>
          <w:lang w:val="en-US" w:eastAsia="zh-CN"/>
        </w:rPr>
        <w:t>2024</w:t>
      </w:r>
      <w:r>
        <w:rPr>
          <w:rFonts w:hint="eastAsia" w:ascii="宋体" w:hAnsi="宋体"/>
          <w:b w:val="0"/>
          <w:bCs w:val="0"/>
          <w:sz w:val="32"/>
          <w:highlight w:val="none"/>
        </w:rPr>
        <w:t>年</w:t>
      </w:r>
      <w:r>
        <w:rPr>
          <w:rFonts w:hint="eastAsia" w:ascii="宋体" w:hAnsi="宋体"/>
          <w:b w:val="0"/>
          <w:bCs w:val="0"/>
          <w:sz w:val="32"/>
          <w:highlight w:val="none"/>
          <w:lang w:val="en-US" w:eastAsia="zh-CN"/>
        </w:rPr>
        <w:t>6</w:t>
      </w:r>
      <w:r>
        <w:rPr>
          <w:rFonts w:hint="eastAsia" w:ascii="宋体" w:hAnsi="宋体"/>
          <w:b w:val="0"/>
          <w:bCs w:val="0"/>
          <w:sz w:val="32"/>
          <w:highlight w:val="none"/>
        </w:rPr>
        <w:t>月</w:t>
      </w:r>
      <w:r>
        <w:rPr>
          <w:rFonts w:hint="eastAsia" w:ascii="宋体" w:hAnsi="宋体"/>
          <w:b w:val="0"/>
          <w:bCs w:val="0"/>
          <w:sz w:val="32"/>
          <w:highlight w:val="none"/>
          <w:lang w:val="en-US" w:eastAsia="zh-CN"/>
        </w:rPr>
        <w:t xml:space="preserve"> </w:t>
      </w:r>
    </w:p>
    <w:p>
      <w:pPr>
        <w:spacing w:line="560" w:lineRule="exact"/>
        <w:jc w:val="center"/>
        <w:rPr>
          <w:rFonts w:ascii="宋体" w:hAnsi="宋体" w:cs="宋体"/>
          <w:b/>
          <w:sz w:val="32"/>
          <w:szCs w:val="32"/>
          <w:highlight w:val="none"/>
        </w:rPr>
      </w:pPr>
      <w:r>
        <w:rPr>
          <w:rFonts w:hint="eastAsia" w:ascii="宋体" w:hAnsi="宋体" w:cs="宋体"/>
          <w:b/>
          <w:sz w:val="32"/>
          <w:szCs w:val="32"/>
          <w:highlight w:val="none"/>
        </w:rPr>
        <w:t>目     录</w:t>
      </w:r>
    </w:p>
    <w:p>
      <w:pPr>
        <w:rPr>
          <w:rFonts w:ascii="宋体" w:hAnsi="宋体" w:cs="宋体"/>
          <w:b/>
          <w:sz w:val="32"/>
          <w:szCs w:val="32"/>
          <w:highlight w:val="none"/>
        </w:rPr>
      </w:pPr>
    </w:p>
    <w:p>
      <w:pPr>
        <w:spacing w:line="800" w:lineRule="exact"/>
        <w:rPr>
          <w:rFonts w:ascii="宋体" w:hAnsi="宋体" w:cs="宋体"/>
          <w:b/>
          <w:sz w:val="32"/>
          <w:szCs w:val="32"/>
          <w:highlight w:val="none"/>
        </w:rPr>
      </w:pPr>
      <w:r>
        <w:rPr>
          <w:rFonts w:hint="eastAsia" w:ascii="宋体" w:hAnsi="宋体" w:cs="宋体"/>
          <w:b/>
          <w:sz w:val="32"/>
          <w:szCs w:val="32"/>
          <w:highlight w:val="none"/>
        </w:rPr>
        <w:t>第一章  竞争性磋商邀请函 .........................3</w:t>
      </w:r>
    </w:p>
    <w:p>
      <w:pPr>
        <w:spacing w:line="800" w:lineRule="exact"/>
        <w:rPr>
          <w:rFonts w:ascii="宋体" w:hAnsi="宋体" w:cs="宋体"/>
          <w:b/>
          <w:sz w:val="32"/>
          <w:szCs w:val="32"/>
          <w:highlight w:val="none"/>
        </w:rPr>
      </w:pPr>
      <w:r>
        <w:rPr>
          <w:rFonts w:hint="eastAsia" w:ascii="宋体" w:hAnsi="宋体" w:cs="宋体"/>
          <w:b/>
          <w:sz w:val="32"/>
          <w:szCs w:val="32"/>
          <w:highlight w:val="none"/>
        </w:rPr>
        <w:t>第二章  供应商须知 ...............................6</w:t>
      </w:r>
    </w:p>
    <w:p>
      <w:pPr>
        <w:spacing w:line="800" w:lineRule="exact"/>
        <w:rPr>
          <w:rFonts w:hint="eastAsia" w:ascii="宋体" w:hAnsi="宋体" w:eastAsia="宋体" w:cs="宋体"/>
          <w:b/>
          <w:sz w:val="32"/>
          <w:szCs w:val="32"/>
          <w:highlight w:val="none"/>
          <w:lang w:eastAsia="zh-CN"/>
        </w:rPr>
      </w:pPr>
      <w:r>
        <w:rPr>
          <w:rFonts w:hint="eastAsia" w:ascii="宋体" w:hAnsi="宋体" w:cs="宋体"/>
          <w:b/>
          <w:sz w:val="32"/>
          <w:szCs w:val="32"/>
          <w:highlight w:val="none"/>
        </w:rPr>
        <w:t>第三章  采购项目内容及要求.......................2</w:t>
      </w:r>
      <w:r>
        <w:rPr>
          <w:rFonts w:hint="eastAsia" w:ascii="宋体" w:hAnsi="宋体" w:cs="宋体"/>
          <w:b/>
          <w:sz w:val="32"/>
          <w:szCs w:val="32"/>
          <w:highlight w:val="none"/>
          <w:lang w:val="en-US" w:eastAsia="zh-CN"/>
        </w:rPr>
        <w:t>6</w:t>
      </w:r>
    </w:p>
    <w:p>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第四章  响应性文件内容及格式.....................</w:t>
      </w:r>
      <w:r>
        <w:rPr>
          <w:rFonts w:hint="eastAsia" w:ascii="宋体" w:hAnsi="宋体" w:cs="宋体"/>
          <w:b/>
          <w:sz w:val="32"/>
          <w:szCs w:val="32"/>
          <w:highlight w:val="none"/>
          <w:lang w:val="en-US" w:eastAsia="zh-CN"/>
        </w:rPr>
        <w:t>32</w:t>
      </w:r>
    </w:p>
    <w:p>
      <w:pPr>
        <w:spacing w:line="800" w:lineRule="exact"/>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第五章  合同主要条款 合同签订指引、供应商履约验收指引</w:t>
      </w:r>
      <w:r>
        <w:rPr>
          <w:rFonts w:hint="eastAsia" w:ascii="宋体" w:hAnsi="宋体" w:cs="宋体"/>
          <w:b/>
          <w:sz w:val="32"/>
          <w:szCs w:val="32"/>
          <w:highlight w:val="none"/>
          <w:lang w:val="en-US" w:eastAsia="zh-CN"/>
        </w:rPr>
        <w:t>43</w:t>
      </w:r>
    </w:p>
    <w:p>
      <w:pPr>
        <w:spacing w:line="800" w:lineRule="exact"/>
        <w:ind w:firstLine="2249" w:firstLineChars="700"/>
        <w:rPr>
          <w:rFonts w:ascii="宋体" w:hAnsi="宋体" w:cs="宋体"/>
          <w:b/>
          <w:sz w:val="32"/>
          <w:szCs w:val="32"/>
          <w:highlight w:val="none"/>
        </w:rPr>
      </w:pPr>
    </w:p>
    <w:p>
      <w:pPr>
        <w:spacing w:line="800" w:lineRule="exact"/>
        <w:ind w:firstLine="2249" w:firstLineChars="700"/>
        <w:rPr>
          <w:rFonts w:ascii="宋体" w:hAnsi="宋体" w:cs="宋体"/>
          <w:b/>
          <w:sz w:val="32"/>
          <w:szCs w:val="32"/>
          <w:highlight w:val="none"/>
        </w:rPr>
      </w:pPr>
    </w:p>
    <w:p>
      <w:pPr>
        <w:spacing w:line="800" w:lineRule="exact"/>
        <w:ind w:firstLine="2249" w:firstLineChars="700"/>
        <w:rPr>
          <w:rFonts w:ascii="宋体" w:hAnsi="宋体" w:cs="宋体"/>
          <w:b/>
          <w:sz w:val="32"/>
          <w:szCs w:val="32"/>
          <w:highlight w:val="none"/>
        </w:rPr>
      </w:pPr>
    </w:p>
    <w:p>
      <w:pPr>
        <w:numPr>
          <w:ilvl w:val="0"/>
          <w:numId w:val="1"/>
        </w:numPr>
        <w:jc w:val="center"/>
        <w:rPr>
          <w:rFonts w:hint="eastAsia" w:ascii="宋体" w:hAnsi="宋体" w:cs="宋体"/>
          <w:b/>
          <w:sz w:val="32"/>
          <w:szCs w:val="32"/>
          <w:highlight w:val="none"/>
        </w:rPr>
      </w:pPr>
      <w:r>
        <w:rPr>
          <w:rFonts w:hint="eastAsia" w:ascii="仿宋_GB2312" w:eastAsia="仿宋_GB2312"/>
          <w:b/>
          <w:sz w:val="32"/>
          <w:szCs w:val="32"/>
          <w:highlight w:val="none"/>
        </w:rPr>
        <w:br w:type="page"/>
      </w:r>
      <w:r>
        <w:rPr>
          <w:rFonts w:hint="eastAsia" w:ascii="宋体" w:hAnsi="宋体" w:cs="宋体"/>
          <w:b/>
          <w:sz w:val="32"/>
          <w:szCs w:val="32"/>
          <w:highlight w:val="none"/>
        </w:rPr>
        <w:t xml:space="preserve">   竞争性磋商邀请函</w:t>
      </w:r>
    </w:p>
    <w:p>
      <w:pPr>
        <w:spacing w:line="360" w:lineRule="auto"/>
        <w:ind w:firstLine="480" w:firstLineChars="200"/>
        <w:jc w:val="left"/>
        <w:rPr>
          <w:rFonts w:ascii="宋体" w:hAnsi="宋体" w:cs="宋体"/>
          <w:sz w:val="24"/>
        </w:rPr>
      </w:pPr>
      <w:r>
        <w:rPr>
          <w:rFonts w:hint="eastAsia" w:ascii="宋体" w:hAnsi="宋体" w:cs="宋体"/>
          <w:sz w:val="24"/>
        </w:rPr>
        <w:t>项目概况</w:t>
      </w:r>
    </w:p>
    <w:p>
      <w:pPr>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none"/>
        </w:rPr>
        <w:t xml:space="preserve">西华县中医院信息化系统硬件设备升级项目 (项目名称) 项目的潜在投标人应在周口市公共资源交易中心网（http://jyzx.zhoukou.gov.cn）获取招标文件，并于    </w:t>
      </w:r>
      <w:r>
        <w:rPr>
          <w:rFonts w:hint="eastAsia" w:asciiTheme="minorEastAsia" w:hAnsiTheme="minorEastAsia" w:eastAsiaTheme="minorEastAsia" w:cstheme="minorEastAsia"/>
          <w:sz w:val="24"/>
          <w:highlight w:val="none"/>
          <w:lang w:val="en-US" w:eastAsia="zh-CN"/>
        </w:rPr>
        <w:t>202</w:t>
      </w:r>
      <w:bookmarkStart w:id="38" w:name="_GoBack"/>
      <w:bookmarkEnd w:id="38"/>
      <w:r>
        <w:rPr>
          <w:rFonts w:hint="eastAsia" w:asciiTheme="minorEastAsia" w:hAnsiTheme="minorEastAsia" w:eastAsiaTheme="minorEastAsia" w:cstheme="minorEastAsia"/>
          <w:sz w:val="24"/>
          <w:highlight w:val="none"/>
          <w:lang w:val="en-US" w:eastAsia="zh-CN"/>
        </w:rPr>
        <w:t>4年6月19日10</w:t>
      </w:r>
      <w:r>
        <w:rPr>
          <w:rFonts w:hint="eastAsia" w:asciiTheme="minorEastAsia" w:hAnsiTheme="minorEastAsia" w:eastAsiaTheme="minorEastAsia" w:cstheme="minorEastAsia"/>
          <w:sz w:val="24"/>
          <w:highlight w:val="none"/>
        </w:rPr>
        <w:t>点</w:t>
      </w:r>
      <w:r>
        <w:rPr>
          <w:rFonts w:hint="eastAsia" w:asciiTheme="minorEastAsia" w:hAnsiTheme="minorEastAsia" w:eastAsiaTheme="minorEastAsia" w:cstheme="minorEastAsia"/>
          <w:sz w:val="24"/>
          <w:highlight w:val="none"/>
          <w:lang w:val="en-US" w:eastAsia="zh-CN"/>
        </w:rPr>
        <w:t>00</w:t>
      </w:r>
      <w:r>
        <w:rPr>
          <w:rFonts w:hint="eastAsia" w:asciiTheme="minorEastAsia" w:hAnsiTheme="minorEastAsia" w:eastAsiaTheme="minorEastAsia" w:cstheme="minorEastAsia"/>
          <w:sz w:val="24"/>
          <w:highlight w:val="none"/>
        </w:rPr>
        <w:t>分（北京时间）前递交</w:t>
      </w:r>
      <w:r>
        <w:rPr>
          <w:rFonts w:hint="eastAsia" w:ascii="宋体" w:hAnsi="宋体" w:cs="宋体"/>
          <w:sz w:val="24"/>
        </w:rPr>
        <w:t>投标文件。</w:t>
      </w:r>
    </w:p>
    <w:p>
      <w:pPr>
        <w:pStyle w:val="5"/>
        <w:numPr>
          <w:ilvl w:val="0"/>
          <w:numId w:val="0"/>
        </w:numPr>
        <w:jc w:val="both"/>
      </w:pPr>
    </w:p>
    <w:p>
      <w:pPr>
        <w:pStyle w:val="5"/>
        <w:keepNext w:val="0"/>
        <w:keepLines w:val="0"/>
        <w:pageBreakBefore w:val="0"/>
        <w:kinsoku/>
        <w:wordWrap/>
        <w:overflowPunct/>
        <w:topLinePunct w:val="0"/>
        <w:autoSpaceDE w:val="0"/>
        <w:autoSpaceDN w:val="0"/>
        <w:bidi w:val="0"/>
        <w:spacing w:line="336" w:lineRule="auto"/>
        <w:jc w:val="left"/>
        <w:textAlignment w:val="auto"/>
        <w:rPr>
          <w:rFonts w:asciiTheme="minorEastAsia" w:hAnsiTheme="minorEastAsia" w:eastAsiaTheme="minorEastAsia" w:cstheme="minorEastAsia"/>
          <w:sz w:val="24"/>
          <w:highlight w:val="none"/>
        </w:rPr>
      </w:pPr>
      <w:bookmarkStart w:id="0" w:name="_Toc28359089"/>
      <w:bookmarkStart w:id="1" w:name="_Toc35393798"/>
      <w:bookmarkStart w:id="2" w:name="_Toc28359012"/>
      <w:bookmarkStart w:id="3" w:name="_Toc35393629"/>
      <w:r>
        <w:rPr>
          <w:rFonts w:hint="eastAsia" w:asciiTheme="minorEastAsia" w:hAnsiTheme="minorEastAsia" w:eastAsiaTheme="minorEastAsia" w:cstheme="minorEastAsia"/>
          <w:sz w:val="24"/>
          <w:highlight w:val="none"/>
        </w:rPr>
        <w:t>一、项目基本情况</w:t>
      </w:r>
      <w:bookmarkEnd w:id="0"/>
      <w:bookmarkEnd w:id="1"/>
      <w:bookmarkEnd w:id="2"/>
      <w:bookmarkEnd w:id="3"/>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项目编号：西华磋商采购-2024-21</w:t>
      </w:r>
      <w:r>
        <w:rPr>
          <w:rFonts w:hint="eastAsia" w:asciiTheme="minorEastAsia" w:hAnsiTheme="minorEastAsia" w:eastAsiaTheme="minorEastAsia" w:cstheme="minorEastAsia"/>
          <w:sz w:val="24"/>
          <w:highlight w:val="none"/>
          <w:lang w:val="en-US" w:eastAsia="zh-CN"/>
        </w:rPr>
        <w:t xml:space="preserve"> </w:t>
      </w:r>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hint="eastAsia" w:asciiTheme="minorEastAsia" w:hAnsiTheme="minorEastAsia" w:eastAsiaTheme="minorEastAsia" w:cstheme="minorEastAsia"/>
          <w:sz w:val="24"/>
          <w:highlight w:val="none"/>
          <w:u w:val="single"/>
          <w:lang w:eastAsia="zh-CN"/>
        </w:rPr>
      </w:pPr>
      <w:r>
        <w:rPr>
          <w:rFonts w:hint="eastAsia" w:asciiTheme="minorEastAsia" w:hAnsiTheme="minorEastAsia" w:eastAsiaTheme="minorEastAsia" w:cstheme="minorEastAsia"/>
          <w:sz w:val="24"/>
          <w:highlight w:val="none"/>
        </w:rPr>
        <w:t>项目名称：</w:t>
      </w:r>
      <w:r>
        <w:rPr>
          <w:rFonts w:hint="eastAsia" w:asciiTheme="minorEastAsia" w:hAnsiTheme="minorEastAsia" w:eastAsiaTheme="minorEastAsia" w:cstheme="minorEastAsia"/>
          <w:sz w:val="24"/>
          <w:highlight w:val="none"/>
          <w:lang w:eastAsia="zh-CN"/>
        </w:rPr>
        <w:t>西华县中医院信息化系统硬件设备升级项目</w:t>
      </w:r>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采购方式：竞争性磋商</w:t>
      </w:r>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预算金额：</w:t>
      </w:r>
      <w:r>
        <w:rPr>
          <w:rFonts w:hint="eastAsia" w:asciiTheme="minorEastAsia" w:hAnsiTheme="minorEastAsia" w:eastAsiaTheme="minorEastAsia" w:cstheme="minorEastAsia"/>
          <w:sz w:val="24"/>
          <w:highlight w:val="none"/>
          <w:lang w:val="en-US" w:eastAsia="zh-CN"/>
        </w:rPr>
        <w:t>134万元</w:t>
      </w:r>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最高限价：</w:t>
      </w:r>
      <w:r>
        <w:rPr>
          <w:rFonts w:hint="eastAsia" w:asciiTheme="minorEastAsia" w:hAnsiTheme="minorEastAsia" w:eastAsiaTheme="minorEastAsia" w:cstheme="minorEastAsia"/>
          <w:sz w:val="24"/>
          <w:highlight w:val="none"/>
          <w:lang w:val="en-US" w:eastAsia="zh-CN"/>
        </w:rPr>
        <w:t>134万元</w:t>
      </w:r>
    </w:p>
    <w:p>
      <w:pPr>
        <w:pStyle w:val="26"/>
        <w:keepNext w:val="0"/>
        <w:keepLines w:val="0"/>
        <w:pageBreakBefore w:val="0"/>
        <w:kinsoku/>
        <w:wordWrap/>
        <w:overflowPunct/>
        <w:topLinePunct w:val="0"/>
        <w:bidi w:val="0"/>
        <w:snapToGrid w:val="0"/>
        <w:spacing w:before="0" w:beforeAutospacing="0" w:after="0" w:afterAutospacing="0" w:line="336" w:lineRule="auto"/>
        <w:ind w:firstLine="480"/>
        <w:jc w:val="both"/>
        <w:textAlignment w:val="auto"/>
        <w:rPr>
          <w:rFonts w:cs="宋体"/>
          <w:color w:val="000000"/>
          <w:highlight w:val="none"/>
        </w:rPr>
      </w:pPr>
      <w:r>
        <w:rPr>
          <w:rFonts w:hint="eastAsia" w:cs="宋体"/>
          <w:color w:val="000000"/>
          <w:highlight w:val="none"/>
        </w:rPr>
        <w:t>包划分：</w:t>
      </w:r>
      <w:r>
        <w:rPr>
          <w:rFonts w:hint="eastAsia" w:cs="宋体"/>
          <w:color w:val="000000"/>
          <w:highlight w:val="none"/>
          <w:lang w:val="en-US" w:eastAsia="zh-CN"/>
        </w:rPr>
        <w:t>1</w:t>
      </w:r>
      <w:r>
        <w:rPr>
          <w:rFonts w:hint="eastAsia" w:cs="宋体"/>
          <w:color w:val="000000"/>
          <w:highlight w:val="none"/>
        </w:rPr>
        <w:t>个包</w:t>
      </w:r>
    </w:p>
    <w:tbl>
      <w:tblPr>
        <w:tblStyle w:val="30"/>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745"/>
        <w:gridCol w:w="2025"/>
        <w:gridCol w:w="1518"/>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pStyle w:val="26"/>
              <w:keepNext w:val="0"/>
              <w:keepLines w:val="0"/>
              <w:pageBreakBefore w:val="0"/>
              <w:shd w:val="clear" w:color="auto" w:fill="FFFFFF"/>
              <w:kinsoku/>
              <w:wordWrap/>
              <w:overflowPunct/>
              <w:topLinePunct w:val="0"/>
              <w:bidi w:val="0"/>
              <w:adjustRightInd w:val="0"/>
              <w:snapToGrid w:val="0"/>
              <w:spacing w:before="0" w:beforeAutospacing="0" w:after="0" w:afterAutospacing="0" w:line="240" w:lineRule="auto"/>
              <w:jc w:val="center"/>
              <w:textAlignment w:val="auto"/>
              <w:rPr>
                <w:highlight w:val="none"/>
              </w:rPr>
            </w:pPr>
            <w:r>
              <w:rPr>
                <w:rFonts w:hint="eastAsia" w:cs="宋体" w:asciiTheme="minorEastAsia" w:hAnsiTheme="minorEastAsia" w:eastAsiaTheme="minorEastAsia"/>
                <w:kern w:val="2"/>
                <w:szCs w:val="24"/>
                <w:highlight w:val="none"/>
              </w:rPr>
              <w:t>包号</w:t>
            </w:r>
          </w:p>
        </w:tc>
        <w:tc>
          <w:tcPr>
            <w:tcW w:w="2745" w:type="dxa"/>
            <w:vAlign w:val="center"/>
          </w:tcPr>
          <w:p>
            <w:pPr>
              <w:pStyle w:val="26"/>
              <w:keepNext w:val="0"/>
              <w:keepLines w:val="0"/>
              <w:pageBreakBefore w:val="0"/>
              <w:shd w:val="clear" w:color="auto" w:fill="FFFFFF"/>
              <w:kinsoku/>
              <w:wordWrap/>
              <w:overflowPunct/>
              <w:topLinePunct w:val="0"/>
              <w:bidi w:val="0"/>
              <w:adjustRightInd w:val="0"/>
              <w:snapToGrid w:val="0"/>
              <w:spacing w:before="0" w:beforeAutospacing="0" w:after="0" w:afterAutospacing="0" w:line="240" w:lineRule="auto"/>
              <w:jc w:val="center"/>
              <w:textAlignment w:val="auto"/>
              <w:rPr>
                <w:highlight w:val="none"/>
              </w:rPr>
            </w:pPr>
            <w:r>
              <w:rPr>
                <w:rFonts w:hint="eastAsia" w:cs="宋体" w:asciiTheme="minorEastAsia" w:hAnsiTheme="minorEastAsia" w:eastAsiaTheme="minorEastAsia"/>
                <w:kern w:val="2"/>
                <w:szCs w:val="24"/>
                <w:highlight w:val="none"/>
              </w:rPr>
              <w:t>包名称</w:t>
            </w:r>
          </w:p>
        </w:tc>
        <w:tc>
          <w:tcPr>
            <w:tcW w:w="2025" w:type="dxa"/>
            <w:vAlign w:val="center"/>
          </w:tcPr>
          <w:p>
            <w:pPr>
              <w:pStyle w:val="26"/>
              <w:keepNext w:val="0"/>
              <w:keepLines w:val="0"/>
              <w:pageBreakBefore w:val="0"/>
              <w:shd w:val="clear" w:color="auto" w:fill="FFFFFF"/>
              <w:kinsoku/>
              <w:wordWrap/>
              <w:overflowPunct/>
              <w:topLinePunct w:val="0"/>
              <w:bidi w:val="0"/>
              <w:adjustRightInd w:val="0"/>
              <w:snapToGrid w:val="0"/>
              <w:spacing w:before="0" w:beforeAutospacing="0" w:after="0" w:afterAutospacing="0" w:line="240" w:lineRule="auto"/>
              <w:jc w:val="center"/>
              <w:textAlignment w:val="auto"/>
              <w:rPr>
                <w:highlight w:val="none"/>
              </w:rPr>
            </w:pPr>
            <w:r>
              <w:rPr>
                <w:rFonts w:hint="eastAsia" w:cs="宋体" w:asciiTheme="minorEastAsia" w:hAnsiTheme="minorEastAsia" w:eastAsiaTheme="minorEastAsia"/>
                <w:kern w:val="2"/>
                <w:szCs w:val="24"/>
                <w:highlight w:val="none"/>
              </w:rPr>
              <w:t>包最高限价万元</w:t>
            </w:r>
          </w:p>
        </w:tc>
        <w:tc>
          <w:tcPr>
            <w:tcW w:w="1518" w:type="dxa"/>
            <w:vAlign w:val="center"/>
          </w:tcPr>
          <w:p>
            <w:pPr>
              <w:pStyle w:val="26"/>
              <w:keepNext w:val="0"/>
              <w:keepLines w:val="0"/>
              <w:pageBreakBefore w:val="0"/>
              <w:shd w:val="clear" w:color="auto" w:fill="FFFFFF"/>
              <w:kinsoku/>
              <w:wordWrap/>
              <w:overflowPunct/>
              <w:topLinePunct w:val="0"/>
              <w:bidi w:val="0"/>
              <w:adjustRightInd w:val="0"/>
              <w:snapToGrid w:val="0"/>
              <w:spacing w:before="0" w:beforeAutospacing="0" w:after="0" w:afterAutospacing="0" w:line="240" w:lineRule="auto"/>
              <w:jc w:val="center"/>
              <w:textAlignment w:val="auto"/>
              <w:rPr>
                <w:rFonts w:hint="eastAsia" w:cs="宋体" w:asciiTheme="minorEastAsia" w:hAnsiTheme="minorEastAsia" w:eastAsiaTheme="minorEastAsia"/>
                <w:kern w:val="2"/>
                <w:szCs w:val="24"/>
                <w:highlight w:val="none"/>
              </w:rPr>
            </w:pPr>
            <w:r>
              <w:rPr>
                <w:rFonts w:hint="eastAsia" w:cs="宋体"/>
                <w:color w:val="auto"/>
                <w:kern w:val="2"/>
                <w:szCs w:val="24"/>
                <w:highlight w:val="none"/>
              </w:rPr>
              <w:t>是否专门面向中小企</w:t>
            </w:r>
          </w:p>
        </w:tc>
        <w:tc>
          <w:tcPr>
            <w:tcW w:w="1484" w:type="dxa"/>
            <w:vAlign w:val="center"/>
          </w:tcPr>
          <w:p>
            <w:pPr>
              <w:pStyle w:val="26"/>
              <w:keepNext w:val="0"/>
              <w:keepLines w:val="0"/>
              <w:pageBreakBefore w:val="0"/>
              <w:shd w:val="clear" w:color="auto" w:fill="FFFFFF"/>
              <w:kinsoku/>
              <w:wordWrap/>
              <w:overflowPunct/>
              <w:topLinePunct w:val="0"/>
              <w:bidi w:val="0"/>
              <w:adjustRightInd w:val="0"/>
              <w:snapToGrid w:val="0"/>
              <w:spacing w:before="0" w:beforeAutospacing="0" w:after="0" w:afterAutospacing="0" w:line="240" w:lineRule="auto"/>
              <w:jc w:val="center"/>
              <w:textAlignment w:val="auto"/>
              <w:rPr>
                <w:rFonts w:hint="eastAsia" w:cs="宋体" w:asciiTheme="minorEastAsia" w:hAnsiTheme="minorEastAsia" w:eastAsiaTheme="minorEastAsia"/>
                <w:kern w:val="2"/>
                <w:szCs w:val="24"/>
                <w:highlight w:val="none"/>
              </w:rPr>
            </w:pPr>
            <w:r>
              <w:rPr>
                <w:rFonts w:hint="eastAsia" w:cs="宋体"/>
                <w:color w:val="auto"/>
                <w:kern w:val="2"/>
                <w:szCs w:val="24"/>
                <w:highlight w:val="none"/>
              </w:rPr>
              <w:t>采购预留金额（</w:t>
            </w:r>
            <w:r>
              <w:rPr>
                <w:rFonts w:hint="eastAsia" w:cs="宋体"/>
                <w:color w:val="auto"/>
                <w:kern w:val="2"/>
                <w:szCs w:val="24"/>
                <w:highlight w:val="none"/>
                <w:lang w:val="en-US" w:eastAsia="zh-CN"/>
              </w:rPr>
              <w:t>万元</w:t>
            </w:r>
            <w:r>
              <w:rPr>
                <w:rFonts w:hint="eastAsia" w:cs="宋体"/>
                <w:color w:val="auto"/>
                <w:kern w:val="2"/>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930" w:type="dxa"/>
            <w:vAlign w:val="center"/>
          </w:tcPr>
          <w:p>
            <w:pPr>
              <w:pStyle w:val="26"/>
              <w:keepNext w:val="0"/>
              <w:keepLines w:val="0"/>
              <w:pageBreakBefore w:val="0"/>
              <w:shd w:val="clear" w:color="auto" w:fill="FFFFFF"/>
              <w:kinsoku/>
              <w:wordWrap/>
              <w:overflowPunct/>
              <w:topLinePunct w:val="0"/>
              <w:bidi w:val="0"/>
              <w:adjustRightInd w:val="0"/>
              <w:snapToGrid w:val="0"/>
              <w:spacing w:before="0" w:beforeAutospacing="0" w:after="0" w:afterAutospacing="0" w:line="240" w:lineRule="auto"/>
              <w:jc w:val="center"/>
              <w:textAlignment w:val="auto"/>
              <w:rPr>
                <w:highlight w:val="none"/>
              </w:rPr>
            </w:pPr>
            <w:r>
              <w:rPr>
                <w:rFonts w:hint="eastAsia" w:cs="宋体" w:asciiTheme="minorEastAsia" w:hAnsiTheme="minorEastAsia" w:eastAsiaTheme="minorEastAsia"/>
                <w:kern w:val="2"/>
                <w:szCs w:val="24"/>
                <w:highlight w:val="none"/>
              </w:rPr>
              <w:t>1</w:t>
            </w:r>
          </w:p>
        </w:tc>
        <w:tc>
          <w:tcPr>
            <w:tcW w:w="2745" w:type="dxa"/>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eastAsia="宋体"/>
                <w:highlight w:val="none"/>
                <w:lang w:eastAsia="zh-CN"/>
              </w:rPr>
            </w:pPr>
            <w:r>
              <w:rPr>
                <w:rFonts w:hint="eastAsia" w:cs="宋体" w:asciiTheme="minorEastAsia" w:hAnsiTheme="minorEastAsia" w:eastAsiaTheme="minorEastAsia"/>
                <w:sz w:val="24"/>
                <w:highlight w:val="none"/>
                <w:lang w:eastAsia="zh-CN"/>
              </w:rPr>
              <w:t>西华县中医院信息化系统硬件设备升级项目</w:t>
            </w:r>
          </w:p>
        </w:tc>
        <w:tc>
          <w:tcPr>
            <w:tcW w:w="2025" w:type="dxa"/>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eastAsia="宋体"/>
                <w:highlight w:val="none"/>
                <w:lang w:val="en-US" w:eastAsia="zh-CN"/>
              </w:rPr>
            </w:pPr>
            <w:r>
              <w:rPr>
                <w:rFonts w:hint="eastAsia" w:cs="宋体" w:asciiTheme="minorEastAsia" w:hAnsiTheme="minorEastAsia" w:eastAsiaTheme="minorEastAsia"/>
                <w:sz w:val="24"/>
                <w:highlight w:val="none"/>
                <w:lang w:val="en-US" w:eastAsia="zh-CN"/>
              </w:rPr>
              <w:t>134</w:t>
            </w:r>
          </w:p>
        </w:tc>
        <w:tc>
          <w:tcPr>
            <w:tcW w:w="1518" w:type="dxa"/>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是</w:t>
            </w:r>
          </w:p>
        </w:tc>
        <w:tc>
          <w:tcPr>
            <w:tcW w:w="1484" w:type="dxa"/>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lang w:val="en-US" w:eastAsia="zh-CN"/>
              </w:rPr>
              <w:t>134</w:t>
            </w:r>
          </w:p>
        </w:tc>
      </w:tr>
    </w:tbl>
    <w:p>
      <w:pPr>
        <w:keepNext w:val="0"/>
        <w:keepLines w:val="0"/>
        <w:pageBreakBefore w:val="0"/>
        <w:kinsoku/>
        <w:wordWrap/>
        <w:overflowPunct/>
        <w:topLinePunct w:val="0"/>
        <w:autoSpaceDE w:val="0"/>
        <w:autoSpaceDN w:val="0"/>
        <w:bidi w:val="0"/>
        <w:spacing w:line="336" w:lineRule="auto"/>
        <w:ind w:firstLine="480" w:firstLineChars="200"/>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采购需求：</w:t>
      </w:r>
      <w:r>
        <w:rPr>
          <w:rFonts w:hint="eastAsia" w:asciiTheme="minorEastAsia" w:hAnsiTheme="minorEastAsia" w:eastAsiaTheme="minorEastAsia" w:cstheme="minorEastAsia"/>
          <w:sz w:val="24"/>
          <w:highlight w:val="none"/>
          <w:lang w:val="en-US" w:eastAsia="zh-CN"/>
        </w:rPr>
        <w:t>详见磋商文件</w:t>
      </w:r>
      <w:r>
        <w:rPr>
          <w:rFonts w:hint="eastAsia" w:asciiTheme="minorEastAsia" w:hAnsiTheme="minorEastAsia" w:eastAsiaTheme="minorEastAsia" w:cstheme="minorEastAsia"/>
          <w:sz w:val="24"/>
          <w:highlight w:val="none"/>
        </w:rPr>
        <w:t>（包括但不限于标的的名称、数量、简要技术需求或服务要求等）</w:t>
      </w:r>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合同履行期限：</w:t>
      </w:r>
      <w:r>
        <w:rPr>
          <w:rFonts w:hint="eastAsia" w:asciiTheme="minorEastAsia" w:hAnsiTheme="minorEastAsia" w:eastAsiaTheme="minorEastAsia" w:cstheme="minorEastAsia"/>
          <w:sz w:val="24"/>
          <w:highlight w:val="none"/>
          <w:lang w:val="en-US" w:eastAsia="zh-CN"/>
        </w:rPr>
        <w:t>45日历天</w:t>
      </w:r>
    </w:p>
    <w:p>
      <w:pPr>
        <w:keepNext w:val="0"/>
        <w:keepLines w:val="0"/>
        <w:pageBreakBefore w:val="0"/>
        <w:kinsoku/>
        <w:wordWrap/>
        <w:overflowPunct/>
        <w:topLinePunct w:val="0"/>
        <w:bidi w:val="0"/>
        <w:spacing w:line="336" w:lineRule="auto"/>
        <w:ind w:firstLine="480" w:firstLineChars="200"/>
        <w:jc w:val="left"/>
        <w:textAlignment w:val="auto"/>
        <w:rPr>
          <w:rFonts w:ascii="宋体" w:hAnsi="宋体" w:cs="宋体"/>
          <w:sz w:val="24"/>
          <w:highlight w:val="none"/>
        </w:rPr>
      </w:pPr>
      <w:bookmarkStart w:id="4" w:name="_Toc28359013"/>
      <w:bookmarkStart w:id="5" w:name="_Toc35393799"/>
      <w:bookmarkStart w:id="6" w:name="_Toc35393630"/>
      <w:bookmarkStart w:id="7" w:name="_Toc28359090"/>
      <w:r>
        <w:rPr>
          <w:rFonts w:hint="eastAsia" w:ascii="宋体" w:hAnsi="宋体" w:cs="宋体"/>
          <w:sz w:val="24"/>
          <w:highlight w:val="none"/>
        </w:rPr>
        <w:t>是否接受进口产品：否</w:t>
      </w:r>
    </w:p>
    <w:p>
      <w:pPr>
        <w:keepNext w:val="0"/>
        <w:keepLines w:val="0"/>
        <w:pageBreakBefore w:val="0"/>
        <w:kinsoku/>
        <w:wordWrap/>
        <w:overflowPunct/>
        <w:topLinePunct w:val="0"/>
        <w:bidi w:val="0"/>
        <w:spacing w:line="336"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本项目是否接受联合体投标：否</w:t>
      </w:r>
    </w:p>
    <w:p>
      <w:pPr>
        <w:keepNext w:val="0"/>
        <w:keepLines w:val="0"/>
        <w:pageBreakBefore w:val="0"/>
        <w:kinsoku/>
        <w:wordWrap/>
        <w:overflowPunct/>
        <w:topLinePunct w:val="0"/>
        <w:bidi w:val="0"/>
        <w:spacing w:line="336"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本项目是否为只面向中小企业采购：是，采购预留金额（</w:t>
      </w:r>
      <w:r>
        <w:rPr>
          <w:rFonts w:hint="eastAsia" w:ascii="宋体" w:hAnsi="宋体" w:cs="宋体"/>
          <w:sz w:val="24"/>
          <w:highlight w:val="none"/>
          <w:lang w:val="en-US" w:eastAsia="zh-CN"/>
        </w:rPr>
        <w:t>134</w:t>
      </w:r>
      <w:r>
        <w:rPr>
          <w:rFonts w:hint="eastAsia" w:ascii="宋体" w:hAnsi="宋体" w:cs="宋体"/>
          <w:sz w:val="24"/>
          <w:highlight w:val="none"/>
        </w:rPr>
        <w:t>万元）</w:t>
      </w:r>
      <w:r>
        <w:rPr>
          <w:rFonts w:hint="eastAsia" w:ascii="宋体" w:hAnsi="宋体" w:cs="宋体"/>
          <w:sz w:val="24"/>
          <w:highlight w:val="none"/>
          <w:lang w:eastAsia="zh-CN"/>
        </w:rPr>
        <w:t>，</w:t>
      </w:r>
      <w:r>
        <w:rPr>
          <w:rFonts w:hint="eastAsia" w:ascii="宋体" w:hAnsi="宋体" w:cs="宋体"/>
          <w:sz w:val="24"/>
          <w:highlight w:val="none"/>
        </w:rPr>
        <w:t>必须提供中小企业声明函。(友情提醒：此处必须和省政府采购网上申报填写一致)。</w:t>
      </w:r>
    </w:p>
    <w:p>
      <w:pPr>
        <w:pStyle w:val="5"/>
        <w:keepNext w:val="0"/>
        <w:keepLines w:val="0"/>
        <w:pageBreakBefore w:val="0"/>
        <w:kinsoku/>
        <w:wordWrap/>
        <w:overflowPunct/>
        <w:topLinePunct w:val="0"/>
        <w:autoSpaceDE w:val="0"/>
        <w:autoSpaceDN w:val="0"/>
        <w:bidi w:val="0"/>
        <w:spacing w:line="336" w:lineRule="auto"/>
        <w:jc w:val="left"/>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二、申请人的资格要求：</w:t>
      </w:r>
      <w:bookmarkEnd w:id="4"/>
      <w:bookmarkEnd w:id="5"/>
      <w:bookmarkEnd w:id="6"/>
      <w:bookmarkEnd w:id="7"/>
    </w:p>
    <w:p>
      <w:pPr>
        <w:keepNext w:val="0"/>
        <w:keepLines w:val="0"/>
        <w:pageBreakBefore w:val="0"/>
        <w:kinsoku/>
        <w:wordWrap/>
        <w:overflowPunct/>
        <w:topLinePunct w:val="0"/>
        <w:autoSpaceDE w:val="0"/>
        <w:autoSpaceDN w:val="0"/>
        <w:bidi w:val="0"/>
        <w:spacing w:line="336" w:lineRule="auto"/>
        <w:ind w:firstLine="540"/>
        <w:textAlignment w:val="auto"/>
        <w:rPr>
          <w:rFonts w:ascii="宋体" w:hAnsi="宋体" w:cs="宋体"/>
          <w:color w:val="auto"/>
          <w:sz w:val="24"/>
          <w:highlight w:val="none"/>
        </w:rPr>
      </w:pPr>
      <w:bookmarkStart w:id="8" w:name="_Toc28359014"/>
      <w:bookmarkStart w:id="9" w:name="_Toc28359091"/>
      <w:r>
        <w:rPr>
          <w:rFonts w:hint="eastAsia" w:ascii="宋体" w:hAnsi="宋体" w:cs="宋体"/>
          <w:color w:val="auto"/>
          <w:sz w:val="24"/>
          <w:highlight w:val="none"/>
        </w:rPr>
        <w:t>1.满足《中华人民共和国政府采购法》第二十二条规定；</w:t>
      </w:r>
    </w:p>
    <w:p>
      <w:pPr>
        <w:keepNext w:val="0"/>
        <w:keepLines w:val="0"/>
        <w:pageBreakBefore w:val="0"/>
        <w:kinsoku/>
        <w:wordWrap/>
        <w:overflowPunct/>
        <w:topLinePunct w:val="0"/>
        <w:bidi w:val="0"/>
        <w:adjustRightInd w:val="0"/>
        <w:snapToGrid w:val="0"/>
        <w:spacing w:line="336" w:lineRule="auto"/>
        <w:ind w:firstLine="480" w:firstLineChars="200"/>
        <w:textAlignment w:val="auto"/>
        <w:rPr>
          <w:color w:val="auto"/>
          <w:sz w:val="24"/>
          <w:highlight w:val="none"/>
        </w:rPr>
      </w:pPr>
      <w:r>
        <w:rPr>
          <w:rFonts w:hint="eastAsia"/>
          <w:color w:val="auto"/>
          <w:sz w:val="24"/>
          <w:highlight w:val="none"/>
        </w:rPr>
        <w:t xml:space="preserve">（1）具有独立承担民事责任的能力； </w:t>
      </w:r>
    </w:p>
    <w:p>
      <w:pPr>
        <w:keepNext w:val="0"/>
        <w:keepLines w:val="0"/>
        <w:pageBreakBefore w:val="0"/>
        <w:kinsoku/>
        <w:wordWrap/>
        <w:overflowPunct/>
        <w:topLinePunct w:val="0"/>
        <w:bidi w:val="0"/>
        <w:adjustRightInd w:val="0"/>
        <w:snapToGrid w:val="0"/>
        <w:spacing w:line="336" w:lineRule="auto"/>
        <w:ind w:firstLine="480" w:firstLineChars="200"/>
        <w:textAlignment w:val="auto"/>
        <w:rPr>
          <w:color w:val="auto"/>
          <w:sz w:val="24"/>
          <w:highlight w:val="none"/>
        </w:rPr>
      </w:pPr>
      <w:r>
        <w:rPr>
          <w:rFonts w:hint="eastAsia"/>
          <w:color w:val="auto"/>
          <w:sz w:val="24"/>
          <w:highlight w:val="none"/>
        </w:rPr>
        <w:t>（2）具有良好的商业信誉和健全的财务会计制度；（提供近三年内任意一年的财务审计报告或银行出具的资信证明，新成立公司以公司成立起点年度为准）</w:t>
      </w:r>
    </w:p>
    <w:p>
      <w:pPr>
        <w:keepNext w:val="0"/>
        <w:keepLines w:val="0"/>
        <w:pageBreakBefore w:val="0"/>
        <w:kinsoku/>
        <w:wordWrap/>
        <w:overflowPunct/>
        <w:topLinePunct w:val="0"/>
        <w:bidi w:val="0"/>
        <w:adjustRightInd w:val="0"/>
        <w:snapToGrid w:val="0"/>
        <w:spacing w:line="336" w:lineRule="auto"/>
        <w:ind w:firstLine="480" w:firstLineChars="200"/>
        <w:textAlignment w:val="auto"/>
        <w:rPr>
          <w:color w:val="auto"/>
          <w:sz w:val="24"/>
          <w:highlight w:val="none"/>
        </w:rPr>
      </w:pPr>
      <w:r>
        <w:rPr>
          <w:rFonts w:hint="eastAsia"/>
          <w:color w:val="auto"/>
          <w:sz w:val="24"/>
          <w:highlight w:val="none"/>
        </w:rPr>
        <w:t>（3）具有履行合同所必需的设备和专业技术能力；（提供书面声明函，格式自拟）</w:t>
      </w:r>
    </w:p>
    <w:p>
      <w:pPr>
        <w:keepNext w:val="0"/>
        <w:keepLines w:val="0"/>
        <w:pageBreakBefore w:val="0"/>
        <w:kinsoku/>
        <w:wordWrap/>
        <w:overflowPunct/>
        <w:topLinePunct w:val="0"/>
        <w:bidi w:val="0"/>
        <w:adjustRightInd w:val="0"/>
        <w:snapToGrid w:val="0"/>
        <w:spacing w:line="336" w:lineRule="auto"/>
        <w:ind w:firstLine="480" w:firstLineChars="200"/>
        <w:textAlignment w:val="auto"/>
        <w:rPr>
          <w:color w:val="auto"/>
          <w:sz w:val="24"/>
          <w:highlight w:val="none"/>
        </w:rPr>
      </w:pPr>
      <w:r>
        <w:rPr>
          <w:rFonts w:hint="eastAsia"/>
          <w:color w:val="auto"/>
          <w:sz w:val="24"/>
          <w:highlight w:val="none"/>
        </w:rPr>
        <w:t>（4）有依法缴纳税收和社会保障资金的良好记录； （■提供开标日期前六个月内任意一个月已依法缴纳税收的凭据；■提供开标日期前六个月内任意一个月已依法缴纳社会保险的凭据；依法免税或不需要缴纳社会保障资金的供应商，应提供相应证明文件）</w:t>
      </w:r>
    </w:p>
    <w:p>
      <w:pPr>
        <w:keepNext w:val="0"/>
        <w:keepLines w:val="0"/>
        <w:pageBreakBefore w:val="0"/>
        <w:kinsoku/>
        <w:wordWrap/>
        <w:overflowPunct/>
        <w:topLinePunct w:val="0"/>
        <w:bidi w:val="0"/>
        <w:adjustRightInd w:val="0"/>
        <w:snapToGrid w:val="0"/>
        <w:spacing w:line="336" w:lineRule="auto"/>
        <w:ind w:firstLine="480" w:firstLineChars="200"/>
        <w:textAlignment w:val="auto"/>
        <w:rPr>
          <w:color w:val="auto"/>
          <w:sz w:val="24"/>
          <w:highlight w:val="none"/>
        </w:rPr>
      </w:pPr>
      <w:r>
        <w:rPr>
          <w:rFonts w:hint="eastAsia"/>
          <w:color w:val="auto"/>
          <w:sz w:val="24"/>
          <w:highlight w:val="none"/>
        </w:rPr>
        <w:t>（5）参加政府采购活动前三年内，在经营活动中没有重大违法记录；（提供供应商书面声明）</w:t>
      </w:r>
    </w:p>
    <w:p>
      <w:pPr>
        <w:keepNext w:val="0"/>
        <w:keepLines w:val="0"/>
        <w:pageBreakBefore w:val="0"/>
        <w:kinsoku/>
        <w:wordWrap/>
        <w:overflowPunct/>
        <w:topLinePunct w:val="0"/>
        <w:bidi w:val="0"/>
        <w:adjustRightInd w:val="0"/>
        <w:snapToGrid w:val="0"/>
        <w:spacing w:line="336" w:lineRule="auto"/>
        <w:ind w:firstLine="480" w:firstLineChars="200"/>
        <w:textAlignment w:val="auto"/>
        <w:rPr>
          <w:color w:val="auto"/>
          <w:highlight w:val="none"/>
        </w:rPr>
      </w:pPr>
      <w:r>
        <w:rPr>
          <w:rFonts w:hint="eastAsia"/>
          <w:color w:val="auto"/>
          <w:sz w:val="24"/>
          <w:highlight w:val="none"/>
        </w:rPr>
        <w:t xml:space="preserve">（6）法律、行政法规规定的其他条件。 </w:t>
      </w:r>
    </w:p>
    <w:p>
      <w:pPr>
        <w:keepNext w:val="0"/>
        <w:keepLines w:val="0"/>
        <w:pageBreakBefore w:val="0"/>
        <w:kinsoku/>
        <w:wordWrap/>
        <w:overflowPunct/>
        <w:topLinePunct w:val="0"/>
        <w:autoSpaceDE w:val="0"/>
        <w:autoSpaceDN w:val="0"/>
        <w:bidi w:val="0"/>
        <w:spacing w:line="336" w:lineRule="auto"/>
        <w:ind w:firstLine="540"/>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kinsoku/>
        <w:wordWrap/>
        <w:overflowPunct/>
        <w:topLinePunct w:val="0"/>
        <w:bidi w:val="0"/>
        <w:spacing w:line="336" w:lineRule="auto"/>
        <w:ind w:firstLine="480" w:firstLineChars="200"/>
        <w:jc w:val="left"/>
        <w:textAlignment w:val="auto"/>
        <w:rPr>
          <w:rFonts w:ascii="宋体" w:hAnsi="宋体" w:cs="宋体"/>
          <w:sz w:val="24"/>
          <w:highlight w:val="none"/>
        </w:rPr>
      </w:pPr>
      <w:r>
        <w:rPr>
          <w:rFonts w:hint="eastAsia" w:asciiTheme="minorEastAsia" w:hAnsiTheme="minorEastAsia" w:eastAsiaTheme="minorEastAsia" w:cstheme="minorEastAsia"/>
          <w:sz w:val="24"/>
          <w:highlight w:val="none"/>
        </w:rPr>
        <w:t>3.本项目的特定资格要求：</w:t>
      </w:r>
      <w:r>
        <w:rPr>
          <w:rFonts w:hint="eastAsia" w:ascii="宋体" w:hAnsi="宋体" w:cs="宋体"/>
          <w:sz w:val="24"/>
          <w:highlight w:val="none"/>
        </w:rPr>
        <w:t>（1）根据《关于在政府采购活动中查询及使用信用记录有关问题的通知》(财库[2016]125号)和豫财购【2016】15号的规定，对列入“信用中国”网站（</w:t>
      </w:r>
      <w:r>
        <w:rPr>
          <w:rFonts w:hint="eastAsia" w:ascii="宋体" w:hAnsi="宋体" w:cs="宋体"/>
          <w:sz w:val="24"/>
          <w:highlight w:val="none"/>
        </w:rPr>
        <w:fldChar w:fldCharType="begin"/>
      </w:r>
      <w:r>
        <w:rPr>
          <w:rFonts w:hint="eastAsia" w:ascii="宋体" w:hAnsi="宋体" w:cs="宋体"/>
          <w:sz w:val="24"/>
          <w:highlight w:val="none"/>
        </w:rPr>
        <w:instrText xml:space="preserve">HYPERLINK "http://www.creditchina.gov.cn/"</w:instrText>
      </w:r>
      <w:r>
        <w:rPr>
          <w:rFonts w:hint="eastAsia" w:ascii="宋体" w:hAnsi="宋体" w:cs="宋体"/>
          <w:sz w:val="24"/>
          <w:highlight w:val="none"/>
        </w:rPr>
        <w:fldChar w:fldCharType="separate"/>
      </w:r>
      <w:r>
        <w:rPr>
          <w:rFonts w:hint="eastAsia" w:ascii="宋体" w:hAnsi="宋体" w:cs="宋体"/>
          <w:sz w:val="24"/>
          <w:highlight w:val="none"/>
        </w:rPr>
        <w:t>www.creditchina.gov.cn</w:t>
      </w:r>
      <w:r>
        <w:rPr>
          <w:rFonts w:hint="eastAsia" w:ascii="宋体" w:hAnsi="宋体" w:cs="宋体"/>
          <w:sz w:val="24"/>
          <w:highlight w:val="none"/>
        </w:rPr>
        <w:fldChar w:fldCharType="end"/>
      </w:r>
      <w:r>
        <w:rPr>
          <w:rFonts w:hint="eastAsia" w:ascii="宋体" w:hAnsi="宋体" w:cs="宋体"/>
          <w:sz w:val="24"/>
          <w:highlight w:val="none"/>
        </w:rPr>
        <w:t>）的“</w:t>
      </w:r>
      <w:r>
        <w:rPr>
          <w:rFonts w:hint="eastAsia" w:ascii="宋体" w:hAnsi="宋体" w:cs="宋体"/>
          <w:color w:val="000000"/>
          <w:sz w:val="24"/>
          <w:highlight w:val="none"/>
        </w:rPr>
        <w:t>重大税收违法失信主</w:t>
      </w:r>
      <w:r>
        <w:rPr>
          <w:rFonts w:hint="eastAsia" w:ascii="宋体" w:hAnsi="宋体" w:cs="宋体"/>
          <w:sz w:val="24"/>
          <w:highlight w:val="none"/>
        </w:rPr>
        <w:t>体”、“失信被执行人”和“中国政府采购”网站(</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sz w:val="24"/>
          <w:highlight w:val="none"/>
        </w:rPr>
        <w:t>www.ccgp.gov.cn</w:t>
      </w:r>
      <w:r>
        <w:rPr>
          <w:rFonts w:hint="eastAsia" w:ascii="宋体" w:hAnsi="宋体" w:cs="宋体"/>
          <w:sz w:val="24"/>
          <w:highlight w:val="none"/>
        </w:rPr>
        <w:fldChar w:fldCharType="end"/>
      </w:r>
      <w:r>
        <w:rPr>
          <w:rFonts w:hint="eastAsia" w:ascii="宋体" w:hAnsi="宋体" w:cs="宋体"/>
          <w:sz w:val="24"/>
          <w:highlight w:val="none"/>
        </w:rPr>
        <w:t>)的“政府采购严重违法失信行为记录名单”的供应商，将拒绝其参加政府采购活动；在标书中附加盖公章的网页查询扫描件，查询日期为公告发布之日起至投标截止之日止。</w:t>
      </w:r>
    </w:p>
    <w:p>
      <w:pPr>
        <w:pStyle w:val="5"/>
        <w:keepNext w:val="0"/>
        <w:keepLines w:val="0"/>
        <w:pageBreakBefore w:val="0"/>
        <w:kinsoku/>
        <w:wordWrap/>
        <w:overflowPunct/>
        <w:topLinePunct w:val="0"/>
        <w:autoSpaceDE w:val="0"/>
        <w:autoSpaceDN w:val="0"/>
        <w:bidi w:val="0"/>
        <w:spacing w:line="336" w:lineRule="auto"/>
        <w:jc w:val="left"/>
        <w:textAlignment w:val="auto"/>
        <w:rPr>
          <w:rFonts w:asciiTheme="minorEastAsia" w:hAnsiTheme="minorEastAsia" w:eastAsiaTheme="minorEastAsia" w:cstheme="minorEastAsia"/>
          <w:sz w:val="24"/>
          <w:highlight w:val="none"/>
        </w:rPr>
      </w:pPr>
      <w:bookmarkStart w:id="10" w:name="_Toc35393800"/>
      <w:bookmarkStart w:id="11" w:name="_Toc35393631"/>
      <w:r>
        <w:rPr>
          <w:rFonts w:hint="eastAsia" w:asciiTheme="minorEastAsia" w:hAnsiTheme="minorEastAsia" w:eastAsiaTheme="minorEastAsia" w:cstheme="minorEastAsia"/>
          <w:sz w:val="24"/>
          <w:highlight w:val="none"/>
        </w:rPr>
        <w:t>三、获取采购文件</w:t>
      </w:r>
      <w:bookmarkEnd w:id="8"/>
      <w:bookmarkEnd w:id="9"/>
      <w:bookmarkEnd w:id="10"/>
      <w:bookmarkEnd w:id="11"/>
    </w:p>
    <w:p>
      <w:pPr>
        <w:keepNext w:val="0"/>
        <w:keepLines w:val="0"/>
        <w:pageBreakBefore w:val="0"/>
        <w:kinsoku/>
        <w:wordWrap/>
        <w:overflowPunct/>
        <w:topLinePunct w:val="0"/>
        <w:autoSpaceDE w:val="0"/>
        <w:autoSpaceDN w:val="0"/>
        <w:bidi w:val="0"/>
        <w:spacing w:line="336" w:lineRule="auto"/>
        <w:ind w:firstLine="540"/>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时</w:t>
      </w:r>
      <w:r>
        <w:rPr>
          <w:rFonts w:hint="eastAsia" w:ascii="宋体" w:hAnsi="宋体" w:cs="宋体"/>
          <w:sz w:val="24"/>
          <w:highlight w:val="none"/>
        </w:rPr>
        <w:t>间：</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日至</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日（北京</w:t>
      </w:r>
      <w:r>
        <w:rPr>
          <w:rFonts w:hint="eastAsia" w:asciiTheme="minorEastAsia" w:hAnsiTheme="minorEastAsia" w:eastAsiaTheme="minorEastAsia" w:cstheme="minorEastAsia"/>
          <w:sz w:val="24"/>
          <w:highlight w:val="none"/>
        </w:rPr>
        <w:t>时间，法定节假日除外 ）</w:t>
      </w:r>
    </w:p>
    <w:p>
      <w:pPr>
        <w:keepNext w:val="0"/>
        <w:keepLines w:val="0"/>
        <w:pageBreakBefore w:val="0"/>
        <w:kinsoku/>
        <w:wordWrap/>
        <w:overflowPunct/>
        <w:topLinePunct w:val="0"/>
        <w:bidi w:val="0"/>
        <w:spacing w:line="336"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地点：周口市公共资源交易中心网（http://jyzx.zhoukou.gov.cn）</w:t>
      </w:r>
    </w:p>
    <w:p>
      <w:pPr>
        <w:keepNext w:val="0"/>
        <w:keepLines w:val="0"/>
        <w:pageBreakBefore w:val="0"/>
        <w:kinsoku/>
        <w:wordWrap/>
        <w:overflowPunct/>
        <w:topLinePunct w:val="0"/>
        <w:bidi w:val="0"/>
        <w:spacing w:line="336"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方式：供应商请在网站自主注册后下载采购文件（zkzf格式）及资料，需办理CA数字证书后方可提交响应文件，具体办理事宜请查阅周口市公共资源交易中心网站。</w:t>
      </w:r>
    </w:p>
    <w:p>
      <w:pPr>
        <w:keepNext w:val="0"/>
        <w:keepLines w:val="0"/>
        <w:pageBreakBefore w:val="0"/>
        <w:kinsoku/>
        <w:wordWrap/>
        <w:overflowPunct/>
        <w:topLinePunct w:val="0"/>
        <w:autoSpaceDE w:val="0"/>
        <w:autoSpaceDN w:val="0"/>
        <w:bidi w:val="0"/>
        <w:spacing w:line="336" w:lineRule="auto"/>
        <w:ind w:firstLine="540"/>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售价：0</w:t>
      </w:r>
    </w:p>
    <w:p>
      <w:pPr>
        <w:pStyle w:val="5"/>
        <w:keepNext w:val="0"/>
        <w:keepLines w:val="0"/>
        <w:pageBreakBefore w:val="0"/>
        <w:kinsoku/>
        <w:wordWrap/>
        <w:overflowPunct/>
        <w:topLinePunct w:val="0"/>
        <w:autoSpaceDE w:val="0"/>
        <w:autoSpaceDN w:val="0"/>
        <w:bidi w:val="0"/>
        <w:spacing w:line="336" w:lineRule="auto"/>
        <w:jc w:val="left"/>
        <w:textAlignment w:val="auto"/>
        <w:rPr>
          <w:rFonts w:asciiTheme="minorEastAsia" w:hAnsiTheme="minorEastAsia" w:eastAsiaTheme="minorEastAsia" w:cstheme="minorEastAsia"/>
          <w:sz w:val="24"/>
          <w:highlight w:val="none"/>
        </w:rPr>
      </w:pPr>
      <w:bookmarkStart w:id="12" w:name="_Toc35393632"/>
      <w:bookmarkStart w:id="13" w:name="_Toc28359092"/>
      <w:bookmarkStart w:id="14" w:name="_Toc28359015"/>
      <w:bookmarkStart w:id="15" w:name="_Toc35393801"/>
      <w:r>
        <w:rPr>
          <w:rFonts w:hint="eastAsia" w:asciiTheme="minorEastAsia" w:hAnsiTheme="minorEastAsia" w:eastAsiaTheme="minorEastAsia" w:cstheme="minorEastAsia"/>
          <w:sz w:val="24"/>
          <w:highlight w:val="none"/>
        </w:rPr>
        <w:t>四、响应文件提交</w:t>
      </w:r>
      <w:bookmarkEnd w:id="12"/>
      <w:bookmarkEnd w:id="13"/>
      <w:bookmarkEnd w:id="14"/>
      <w:bookmarkEnd w:id="15"/>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截止时间：</w:t>
      </w:r>
      <w:r>
        <w:rPr>
          <w:rFonts w:hint="eastAsia" w:asciiTheme="minorEastAsia" w:hAnsiTheme="minorEastAsia" w:eastAsiaTheme="minorEastAsia" w:cstheme="minorEastAsia"/>
          <w:sz w:val="24"/>
          <w:highlight w:val="none"/>
          <w:lang w:val="en-US" w:eastAsia="zh-CN"/>
        </w:rPr>
        <w:t>2024年6月19日10</w:t>
      </w:r>
      <w:r>
        <w:rPr>
          <w:rFonts w:hint="eastAsia" w:asciiTheme="minorEastAsia" w:hAnsiTheme="minorEastAsia" w:eastAsiaTheme="minorEastAsia" w:cstheme="minorEastAsia"/>
          <w:sz w:val="24"/>
          <w:highlight w:val="none"/>
        </w:rPr>
        <w:t>点</w:t>
      </w:r>
      <w:r>
        <w:rPr>
          <w:rFonts w:hint="eastAsia" w:asciiTheme="minorEastAsia" w:hAnsiTheme="minorEastAsia" w:eastAsiaTheme="minorEastAsia" w:cstheme="minorEastAsia"/>
          <w:sz w:val="24"/>
          <w:highlight w:val="none"/>
          <w:lang w:val="en-US" w:eastAsia="zh-CN"/>
        </w:rPr>
        <w:t>00</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bCs/>
          <w:sz w:val="24"/>
          <w:highlight w:val="none"/>
        </w:rPr>
        <w:t>（北京时间）</w:t>
      </w:r>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地点：加密电子响应文件须在投标截止时间前通过</w:t>
      </w:r>
      <w:r>
        <w:rPr>
          <w:rFonts w:hint="eastAsia" w:asciiTheme="minorEastAsia" w:hAnsiTheme="minorEastAsia" w:eastAsiaTheme="minorEastAsia" w:cstheme="minorEastAsia"/>
          <w:spacing w:val="-6"/>
          <w:sz w:val="24"/>
          <w:highlight w:val="none"/>
        </w:rPr>
        <w:t>周口市公共资源交易中心网</w:t>
      </w:r>
      <w:r>
        <w:rPr>
          <w:rFonts w:hint="eastAsia" w:asciiTheme="minorEastAsia" w:hAnsiTheme="minorEastAsia" w:eastAsiaTheme="minorEastAsia" w:cstheme="minorEastAsia"/>
          <w:sz w:val="24"/>
          <w:highlight w:val="none"/>
        </w:rPr>
        <w:t>（网址</w:t>
      </w:r>
      <w:r>
        <w:rPr>
          <w:rFonts w:hint="eastAsia" w:asciiTheme="minorEastAsia" w:hAnsiTheme="minorEastAsia" w:eastAsiaTheme="minorEastAsia" w:cstheme="minorEastAsia"/>
          <w:color w:val="000000"/>
          <w:sz w:val="24"/>
          <w:highlight w:val="none"/>
        </w:rPr>
        <w:t>http://jyzx.zhoukou.gov.cn</w:t>
      </w:r>
      <w:r>
        <w:rPr>
          <w:rFonts w:hint="eastAsia" w:asciiTheme="minorEastAsia" w:hAnsiTheme="minorEastAsia" w:eastAsiaTheme="minorEastAsia" w:cstheme="minorEastAsia"/>
          <w:sz w:val="24"/>
          <w:highlight w:val="none"/>
        </w:rPr>
        <w:t>）。</w:t>
      </w:r>
    </w:p>
    <w:p>
      <w:pPr>
        <w:pStyle w:val="5"/>
        <w:keepNext w:val="0"/>
        <w:keepLines w:val="0"/>
        <w:pageBreakBefore w:val="0"/>
        <w:kinsoku/>
        <w:wordWrap/>
        <w:overflowPunct/>
        <w:topLinePunct w:val="0"/>
        <w:autoSpaceDE w:val="0"/>
        <w:autoSpaceDN w:val="0"/>
        <w:bidi w:val="0"/>
        <w:spacing w:line="336" w:lineRule="auto"/>
        <w:jc w:val="left"/>
        <w:textAlignment w:val="auto"/>
        <w:rPr>
          <w:rFonts w:asciiTheme="minorEastAsia" w:hAnsiTheme="minorEastAsia" w:eastAsiaTheme="minorEastAsia" w:cstheme="minorEastAsia"/>
          <w:sz w:val="24"/>
          <w:highlight w:val="none"/>
        </w:rPr>
      </w:pPr>
      <w:bookmarkStart w:id="16" w:name="_Toc28359093"/>
      <w:bookmarkStart w:id="17" w:name="_Toc35393802"/>
      <w:bookmarkStart w:id="18" w:name="_Toc28359016"/>
      <w:bookmarkStart w:id="19" w:name="_Toc35393633"/>
      <w:r>
        <w:rPr>
          <w:rFonts w:hint="eastAsia" w:asciiTheme="minorEastAsia" w:hAnsiTheme="minorEastAsia" w:eastAsiaTheme="minorEastAsia" w:cstheme="minorEastAsia"/>
          <w:sz w:val="24"/>
          <w:highlight w:val="none"/>
        </w:rPr>
        <w:t>五、开启（竞争性磋商方式必须填写）</w:t>
      </w:r>
      <w:bookmarkEnd w:id="16"/>
      <w:bookmarkEnd w:id="17"/>
      <w:bookmarkEnd w:id="18"/>
      <w:bookmarkEnd w:id="19"/>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时间：</w:t>
      </w:r>
      <w:r>
        <w:rPr>
          <w:rFonts w:hint="eastAsia" w:asciiTheme="minorEastAsia" w:hAnsiTheme="minorEastAsia" w:eastAsiaTheme="minorEastAsia" w:cstheme="minorEastAsia"/>
          <w:sz w:val="24"/>
          <w:highlight w:val="none"/>
          <w:lang w:val="en-US" w:eastAsia="zh-CN"/>
        </w:rPr>
        <w:t>2024年6月19日10</w:t>
      </w:r>
      <w:r>
        <w:rPr>
          <w:rFonts w:hint="eastAsia" w:asciiTheme="minorEastAsia" w:hAnsiTheme="minorEastAsia" w:eastAsiaTheme="minorEastAsia" w:cstheme="minorEastAsia"/>
          <w:sz w:val="24"/>
          <w:highlight w:val="none"/>
        </w:rPr>
        <w:t>点</w:t>
      </w:r>
      <w:r>
        <w:rPr>
          <w:rFonts w:hint="eastAsia" w:asciiTheme="minorEastAsia" w:hAnsiTheme="minorEastAsia" w:eastAsiaTheme="minorEastAsia" w:cstheme="minorEastAsia"/>
          <w:sz w:val="24"/>
          <w:highlight w:val="none"/>
          <w:lang w:val="en-US" w:eastAsia="zh-CN"/>
        </w:rPr>
        <w:t>00</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bCs/>
          <w:sz w:val="24"/>
          <w:highlight w:val="none"/>
        </w:rPr>
        <w:t>（北京时间）</w:t>
      </w:r>
    </w:p>
    <w:p>
      <w:pPr>
        <w:keepNext w:val="0"/>
        <w:keepLines w:val="0"/>
        <w:pageBreakBefore w:val="0"/>
        <w:kinsoku/>
        <w:wordWrap/>
        <w:overflowPunct/>
        <w:topLinePunct w:val="0"/>
        <w:autoSpaceDE w:val="0"/>
        <w:autoSpaceDN w:val="0"/>
        <w:bidi w:val="0"/>
        <w:spacing w:line="336" w:lineRule="auto"/>
        <w:ind w:firstLine="480" w:firstLineChars="200"/>
        <w:jc w:val="left"/>
        <w:textAlignment w:val="auto"/>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地点：</w:t>
      </w:r>
      <w:r>
        <w:rPr>
          <w:rFonts w:hint="eastAsia" w:ascii="宋体" w:hAnsi="宋体" w:cs="宋体"/>
          <w:sz w:val="24"/>
          <w:highlight w:val="none"/>
        </w:rPr>
        <w:t>周口市公共资源交易中心开标室</w:t>
      </w:r>
    </w:p>
    <w:p>
      <w:pPr>
        <w:pStyle w:val="5"/>
        <w:keepNext w:val="0"/>
        <w:keepLines w:val="0"/>
        <w:pageBreakBefore w:val="0"/>
        <w:kinsoku/>
        <w:wordWrap/>
        <w:overflowPunct/>
        <w:topLinePunct w:val="0"/>
        <w:autoSpaceDE w:val="0"/>
        <w:autoSpaceDN w:val="0"/>
        <w:bidi w:val="0"/>
        <w:spacing w:line="336" w:lineRule="auto"/>
        <w:jc w:val="left"/>
        <w:textAlignment w:val="auto"/>
        <w:rPr>
          <w:rFonts w:asciiTheme="minorEastAsia" w:hAnsiTheme="minorEastAsia" w:eastAsiaTheme="minorEastAsia" w:cstheme="minorEastAsia"/>
          <w:sz w:val="24"/>
          <w:highlight w:val="none"/>
        </w:rPr>
      </w:pPr>
      <w:bookmarkStart w:id="20" w:name="_Toc35393803"/>
      <w:bookmarkStart w:id="21" w:name="_Toc28359017"/>
      <w:bookmarkStart w:id="22" w:name="_Toc35393634"/>
      <w:bookmarkStart w:id="23" w:name="_Toc28359094"/>
      <w:r>
        <w:rPr>
          <w:rFonts w:hint="eastAsia" w:asciiTheme="minorEastAsia" w:hAnsiTheme="minorEastAsia" w:eastAsiaTheme="minorEastAsia" w:cstheme="minorEastAsia"/>
          <w:sz w:val="24"/>
          <w:highlight w:val="none"/>
        </w:rPr>
        <w:t>六、公告期限</w:t>
      </w:r>
      <w:bookmarkEnd w:id="20"/>
      <w:bookmarkEnd w:id="21"/>
      <w:bookmarkEnd w:id="22"/>
      <w:bookmarkEnd w:id="23"/>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自本公告发布之日起3个工作日。</w:t>
      </w:r>
    </w:p>
    <w:p>
      <w:pPr>
        <w:pStyle w:val="5"/>
        <w:keepNext w:val="0"/>
        <w:keepLines w:val="0"/>
        <w:pageBreakBefore w:val="0"/>
        <w:kinsoku/>
        <w:wordWrap/>
        <w:overflowPunct/>
        <w:topLinePunct w:val="0"/>
        <w:autoSpaceDE w:val="0"/>
        <w:autoSpaceDN w:val="0"/>
        <w:bidi w:val="0"/>
        <w:spacing w:line="336" w:lineRule="auto"/>
        <w:jc w:val="left"/>
        <w:textAlignment w:val="auto"/>
        <w:rPr>
          <w:rFonts w:asciiTheme="minorEastAsia" w:hAnsiTheme="minorEastAsia" w:eastAsiaTheme="minorEastAsia" w:cstheme="minorEastAsia"/>
          <w:sz w:val="24"/>
          <w:highlight w:val="none"/>
        </w:rPr>
      </w:pPr>
      <w:bookmarkStart w:id="24" w:name="_Toc35393635"/>
      <w:bookmarkStart w:id="25" w:name="_Toc35393804"/>
      <w:r>
        <w:rPr>
          <w:rFonts w:hint="eastAsia" w:asciiTheme="minorEastAsia" w:hAnsiTheme="minorEastAsia" w:eastAsiaTheme="minorEastAsia" w:cstheme="minorEastAsia"/>
          <w:sz w:val="24"/>
          <w:highlight w:val="none"/>
        </w:rPr>
        <w:t>七、其他补充事宜</w:t>
      </w:r>
      <w:bookmarkEnd w:id="24"/>
      <w:bookmarkEnd w:id="25"/>
    </w:p>
    <w:p>
      <w:pPr>
        <w:pStyle w:val="5"/>
        <w:keepNext w:val="0"/>
        <w:keepLines w:val="0"/>
        <w:pageBreakBefore w:val="0"/>
        <w:kinsoku/>
        <w:wordWrap/>
        <w:overflowPunct/>
        <w:topLinePunct w:val="0"/>
        <w:autoSpaceDE w:val="0"/>
        <w:autoSpaceDN w:val="0"/>
        <w:bidi w:val="0"/>
        <w:spacing w:line="336" w:lineRule="auto"/>
        <w:jc w:val="left"/>
        <w:textAlignment w:val="auto"/>
        <w:rPr>
          <w:rFonts w:asciiTheme="minorEastAsia" w:hAnsiTheme="minorEastAsia" w:eastAsiaTheme="minorEastAsia" w:cstheme="minorEastAsia"/>
          <w:sz w:val="24"/>
          <w:highlight w:val="none"/>
        </w:rPr>
      </w:pPr>
      <w:bookmarkStart w:id="26" w:name="_Toc35393805"/>
      <w:bookmarkStart w:id="27" w:name="_Toc35393636"/>
      <w:bookmarkStart w:id="28" w:name="_Toc28359095"/>
      <w:bookmarkStart w:id="29" w:name="_Toc28359018"/>
      <w:r>
        <w:rPr>
          <w:rFonts w:hint="eastAsia" w:asciiTheme="minorEastAsia" w:hAnsiTheme="minorEastAsia" w:eastAsiaTheme="minorEastAsia" w:cstheme="minorEastAsia"/>
          <w:sz w:val="24"/>
          <w:highlight w:val="none"/>
        </w:rPr>
        <w:t>八、凡对本次采购提出询问，请按以下方式联系。</w:t>
      </w:r>
      <w:bookmarkEnd w:id="26"/>
      <w:bookmarkEnd w:id="27"/>
      <w:bookmarkEnd w:id="28"/>
      <w:bookmarkEnd w:id="29"/>
    </w:p>
    <w:p>
      <w:pPr>
        <w:keepNext w:val="0"/>
        <w:keepLines w:val="0"/>
        <w:pageBreakBefore w:val="0"/>
        <w:kinsoku/>
        <w:wordWrap/>
        <w:overflowPunct/>
        <w:topLinePunct w:val="0"/>
        <w:bidi w:val="0"/>
        <w:spacing w:line="336" w:lineRule="auto"/>
        <w:ind w:firstLine="480" w:firstLineChars="200"/>
        <w:jc w:val="left"/>
        <w:textAlignment w:val="auto"/>
        <w:rPr>
          <w:rFonts w:hint="eastAsia" w:ascii="宋体" w:hAnsi="宋体" w:eastAsia="宋体" w:cs="宋体"/>
          <w:sz w:val="24"/>
          <w:highlight w:val="none"/>
        </w:rPr>
      </w:pPr>
      <w:bookmarkStart w:id="30" w:name="_Toc28359010"/>
      <w:bookmarkStart w:id="31" w:name="_Toc28359087"/>
      <w:r>
        <w:rPr>
          <w:rFonts w:hint="eastAsia" w:ascii="宋体" w:hAnsi="宋体" w:eastAsia="宋体" w:cs="宋体"/>
          <w:sz w:val="24"/>
          <w:highlight w:val="none"/>
        </w:rPr>
        <w:t xml:space="preserve">1. 采购人信息 </w:t>
      </w:r>
    </w:p>
    <w:p>
      <w:pPr>
        <w:keepNext w:val="0"/>
        <w:keepLines w:val="0"/>
        <w:pageBreakBefore w:val="0"/>
        <w:kinsoku/>
        <w:wordWrap/>
        <w:overflowPunct/>
        <w:topLinePunct w:val="0"/>
        <w:bidi w:val="0"/>
        <w:spacing w:line="336"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名称：西华县中医院 </w:t>
      </w:r>
    </w:p>
    <w:p>
      <w:pPr>
        <w:keepNext w:val="0"/>
        <w:keepLines w:val="0"/>
        <w:pageBreakBefore w:val="0"/>
        <w:kinsoku/>
        <w:wordWrap/>
        <w:overflowPunct/>
        <w:topLinePunct w:val="0"/>
        <w:bidi w:val="0"/>
        <w:spacing w:line="336"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地址：周口市西华县 </w:t>
      </w:r>
    </w:p>
    <w:p>
      <w:pPr>
        <w:keepNext w:val="0"/>
        <w:keepLines w:val="0"/>
        <w:pageBreakBefore w:val="0"/>
        <w:kinsoku/>
        <w:wordWrap/>
        <w:overflowPunct/>
        <w:topLinePunct w:val="0"/>
        <w:bidi w:val="0"/>
        <w:spacing w:line="336" w:lineRule="auto"/>
        <w:ind w:firstLine="480" w:firstLineChars="2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刘嘉</w:t>
      </w:r>
    </w:p>
    <w:p>
      <w:pPr>
        <w:keepNext w:val="0"/>
        <w:keepLines w:val="0"/>
        <w:pageBreakBefore w:val="0"/>
        <w:kinsoku/>
        <w:wordWrap/>
        <w:overflowPunct/>
        <w:topLinePunct w:val="0"/>
        <w:bidi w:val="0"/>
        <w:spacing w:line="336" w:lineRule="auto"/>
        <w:ind w:firstLine="480" w:firstLineChars="200"/>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联系方式：15138360444</w:t>
      </w:r>
      <w:r>
        <w:rPr>
          <w:rFonts w:hint="eastAsia" w:ascii="宋体" w:hAnsi="宋体" w:eastAsia="宋体" w:cs="宋体"/>
          <w:sz w:val="24"/>
          <w:highlight w:val="none"/>
          <w:lang w:val="en-US" w:eastAsia="zh-CN"/>
        </w:rPr>
        <w:t xml:space="preserve"> </w:t>
      </w:r>
    </w:p>
    <w:p>
      <w:pPr>
        <w:keepNext w:val="0"/>
        <w:keepLines w:val="0"/>
        <w:pageBreakBefore w:val="0"/>
        <w:kinsoku/>
        <w:wordWrap/>
        <w:overflowPunct/>
        <w:topLinePunct w:val="0"/>
        <w:bidi w:val="0"/>
        <w:spacing w:line="336" w:lineRule="auto"/>
        <w:ind w:firstLine="480" w:firstLineChars="200"/>
        <w:jc w:val="left"/>
        <w:textAlignment w:val="auto"/>
        <w:rPr>
          <w:rFonts w:hint="eastAsia" w:ascii="宋体" w:hAnsi="宋体" w:cs="宋体"/>
          <w:sz w:val="24"/>
          <w:highlight w:val="none"/>
        </w:rPr>
      </w:pPr>
      <w:r>
        <w:rPr>
          <w:rFonts w:hint="eastAsia" w:ascii="宋体" w:hAnsi="宋体" w:eastAsia="宋体" w:cs="宋体"/>
          <w:sz w:val="24"/>
          <w:highlight w:val="none"/>
        </w:rPr>
        <w:t>2.采购代理机构信息（如有）</w:t>
      </w:r>
      <w:r>
        <w:rPr>
          <w:rFonts w:hint="eastAsia" w:ascii="宋体" w:hAnsi="宋体" w:cs="宋体"/>
          <w:sz w:val="24"/>
          <w:highlight w:val="none"/>
        </w:rPr>
        <w:t xml:space="preserve"> </w:t>
      </w:r>
    </w:p>
    <w:p>
      <w:pPr>
        <w:keepNext w:val="0"/>
        <w:keepLines w:val="0"/>
        <w:pageBreakBefore w:val="0"/>
        <w:kinsoku/>
        <w:wordWrap/>
        <w:overflowPunct/>
        <w:topLinePunct w:val="0"/>
        <w:bidi w:val="0"/>
        <w:spacing w:line="336"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 xml:space="preserve">名称：周口市公共资源交易中心(周口市政府采购中心) </w:t>
      </w:r>
    </w:p>
    <w:p>
      <w:pPr>
        <w:keepNext w:val="0"/>
        <w:keepLines w:val="0"/>
        <w:pageBreakBefore w:val="0"/>
        <w:kinsoku/>
        <w:wordWrap/>
        <w:overflowPunct/>
        <w:topLinePunct w:val="0"/>
        <w:bidi w:val="0"/>
        <w:spacing w:line="336"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 xml:space="preserve">地址：周口市光明路与政通路交叉口向北100米路东 </w:t>
      </w:r>
    </w:p>
    <w:p>
      <w:pPr>
        <w:keepNext w:val="0"/>
        <w:keepLines w:val="0"/>
        <w:pageBreakBefore w:val="0"/>
        <w:kinsoku/>
        <w:wordWrap/>
        <w:overflowPunct/>
        <w:topLinePunct w:val="0"/>
        <w:bidi w:val="0"/>
        <w:spacing w:line="336" w:lineRule="auto"/>
        <w:ind w:firstLine="480" w:firstLineChars="200"/>
        <w:jc w:val="left"/>
        <w:textAlignment w:val="auto"/>
        <w:rPr>
          <w:rFonts w:hint="eastAsia" w:ascii="宋体" w:hAnsi="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val="en-US" w:eastAsia="zh-CN"/>
        </w:rPr>
        <w:t xml:space="preserve"> 张光 </w:t>
      </w:r>
    </w:p>
    <w:p>
      <w:pPr>
        <w:keepNext w:val="0"/>
        <w:keepLines w:val="0"/>
        <w:pageBreakBefore w:val="0"/>
        <w:kinsoku/>
        <w:wordWrap/>
        <w:overflowPunct/>
        <w:topLinePunct w:val="0"/>
        <w:bidi w:val="0"/>
        <w:spacing w:line="336"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 xml:space="preserve">联系方式：0394-8106517 </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3.监督单位：西华县人民政府采购管理办公室</w:t>
      </w:r>
    </w:p>
    <w:p>
      <w:pPr>
        <w:spacing w:line="360" w:lineRule="auto"/>
        <w:ind w:firstLine="480" w:firstLineChars="20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联系方式</w:t>
      </w:r>
      <w:r>
        <w:rPr>
          <w:rFonts w:hint="eastAsia" w:ascii="宋体" w:hAnsi="宋体" w:cs="宋体"/>
          <w:sz w:val="24"/>
          <w:highlight w:val="none"/>
          <w:lang w:eastAsia="zh-CN"/>
        </w:rPr>
        <w:t>：</w:t>
      </w:r>
      <w:r>
        <w:rPr>
          <w:rFonts w:hint="eastAsia" w:ascii="宋体" w:hAnsi="宋体" w:cs="宋体"/>
          <w:sz w:val="24"/>
          <w:highlight w:val="none"/>
          <w:lang w:val="en-US" w:eastAsia="zh-CN"/>
        </w:rPr>
        <w:t>0394-2544068</w:t>
      </w:r>
    </w:p>
    <w:p>
      <w:pPr>
        <w:pStyle w:val="2"/>
        <w:ind w:firstLine="630" w:firstLineChars="300"/>
        <w:rPr>
          <w:rFonts w:hint="default" w:ascii="宋体" w:hAnsi="宋体" w:eastAsia="宋体" w:cs="宋体"/>
          <w:color w:val="auto"/>
          <w:highlight w:val="none"/>
          <w:lang w:val="en-US" w:eastAsia="zh-CN"/>
        </w:rPr>
      </w:pPr>
    </w:p>
    <w:p>
      <w:pPr>
        <w:keepNext w:val="0"/>
        <w:keepLines w:val="0"/>
        <w:pageBreakBefore w:val="0"/>
        <w:kinsoku/>
        <w:wordWrap/>
        <w:overflowPunct/>
        <w:topLinePunct w:val="0"/>
        <w:bidi w:val="0"/>
        <w:spacing w:line="336"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　　　　</w:t>
      </w:r>
    </w:p>
    <w:bookmarkEnd w:id="30"/>
    <w:bookmarkEnd w:id="31"/>
    <w:p>
      <w:pPr>
        <w:spacing w:line="360" w:lineRule="auto"/>
        <w:ind w:firstLine="480" w:firstLineChars="200"/>
        <w:jc w:val="right"/>
        <w:rPr>
          <w:rFonts w:hint="eastAsia" w:ascii="宋体" w:hAnsi="宋体" w:cs="宋体"/>
          <w:sz w:val="24"/>
          <w:highlight w:val="none"/>
          <w:lang w:eastAsia="zh-CN"/>
        </w:rPr>
      </w:pPr>
      <w:r>
        <w:rPr>
          <w:rFonts w:hint="eastAsia" w:ascii="宋体" w:hAnsi="宋体" w:cs="宋体"/>
          <w:sz w:val="24"/>
          <w:highlight w:val="none"/>
          <w:lang w:eastAsia="zh-CN"/>
        </w:rPr>
        <w:t>周口市公共资源交易中心政府采购中心</w:t>
      </w:r>
    </w:p>
    <w:p>
      <w:pPr>
        <w:spacing w:line="360" w:lineRule="auto"/>
        <w:ind w:firstLine="480" w:firstLineChars="200"/>
        <w:jc w:val="right"/>
        <w:rPr>
          <w:rFonts w:hint="eastAsia" w:ascii="宋体" w:hAnsi="宋体" w:cs="宋体"/>
          <w:sz w:val="24"/>
          <w:highlight w:val="none"/>
          <w:lang w:eastAsia="zh-CN"/>
        </w:rPr>
      </w:pPr>
      <w:r>
        <w:rPr>
          <w:rFonts w:hint="eastAsia" w:ascii="宋体" w:hAnsi="宋体" w:cs="宋体"/>
          <w:sz w:val="24"/>
          <w:highlight w:val="none"/>
          <w:lang w:val="en-US" w:eastAsia="zh-CN"/>
        </w:rPr>
        <w:t>2024</w:t>
      </w:r>
      <w:r>
        <w:rPr>
          <w:rFonts w:hint="eastAsia" w:ascii="宋体" w:hAnsi="宋体" w:cs="宋体"/>
          <w:sz w:val="24"/>
          <w:highlight w:val="none"/>
          <w:lang w:eastAsia="zh-CN"/>
        </w:rPr>
        <w:t>年</w:t>
      </w:r>
      <w:r>
        <w:rPr>
          <w:rFonts w:hint="eastAsia" w:ascii="宋体" w:hAnsi="宋体" w:cs="宋体"/>
          <w:sz w:val="24"/>
          <w:highlight w:val="none"/>
          <w:lang w:val="en-US" w:eastAsia="zh-CN"/>
        </w:rPr>
        <w:t>6</w:t>
      </w:r>
      <w:r>
        <w:rPr>
          <w:rFonts w:hint="eastAsia" w:ascii="宋体" w:hAnsi="宋体" w:cs="宋体"/>
          <w:sz w:val="24"/>
          <w:highlight w:val="none"/>
          <w:lang w:eastAsia="zh-CN"/>
        </w:rPr>
        <w:t>月</w:t>
      </w:r>
      <w:r>
        <w:rPr>
          <w:rFonts w:hint="eastAsia" w:ascii="宋体" w:hAnsi="宋体" w:cs="宋体"/>
          <w:sz w:val="24"/>
          <w:highlight w:val="none"/>
          <w:lang w:val="en-US" w:eastAsia="zh-CN"/>
        </w:rPr>
        <w:t>7</w:t>
      </w:r>
      <w:r>
        <w:rPr>
          <w:rFonts w:hint="eastAsia" w:ascii="宋体" w:hAnsi="宋体" w:cs="宋体"/>
          <w:sz w:val="24"/>
          <w:highlight w:val="none"/>
          <w:lang w:eastAsia="zh-CN"/>
        </w:rPr>
        <w:t>日　　</w:t>
      </w:r>
    </w:p>
    <w:p>
      <w:pPr>
        <w:pStyle w:val="23"/>
        <w:keepNext w:val="0"/>
        <w:keepLines w:val="0"/>
        <w:pageBreakBefore w:val="0"/>
        <w:kinsoku/>
        <w:wordWrap/>
        <w:overflowPunct/>
        <w:topLinePunct w:val="0"/>
        <w:bidi w:val="0"/>
        <w:adjustRightInd w:val="0"/>
        <w:spacing w:line="336" w:lineRule="auto"/>
        <w:ind w:firstLine="3360" w:firstLineChars="1400"/>
        <w:textAlignment w:val="auto"/>
        <w:rPr>
          <w:rFonts w:hint="eastAsia" w:ascii="宋体" w:hAnsi="宋体" w:cs="宋体"/>
          <w:sz w:val="24"/>
          <w:szCs w:val="24"/>
          <w:highlight w:val="none"/>
        </w:rPr>
      </w:pPr>
    </w:p>
    <w:p>
      <w:pPr>
        <w:pStyle w:val="23"/>
        <w:keepNext w:val="0"/>
        <w:keepLines w:val="0"/>
        <w:pageBreakBefore w:val="0"/>
        <w:kinsoku/>
        <w:wordWrap/>
        <w:overflowPunct/>
        <w:topLinePunct w:val="0"/>
        <w:bidi w:val="0"/>
        <w:adjustRightInd w:val="0"/>
        <w:spacing w:line="336" w:lineRule="auto"/>
        <w:ind w:firstLine="3360" w:firstLineChars="1400"/>
        <w:textAlignment w:val="auto"/>
        <w:rPr>
          <w:rFonts w:hint="eastAsia" w:ascii="宋体" w:hAnsi="宋体" w:cs="宋体"/>
          <w:sz w:val="24"/>
          <w:szCs w:val="24"/>
          <w:highlight w:val="none"/>
        </w:rPr>
      </w:pPr>
    </w:p>
    <w:p>
      <w:pPr>
        <w:pStyle w:val="23"/>
        <w:keepNext w:val="0"/>
        <w:keepLines w:val="0"/>
        <w:pageBreakBefore w:val="0"/>
        <w:kinsoku/>
        <w:wordWrap/>
        <w:overflowPunct/>
        <w:topLinePunct w:val="0"/>
        <w:bidi w:val="0"/>
        <w:adjustRightInd w:val="0"/>
        <w:spacing w:line="336" w:lineRule="auto"/>
        <w:ind w:firstLine="3360" w:firstLineChars="1400"/>
        <w:textAlignment w:val="auto"/>
        <w:rPr>
          <w:rFonts w:hint="eastAsia" w:ascii="宋体" w:hAnsi="宋体" w:cs="宋体"/>
          <w:sz w:val="24"/>
          <w:szCs w:val="24"/>
          <w:highlight w:val="none"/>
        </w:rPr>
      </w:pPr>
    </w:p>
    <w:p>
      <w:pPr>
        <w:pStyle w:val="23"/>
        <w:keepNext w:val="0"/>
        <w:keepLines w:val="0"/>
        <w:pageBreakBefore w:val="0"/>
        <w:kinsoku/>
        <w:wordWrap/>
        <w:overflowPunct/>
        <w:topLinePunct w:val="0"/>
        <w:bidi w:val="0"/>
        <w:adjustRightInd w:val="0"/>
        <w:spacing w:line="336" w:lineRule="auto"/>
        <w:ind w:firstLine="3360" w:firstLineChars="1400"/>
        <w:textAlignment w:val="auto"/>
        <w:rPr>
          <w:rFonts w:hint="eastAsia" w:ascii="宋体" w:hAnsi="宋体" w:cs="宋体"/>
          <w:sz w:val="24"/>
          <w:szCs w:val="24"/>
          <w:highlight w:val="none"/>
        </w:rPr>
      </w:pPr>
    </w:p>
    <w:p>
      <w:pPr>
        <w:pStyle w:val="23"/>
        <w:keepNext w:val="0"/>
        <w:keepLines w:val="0"/>
        <w:pageBreakBefore w:val="0"/>
        <w:kinsoku/>
        <w:wordWrap/>
        <w:overflowPunct/>
        <w:topLinePunct w:val="0"/>
        <w:bidi w:val="0"/>
        <w:adjustRightInd w:val="0"/>
        <w:spacing w:line="336" w:lineRule="auto"/>
        <w:ind w:firstLine="3360" w:firstLineChars="1400"/>
        <w:textAlignment w:val="auto"/>
        <w:rPr>
          <w:rFonts w:hint="eastAsia" w:ascii="宋体" w:hAnsi="宋体" w:cs="宋体"/>
          <w:sz w:val="24"/>
          <w:szCs w:val="24"/>
          <w:highlight w:val="none"/>
        </w:rPr>
      </w:pPr>
    </w:p>
    <w:p>
      <w:pPr>
        <w:pStyle w:val="23"/>
        <w:keepNext w:val="0"/>
        <w:keepLines w:val="0"/>
        <w:pageBreakBefore w:val="0"/>
        <w:kinsoku/>
        <w:wordWrap/>
        <w:overflowPunct/>
        <w:topLinePunct w:val="0"/>
        <w:bidi w:val="0"/>
        <w:adjustRightInd w:val="0"/>
        <w:spacing w:line="336" w:lineRule="auto"/>
        <w:ind w:firstLine="3360" w:firstLineChars="1400"/>
        <w:textAlignment w:val="auto"/>
        <w:rPr>
          <w:rFonts w:hint="eastAsia" w:ascii="宋体" w:hAnsi="宋体" w:cs="宋体"/>
          <w:sz w:val="24"/>
          <w:szCs w:val="24"/>
          <w:highlight w:val="none"/>
        </w:rPr>
      </w:pPr>
    </w:p>
    <w:p>
      <w:pPr>
        <w:pStyle w:val="23"/>
        <w:keepNext w:val="0"/>
        <w:keepLines w:val="0"/>
        <w:pageBreakBefore w:val="0"/>
        <w:kinsoku/>
        <w:wordWrap/>
        <w:overflowPunct/>
        <w:topLinePunct w:val="0"/>
        <w:bidi w:val="0"/>
        <w:adjustRightInd w:val="0"/>
        <w:spacing w:line="336" w:lineRule="auto"/>
        <w:ind w:firstLine="3360" w:firstLineChars="1400"/>
        <w:textAlignment w:val="auto"/>
        <w:rPr>
          <w:rFonts w:hint="eastAsia" w:ascii="宋体" w:hAnsi="宋体" w:cs="宋体"/>
          <w:sz w:val="24"/>
          <w:szCs w:val="24"/>
          <w:highlight w:val="none"/>
        </w:rPr>
      </w:pPr>
    </w:p>
    <w:p>
      <w:pPr>
        <w:jc w:val="center"/>
        <w:rPr>
          <w:rFonts w:ascii="宋体" w:hAnsi="宋体" w:cs="宋体"/>
          <w:b/>
          <w:sz w:val="32"/>
          <w:szCs w:val="32"/>
          <w:highlight w:val="none"/>
        </w:rPr>
      </w:pPr>
      <w:r>
        <w:rPr>
          <w:rFonts w:hint="eastAsia" w:ascii="宋体" w:hAnsi="宋体" w:cs="宋体"/>
          <w:b/>
          <w:sz w:val="32"/>
          <w:szCs w:val="32"/>
          <w:highlight w:val="none"/>
        </w:rPr>
        <w:t>第二章    供应商须知</w:t>
      </w:r>
    </w:p>
    <w:tbl>
      <w:tblPr>
        <w:tblStyle w:val="29"/>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ascii="宋体" w:hAnsi="宋体"/>
                <w:szCs w:val="21"/>
                <w:highlight w:val="none"/>
              </w:rPr>
            </w:pPr>
            <w:r>
              <w:rPr>
                <w:rFonts w:hint="eastAsia" w:ascii="宋体" w:hAnsi="宋体" w:cs="楷体_GB2312"/>
                <w:sz w:val="32"/>
                <w:szCs w:val="32"/>
                <w:highlight w:val="none"/>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序号</w:t>
            </w: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条款</w:t>
            </w:r>
          </w:p>
        </w:tc>
        <w:tc>
          <w:tcPr>
            <w:tcW w:w="6615" w:type="dxa"/>
            <w:vAlign w:val="center"/>
          </w:tcPr>
          <w:p>
            <w:pPr>
              <w:rPr>
                <w:rFonts w:ascii="宋体" w:hAnsi="宋体" w:cs="宋体"/>
                <w:sz w:val="24"/>
                <w:highlight w:val="none"/>
              </w:rPr>
            </w:pPr>
            <w:r>
              <w:rPr>
                <w:rFonts w:hint="eastAsia" w:ascii="宋体" w:hAnsi="宋体" w:cs="宋体"/>
                <w:sz w:val="24"/>
                <w:highlight w:val="none"/>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jc w:val="center"/>
              <w:rPr>
                <w:rFonts w:ascii="宋体" w:hAnsi="宋体" w:cs="宋体"/>
                <w:sz w:val="24"/>
                <w:highlight w:val="none"/>
              </w:rPr>
            </w:pPr>
            <w:r>
              <w:rPr>
                <w:rFonts w:hint="eastAsia" w:ascii="宋体" w:hAnsi="宋体" w:cs="宋体"/>
                <w:sz w:val="24"/>
                <w:highlight w:val="none"/>
              </w:rPr>
              <w:t>项目概况</w:t>
            </w:r>
          </w:p>
        </w:tc>
        <w:tc>
          <w:tcPr>
            <w:tcW w:w="6615" w:type="dxa"/>
            <w:vAlign w:val="center"/>
          </w:tcPr>
          <w:p>
            <w:pP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r>
              <w:rPr>
                <w:rFonts w:hint="eastAsia" w:cs="宋体" w:asciiTheme="minorEastAsia" w:hAnsiTheme="minorEastAsia" w:eastAsiaTheme="minorEastAsia"/>
                <w:sz w:val="24"/>
                <w:highlight w:val="none"/>
                <w:lang w:eastAsia="zh-CN"/>
              </w:rPr>
              <w:t>西华县中医院信息化系统硬件设备升级项目</w:t>
            </w:r>
          </w:p>
          <w:p>
            <w:pPr>
              <w:rPr>
                <w:rFonts w:ascii="宋体" w:hAnsi="宋体" w:cs="宋体"/>
                <w:color w:val="000000"/>
                <w:sz w:val="24"/>
                <w:highlight w:val="none"/>
              </w:rPr>
            </w:pPr>
            <w:r>
              <w:rPr>
                <w:rFonts w:hint="eastAsia" w:ascii="宋体" w:hAnsi="宋体" w:cs="宋体"/>
                <w:color w:val="000000"/>
                <w:sz w:val="24"/>
                <w:highlight w:val="none"/>
              </w:rPr>
              <w:t>采购内容：</w:t>
            </w:r>
            <w:r>
              <w:rPr>
                <w:rFonts w:hint="eastAsia" w:ascii="宋体" w:hAnsi="宋体" w:cs="宋体"/>
                <w:color w:val="auto"/>
                <w:sz w:val="24"/>
                <w:highlight w:val="none"/>
                <w:lang w:val="en-US" w:eastAsia="zh-CN"/>
              </w:rPr>
              <w:t>详见</w:t>
            </w:r>
            <w:r>
              <w:rPr>
                <w:rFonts w:hint="eastAsia" w:ascii="宋体" w:hAnsi="宋体" w:eastAsia="宋体" w:cs="宋体"/>
                <w:color w:val="auto"/>
                <w:sz w:val="24"/>
                <w:highlight w:val="none"/>
                <w:lang w:val="en-US" w:eastAsia="zh-CN"/>
              </w:rPr>
              <w:t>第三章</w:t>
            </w:r>
            <w:r>
              <w:rPr>
                <w:rFonts w:hint="eastAsia" w:ascii="宋体" w:hAnsi="宋体" w:eastAsia="宋体" w:cs="宋体"/>
                <w:color w:val="auto"/>
                <w:sz w:val="24"/>
                <w:highlight w:val="none"/>
              </w:rPr>
              <w:t>采购项目内容及要求</w:t>
            </w:r>
          </w:p>
          <w:p>
            <w:pPr>
              <w:rPr>
                <w:rFonts w:ascii="宋体" w:hAnsi="宋体" w:cs="宋体"/>
                <w:color w:val="000000"/>
                <w:sz w:val="24"/>
                <w:highlight w:val="none"/>
              </w:rPr>
            </w:pPr>
            <w:r>
              <w:rPr>
                <w:rFonts w:hint="eastAsia" w:ascii="宋体" w:hAnsi="宋体" w:cs="宋体"/>
                <w:color w:val="000000"/>
                <w:sz w:val="24"/>
                <w:highlight w:val="none"/>
              </w:rPr>
              <w:t>采购人：</w:t>
            </w:r>
            <w:r>
              <w:rPr>
                <w:rFonts w:hint="eastAsia" w:cs="宋体" w:asciiTheme="minorEastAsia" w:hAnsiTheme="minorEastAsia" w:eastAsiaTheme="minorEastAsia"/>
                <w:sz w:val="24"/>
                <w:highlight w:val="none"/>
              </w:rPr>
              <w:t>西华县中医院</w:t>
            </w:r>
          </w:p>
          <w:p>
            <w:pPr>
              <w:rPr>
                <w:rFonts w:ascii="宋体" w:hAnsi="宋体" w:cs="宋体"/>
                <w:color w:val="000000"/>
                <w:sz w:val="24"/>
                <w:highlight w:val="none"/>
              </w:rPr>
            </w:pPr>
            <w:r>
              <w:rPr>
                <w:rFonts w:hint="eastAsia" w:ascii="宋体" w:hAnsi="宋体" w:cs="宋体"/>
                <w:color w:val="000000"/>
                <w:sz w:val="24"/>
                <w:highlight w:val="none"/>
              </w:rPr>
              <w:t>采购代理机构：</w:t>
            </w:r>
            <w:r>
              <w:rPr>
                <w:rFonts w:hint="eastAsia" w:ascii="宋体" w:hAnsi="宋体" w:cs="宋体"/>
                <w:sz w:val="24"/>
                <w:highlight w:val="none"/>
              </w:rPr>
              <w:t>周口市光明路与政通路交叉口向北100米路东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ind w:left="-4" w:leftChars="-4" w:hanging="4" w:hangingChars="2"/>
              <w:jc w:val="center"/>
              <w:rPr>
                <w:rFonts w:ascii="宋体" w:hAnsi="宋体" w:cs="宋体"/>
                <w:sz w:val="24"/>
                <w:highlight w:val="none"/>
              </w:rPr>
            </w:pPr>
            <w:r>
              <w:rPr>
                <w:rFonts w:hint="eastAsia" w:ascii="宋体" w:hAnsi="宋体" w:cs="宋体"/>
                <w:sz w:val="24"/>
                <w:highlight w:val="none"/>
              </w:rPr>
              <w:t>对供应商的资格要求</w:t>
            </w:r>
          </w:p>
        </w:tc>
        <w:tc>
          <w:tcPr>
            <w:tcW w:w="6615" w:type="dxa"/>
            <w:vAlign w:val="center"/>
          </w:tcPr>
          <w:p>
            <w:pPr>
              <w:spacing w:before="156" w:beforeLines="50"/>
              <w:ind w:left="-4" w:leftChars="-4" w:hanging="4" w:hangingChars="2"/>
              <w:rPr>
                <w:rFonts w:ascii="宋体" w:hAnsi="宋体" w:cs="宋体"/>
                <w:sz w:val="24"/>
                <w:highlight w:val="none"/>
              </w:rPr>
            </w:pPr>
            <w:r>
              <w:rPr>
                <w:rFonts w:hint="eastAsia" w:ascii="宋体" w:hAnsi="宋体" w:cs="宋体"/>
                <w:sz w:val="24"/>
                <w:highlight w:val="none"/>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报价费用</w:t>
            </w:r>
          </w:p>
        </w:tc>
        <w:tc>
          <w:tcPr>
            <w:tcW w:w="6615" w:type="dxa"/>
            <w:vAlign w:val="center"/>
          </w:tcPr>
          <w:p>
            <w:pPr>
              <w:rPr>
                <w:rFonts w:ascii="宋体" w:hAnsi="宋体" w:cs="宋体"/>
                <w:sz w:val="24"/>
                <w:highlight w:val="none"/>
              </w:rPr>
            </w:pPr>
            <w:r>
              <w:rPr>
                <w:rFonts w:hint="eastAsia" w:ascii="宋体" w:hAnsi="宋体" w:cs="宋体"/>
                <w:sz w:val="24"/>
                <w:highlight w:val="none"/>
              </w:rPr>
              <w:t>无论报价和磋商的过程和结果如何，供应商自行承担所有与参加报价及磋商有关活动的全部费用。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2"/>
              </w:numPr>
              <w:spacing w:before="156" w:beforeLines="50"/>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响应文件语言</w:t>
            </w:r>
          </w:p>
        </w:tc>
        <w:tc>
          <w:tcPr>
            <w:tcW w:w="6615" w:type="dxa"/>
            <w:vAlign w:val="center"/>
          </w:tcPr>
          <w:p>
            <w:pPr>
              <w:snapToGrid w:val="0"/>
              <w:rPr>
                <w:rFonts w:ascii="宋体" w:hAnsi="宋体" w:cs="宋体"/>
                <w:sz w:val="24"/>
                <w:highlight w:val="none"/>
              </w:rPr>
            </w:pPr>
            <w:r>
              <w:rPr>
                <w:rFonts w:hint="eastAsia" w:ascii="宋体" w:hAnsi="宋体" w:cs="宋体"/>
                <w:sz w:val="24"/>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2"/>
              </w:numPr>
              <w:spacing w:before="156" w:beforeLines="50"/>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报价货币</w:t>
            </w:r>
          </w:p>
        </w:tc>
        <w:tc>
          <w:tcPr>
            <w:tcW w:w="6615" w:type="dxa"/>
            <w:vAlign w:val="center"/>
          </w:tcPr>
          <w:p>
            <w:pPr>
              <w:rPr>
                <w:rFonts w:ascii="宋体" w:hAnsi="宋体" w:cs="宋体"/>
                <w:sz w:val="24"/>
                <w:highlight w:val="none"/>
              </w:rPr>
            </w:pPr>
            <w:r>
              <w:rPr>
                <w:rFonts w:hint="eastAsia" w:ascii="宋体" w:hAnsi="宋体" w:cs="宋体"/>
                <w:sz w:val="24"/>
                <w:highlight w:val="none"/>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报价范围及说明</w:t>
            </w:r>
          </w:p>
        </w:tc>
        <w:tc>
          <w:tcPr>
            <w:tcW w:w="6615" w:type="dxa"/>
            <w:vAlign w:val="center"/>
          </w:tcPr>
          <w:p>
            <w:pPr>
              <w:rPr>
                <w:rFonts w:ascii="宋体" w:hAnsi="宋体" w:cs="宋体"/>
                <w:sz w:val="24"/>
                <w:highlight w:val="none"/>
              </w:rPr>
            </w:pPr>
            <w:r>
              <w:rPr>
                <w:rFonts w:hint="eastAsia" w:ascii="宋体" w:hAnsi="宋体" w:cs="宋体"/>
                <w:color w:val="000000"/>
                <w:sz w:val="24"/>
                <w:highlight w:val="none"/>
              </w:rPr>
              <w:t>报价包括本项目所招标的服务、保险、税费、验收</w:t>
            </w:r>
            <w:r>
              <w:rPr>
                <w:rFonts w:hint="eastAsia" w:ascii="宋体" w:hAnsi="宋体" w:cs="宋体"/>
                <w:sz w:val="24"/>
                <w:highlight w:val="none"/>
              </w:rPr>
              <w:t>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响应文件有效期</w:t>
            </w:r>
          </w:p>
        </w:tc>
        <w:tc>
          <w:tcPr>
            <w:tcW w:w="6615" w:type="dxa"/>
            <w:vAlign w:val="center"/>
          </w:tcPr>
          <w:p>
            <w:pPr>
              <w:rPr>
                <w:rFonts w:ascii="宋体" w:hAnsi="宋体" w:cs="宋体"/>
                <w:sz w:val="24"/>
                <w:highlight w:val="none"/>
              </w:rPr>
            </w:pPr>
            <w:r>
              <w:rPr>
                <w:rFonts w:hint="eastAsia" w:ascii="宋体" w:hAnsi="宋体" w:cs="宋体"/>
                <w:sz w:val="24"/>
                <w:highlight w:val="none"/>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tabs>
                <w:tab w:val="left" w:pos="8640"/>
              </w:tabs>
              <w:spacing w:before="156" w:beforeLines="50"/>
              <w:ind w:left="-2" w:leftChars="-1"/>
              <w:jc w:val="center"/>
              <w:rPr>
                <w:rFonts w:ascii="宋体" w:hAnsi="宋体" w:cs="宋体"/>
                <w:sz w:val="24"/>
                <w:highlight w:val="none"/>
              </w:rPr>
            </w:pPr>
            <w:r>
              <w:rPr>
                <w:rFonts w:hint="eastAsia" w:ascii="宋体" w:hAnsi="宋体" w:cs="宋体"/>
                <w:sz w:val="24"/>
                <w:highlight w:val="none"/>
              </w:rPr>
              <w:t>响应文件的组成</w:t>
            </w:r>
          </w:p>
        </w:tc>
        <w:tc>
          <w:tcPr>
            <w:tcW w:w="6615" w:type="dxa"/>
            <w:vAlign w:val="center"/>
          </w:tcPr>
          <w:p>
            <w:pPr>
              <w:rPr>
                <w:rFonts w:ascii="宋体" w:hAnsi="宋体" w:cs="宋体"/>
                <w:sz w:val="24"/>
                <w:highlight w:val="none"/>
              </w:rPr>
            </w:pPr>
            <w:r>
              <w:rPr>
                <w:rFonts w:hint="eastAsia" w:ascii="宋体" w:hAnsi="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tabs>
                <w:tab w:val="left" w:pos="8640"/>
              </w:tabs>
              <w:spacing w:before="156" w:beforeLines="50"/>
              <w:ind w:left="-2" w:leftChars="-1"/>
              <w:jc w:val="center"/>
              <w:rPr>
                <w:rFonts w:ascii="宋体" w:hAnsi="宋体" w:cs="宋体"/>
                <w:sz w:val="24"/>
                <w:highlight w:val="none"/>
              </w:rPr>
            </w:pPr>
            <w:r>
              <w:rPr>
                <w:rFonts w:hint="eastAsia" w:ascii="宋体" w:hAnsi="宋体" w:cs="宋体"/>
                <w:sz w:val="24"/>
                <w:highlight w:val="none"/>
              </w:rPr>
              <w:t>响应文件封面要求</w:t>
            </w:r>
          </w:p>
        </w:tc>
        <w:tc>
          <w:tcPr>
            <w:tcW w:w="6615" w:type="dxa"/>
            <w:vAlign w:val="center"/>
          </w:tcPr>
          <w:p>
            <w:pPr>
              <w:tabs>
                <w:tab w:val="left" w:pos="8640"/>
              </w:tabs>
              <w:rPr>
                <w:rFonts w:ascii="宋体" w:hAnsi="宋体" w:cs="宋体"/>
                <w:sz w:val="24"/>
                <w:highlight w:val="none"/>
              </w:rPr>
            </w:pPr>
            <w:r>
              <w:rPr>
                <w:rFonts w:hint="eastAsia" w:ascii="宋体" w:hAnsi="宋体" w:cs="宋体"/>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响应文件份数要求</w:t>
            </w:r>
          </w:p>
        </w:tc>
        <w:tc>
          <w:tcPr>
            <w:tcW w:w="6615" w:type="dxa"/>
            <w:vAlign w:val="center"/>
          </w:tcPr>
          <w:p>
            <w:pPr>
              <w:tabs>
                <w:tab w:val="left" w:pos="8640"/>
              </w:tabs>
              <w:ind w:left="-2" w:leftChars="-1"/>
              <w:rPr>
                <w:rFonts w:ascii="宋体" w:hAnsi="宋体" w:cs="宋体"/>
                <w:sz w:val="24"/>
                <w:highlight w:val="none"/>
              </w:rPr>
            </w:pPr>
            <w:r>
              <w:rPr>
                <w:rFonts w:hint="eastAsia" w:ascii="宋体" w:hAnsi="宋体" w:cs="宋体"/>
                <w:sz w:val="24"/>
                <w:highlight w:val="none"/>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响应文件装订和密封要求</w:t>
            </w:r>
          </w:p>
        </w:tc>
        <w:tc>
          <w:tcPr>
            <w:tcW w:w="6615" w:type="dxa"/>
            <w:vAlign w:val="center"/>
          </w:tcPr>
          <w:p>
            <w:pPr>
              <w:rPr>
                <w:rFonts w:ascii="宋体" w:hAnsi="宋体" w:cs="宋体"/>
                <w:sz w:val="24"/>
                <w:highlight w:val="none"/>
              </w:rPr>
            </w:pPr>
            <w:r>
              <w:rPr>
                <w:rFonts w:hint="eastAsia" w:ascii="宋体" w:hAnsi="宋体" w:cs="宋体"/>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竞争性磋商文件的澄清</w:t>
            </w:r>
          </w:p>
        </w:tc>
        <w:tc>
          <w:tcPr>
            <w:tcW w:w="6615" w:type="dxa"/>
            <w:vAlign w:val="center"/>
          </w:tcPr>
          <w:p>
            <w:pPr>
              <w:rPr>
                <w:rFonts w:ascii="宋体" w:hAnsi="宋体" w:cs="宋体"/>
                <w:sz w:val="24"/>
                <w:highlight w:val="none"/>
              </w:rPr>
            </w:pPr>
            <w:r>
              <w:rPr>
                <w:rFonts w:hint="eastAsia" w:ascii="宋体" w:hAnsi="宋体" w:cs="宋体"/>
                <w:sz w:val="24"/>
                <w:highlight w:val="none"/>
              </w:rPr>
              <w:t>对竞争性磋商文件进行的澄清，以网上公告的方式通知供应商。澄清或修改的内容可能影响响应文件编制的，采购人、采购代理机构应当在提交响应文件截止时间至少5日前。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响应文件递交截止时间</w:t>
            </w:r>
          </w:p>
        </w:tc>
        <w:tc>
          <w:tcPr>
            <w:tcW w:w="6615" w:type="dxa"/>
            <w:vAlign w:val="center"/>
          </w:tcPr>
          <w:p>
            <w:pPr>
              <w:rPr>
                <w:rFonts w:ascii="宋体" w:hAnsi="宋体" w:cs="宋体"/>
                <w:sz w:val="24"/>
                <w:highlight w:val="none"/>
              </w:rPr>
            </w:pPr>
            <w:r>
              <w:rPr>
                <w:rFonts w:hint="eastAsia" w:ascii="宋体" w:hAnsi="宋体" w:cs="宋体"/>
                <w:sz w:val="24"/>
                <w:highlight w:val="none"/>
              </w:rPr>
              <w:t xml:space="preserve">（见磋商公告）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响应文件递交地点</w:t>
            </w:r>
          </w:p>
        </w:tc>
        <w:tc>
          <w:tcPr>
            <w:tcW w:w="6615" w:type="dxa"/>
            <w:vAlign w:val="center"/>
          </w:tcPr>
          <w:p>
            <w:pPr>
              <w:rPr>
                <w:rFonts w:ascii="宋体" w:hAnsi="宋体"/>
                <w:sz w:val="24"/>
                <w:highlight w:val="none"/>
              </w:rPr>
            </w:pPr>
            <w:r>
              <w:rPr>
                <w:rFonts w:hint="eastAsia" w:ascii="宋体" w:hAnsi="宋体"/>
                <w:sz w:val="24"/>
                <w:highlight w:val="none"/>
              </w:rPr>
              <w:t>周口市公共资源交易中心网</w:t>
            </w:r>
          </w:p>
          <w:p>
            <w:pPr>
              <w:rPr>
                <w:rFonts w:ascii="宋体" w:hAnsi="宋体" w:cs="宋体" w:eastAsiaTheme="minorEastAsia"/>
                <w:sz w:val="24"/>
                <w:highlight w:val="none"/>
              </w:rPr>
            </w:pPr>
            <w:r>
              <w:rPr>
                <w:rFonts w:hint="eastAsia" w:ascii="宋体" w:hAnsi="宋体"/>
                <w:sz w:val="24"/>
                <w:highlight w:val="none"/>
              </w:rPr>
              <w:t>网址：周口市公共资源电子交易服务平台会员系统（网址</w:t>
            </w:r>
            <w:r>
              <w:rPr>
                <w:rFonts w:hint="eastAsia" w:asciiTheme="minorEastAsia" w:hAnsiTheme="minorEastAsia" w:eastAsiaTheme="minorEastAsia"/>
                <w:color w:val="000000"/>
                <w:highlight w:val="none"/>
              </w:rPr>
              <w:t>http://jyzx.zhoukou.gov.cn）</w:t>
            </w:r>
          </w:p>
          <w:p>
            <w:pPr>
              <w:spacing w:line="560" w:lineRule="exact"/>
              <w:rPr>
                <w:rFonts w:ascii="宋体" w:hAnsi="宋体" w:cs="宋体"/>
                <w:sz w:val="24"/>
                <w:highlight w:val="none"/>
              </w:rPr>
            </w:pPr>
            <w:r>
              <w:rPr>
                <w:rFonts w:hint="eastAsia" w:ascii="宋体" w:hAnsi="宋体" w:cs="宋体"/>
                <w:sz w:val="24"/>
                <w:highlight w:val="none"/>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磋商时间</w:t>
            </w:r>
          </w:p>
        </w:tc>
        <w:tc>
          <w:tcPr>
            <w:tcW w:w="6615" w:type="dxa"/>
            <w:vAlign w:val="center"/>
          </w:tcPr>
          <w:p>
            <w:pPr>
              <w:tabs>
                <w:tab w:val="left" w:pos="8640"/>
              </w:tabs>
              <w:ind w:left="-2" w:leftChars="-1" w:firstLine="240" w:firstLineChars="100"/>
              <w:rPr>
                <w:rFonts w:ascii="宋体" w:hAnsi="宋体" w:cs="宋体"/>
                <w:sz w:val="24"/>
                <w:highlight w:val="none"/>
              </w:rPr>
            </w:pPr>
            <w:r>
              <w:rPr>
                <w:rFonts w:hint="eastAsia" w:ascii="宋体" w:hAnsi="宋体" w:cs="宋体"/>
                <w:sz w:val="24"/>
                <w:highlight w:val="none"/>
              </w:rPr>
              <w:t>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磋商程序和内容</w:t>
            </w:r>
          </w:p>
        </w:tc>
        <w:tc>
          <w:tcPr>
            <w:tcW w:w="6615" w:type="dxa"/>
            <w:vAlign w:val="center"/>
          </w:tcPr>
          <w:p>
            <w:pPr>
              <w:tabs>
                <w:tab w:val="left" w:pos="8640"/>
              </w:tabs>
              <w:rPr>
                <w:rFonts w:ascii="宋体" w:hAnsi="宋体" w:cs="宋体"/>
                <w:sz w:val="24"/>
                <w:highlight w:val="none"/>
              </w:rPr>
            </w:pPr>
            <w:r>
              <w:rPr>
                <w:rFonts w:hint="eastAsia" w:ascii="宋体" w:hAnsi="宋体" w:cs="宋体"/>
                <w:sz w:val="24"/>
                <w:highlight w:val="none"/>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授予合同</w:t>
            </w:r>
          </w:p>
        </w:tc>
        <w:tc>
          <w:tcPr>
            <w:tcW w:w="6615" w:type="dxa"/>
            <w:vAlign w:val="center"/>
          </w:tcPr>
          <w:p>
            <w:pPr>
              <w:tabs>
                <w:tab w:val="left" w:pos="8640"/>
              </w:tabs>
              <w:jc w:val="left"/>
              <w:rPr>
                <w:rFonts w:ascii="宋体" w:hAnsi="宋体" w:cs="宋体"/>
                <w:sz w:val="24"/>
                <w:highlight w:val="none"/>
              </w:rPr>
            </w:pPr>
            <w:r>
              <w:rPr>
                <w:rFonts w:hint="eastAsia" w:ascii="宋体" w:hAnsi="宋体" w:cs="宋体"/>
                <w:sz w:val="24"/>
                <w:highlight w:val="none"/>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ascii="宋体" w:hAnsi="宋体" w:cs="宋体"/>
                <w:sz w:val="24"/>
                <w:szCs w:val="24"/>
                <w:highlight w:val="none"/>
              </w:rPr>
            </w:pPr>
            <w:r>
              <w:rPr>
                <w:rFonts w:hint="eastAsia" w:ascii="宋体" w:hAnsi="宋体" w:cs="宋体"/>
                <w:sz w:val="24"/>
                <w:szCs w:val="24"/>
                <w:highlight w:val="none"/>
              </w:rPr>
              <w:t>签订合同</w:t>
            </w:r>
          </w:p>
        </w:tc>
        <w:tc>
          <w:tcPr>
            <w:tcW w:w="6615" w:type="dxa"/>
            <w:vAlign w:val="center"/>
          </w:tcPr>
          <w:p>
            <w:pPr>
              <w:tabs>
                <w:tab w:val="left" w:pos="8640"/>
              </w:tabs>
              <w:ind w:left="-2" w:leftChars="-1"/>
              <w:rPr>
                <w:rFonts w:ascii="宋体" w:hAnsi="宋体" w:cs="宋体"/>
                <w:sz w:val="24"/>
                <w:szCs w:val="24"/>
                <w:highlight w:val="none"/>
              </w:rPr>
            </w:pPr>
            <w:r>
              <w:rPr>
                <w:rFonts w:hint="eastAsia" w:ascii="宋体" w:hAnsi="宋体" w:cs="宋体"/>
                <w:sz w:val="24"/>
                <w:szCs w:val="24"/>
                <w:highlight w:val="none"/>
              </w:rPr>
              <w:t>1）接到成交通知书30天内，成交供应商应与采购人签订采购合同。</w:t>
            </w:r>
          </w:p>
          <w:p>
            <w:pPr>
              <w:tabs>
                <w:tab w:val="left" w:pos="8640"/>
              </w:tabs>
              <w:ind w:left="-2" w:leftChars="-1"/>
              <w:rPr>
                <w:rFonts w:ascii="宋体" w:hAnsi="宋体" w:cs="宋体"/>
                <w:sz w:val="24"/>
                <w:szCs w:val="24"/>
                <w:highlight w:val="none"/>
              </w:rPr>
            </w:pPr>
            <w:r>
              <w:rPr>
                <w:rFonts w:hint="eastAsia" w:ascii="宋体" w:hAnsi="宋体" w:cs="宋体"/>
                <w:sz w:val="24"/>
                <w:szCs w:val="24"/>
                <w:highlight w:val="none"/>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6615" w:type="dxa"/>
            <w:vAlign w:val="center"/>
          </w:tcPr>
          <w:p>
            <w:pPr>
              <w:rPr>
                <w:rFonts w:hint="eastAsia"/>
                <w:sz w:val="24"/>
                <w:szCs w:val="24"/>
                <w:highlight w:val="none"/>
              </w:rPr>
            </w:pPr>
            <w:r>
              <w:rPr>
                <w:rFonts w:hint="eastAsia" w:ascii="宋体" w:hAnsi="宋体" w:cs="宋体"/>
                <w:sz w:val="24"/>
                <w:szCs w:val="24"/>
                <w:highlight w:val="none"/>
              </w:rPr>
              <w:t>不需要缴纳投标保证金（</w:t>
            </w:r>
            <w:r>
              <w:rPr>
                <w:rFonts w:hint="eastAsia"/>
                <w:sz w:val="24"/>
                <w:szCs w:val="24"/>
                <w:highlight w:val="none"/>
              </w:rPr>
              <w:t>按照相关文件要求货物、服务类政府采购活动不收取投标保证金、履约、质量保证金、合同中预留资金作为质量保证金等无法律依据的保证金。政府采购工程推广以承诺书替代保证金</w:t>
            </w:r>
            <w:r>
              <w:rPr>
                <w:rFonts w:hint="eastAsia" w:ascii="宋体" w:hAnsi="宋体" w:cs="宋体"/>
                <w:sz w:val="24"/>
                <w:szCs w:val="24"/>
                <w:highlight w:val="none"/>
              </w:rPr>
              <w:t>）</w:t>
            </w:r>
            <w:r>
              <w:rPr>
                <w:rFonts w:hint="eastAsia"/>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jc w:val="center"/>
              <w:rPr>
                <w:rFonts w:ascii="宋体" w:hAnsi="宋体" w:cs="宋体"/>
                <w:sz w:val="24"/>
                <w:szCs w:val="24"/>
                <w:highlight w:val="yellow"/>
              </w:rPr>
            </w:pPr>
            <w:r>
              <w:rPr>
                <w:rFonts w:hint="eastAsia" w:ascii="宋体" w:hAnsi="宋体" w:cs="宋体"/>
                <w:sz w:val="24"/>
                <w:szCs w:val="24"/>
                <w:highlight w:val="yellow"/>
              </w:rPr>
              <w:t>服务期限</w:t>
            </w:r>
          </w:p>
        </w:tc>
        <w:tc>
          <w:tcPr>
            <w:tcW w:w="6615" w:type="dxa"/>
            <w:vAlign w:val="center"/>
          </w:tcPr>
          <w:p>
            <w:pPr>
              <w:jc w:val="left"/>
              <w:rPr>
                <w:rFonts w:hint="default" w:ascii="宋体" w:hAnsi="宋体" w:eastAsia="宋体" w:cs="宋体"/>
                <w:sz w:val="24"/>
                <w:szCs w:val="24"/>
                <w:highlight w:val="yellow"/>
                <w:lang w:val="en-US" w:eastAsia="zh-CN"/>
              </w:rPr>
            </w:pPr>
            <w:r>
              <w:rPr>
                <w:rFonts w:hint="eastAsia" w:ascii="宋体" w:hAnsi="宋体" w:cs="宋体"/>
                <w:sz w:val="24"/>
                <w:szCs w:val="24"/>
                <w:highlight w:val="yellow"/>
                <w:lang w:val="en-US" w:eastAsia="zh-CN"/>
              </w:rPr>
              <w:t>45日历天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0" w:after="0" w:line="240" w:lineRule="auto"/>
              <w:ind w:left="0" w:leftChars="0" w:right="0" w:rightChars="0" w:firstLine="14" w:firstLineChars="0"/>
              <w:jc w:val="center"/>
              <w:rPr>
                <w:rFonts w:ascii="宋体" w:hAnsi="宋体" w:cs="宋体"/>
                <w:sz w:val="24"/>
                <w:szCs w:val="24"/>
                <w:highlight w:val="none"/>
              </w:rPr>
            </w:pPr>
            <w:r>
              <w:rPr>
                <w:rFonts w:hint="eastAsia" w:ascii="宋体" w:hAnsi="宋体" w:eastAsia="宋体" w:cs="宋体"/>
                <w:color w:val="auto"/>
                <w:spacing w:val="0"/>
                <w:position w:val="0"/>
                <w:sz w:val="24"/>
                <w:highlight w:val="yellow"/>
                <w:shd w:val="clear" w:fill="auto"/>
              </w:rPr>
              <w:t>付款方式</w:t>
            </w:r>
          </w:p>
        </w:tc>
        <w:tc>
          <w:tcPr>
            <w:tcW w:w="6615" w:type="dxa"/>
            <w:vAlign w:val="center"/>
          </w:tcPr>
          <w:p>
            <w:pPr>
              <w:tabs>
                <w:tab w:val="left" w:pos="8640"/>
              </w:tabs>
              <w:spacing w:before="0" w:after="0" w:line="240" w:lineRule="auto"/>
              <w:ind w:left="0" w:leftChars="0" w:right="0" w:rightChars="0" w:firstLine="0" w:firstLineChars="0"/>
              <w:jc w:val="left"/>
              <w:rPr>
                <w:rFonts w:hint="eastAsia" w:eastAsia="宋体"/>
                <w:sz w:val="24"/>
                <w:szCs w:val="24"/>
                <w:highlight w:val="none"/>
                <w:lang w:eastAsia="zh-CN"/>
              </w:rPr>
            </w:pPr>
            <w:r>
              <w:rPr>
                <w:rFonts w:hint="eastAsia" w:ascii="宋体" w:hAnsi="宋体"/>
                <w:sz w:val="24"/>
                <w:highlight w:val="yellow"/>
              </w:rPr>
              <w:t>合同签订后支付全款的30%</w:t>
            </w:r>
            <w:r>
              <w:rPr>
                <w:rFonts w:ascii="宋体" w:hAnsi="宋体"/>
                <w:sz w:val="24"/>
                <w:highlight w:val="yellow"/>
              </w:rPr>
              <w:t>，</w:t>
            </w:r>
            <w:r>
              <w:rPr>
                <w:rFonts w:hint="eastAsia" w:ascii="宋体" w:hAnsi="宋体"/>
                <w:sz w:val="24"/>
                <w:highlight w:val="yellow"/>
              </w:rPr>
              <w:t>设备人员全部到场后支付全款的40%。</w:t>
            </w:r>
            <w:r>
              <w:rPr>
                <w:rFonts w:ascii="宋体" w:hAnsi="宋体"/>
                <w:sz w:val="24"/>
                <w:highlight w:val="yellow"/>
              </w:rPr>
              <w:t>安装</w:t>
            </w:r>
            <w:r>
              <w:rPr>
                <w:rFonts w:hint="eastAsia" w:ascii="宋体" w:hAnsi="宋体"/>
                <w:sz w:val="24"/>
                <w:highlight w:val="yellow"/>
              </w:rPr>
              <w:t>调试完毕</w:t>
            </w:r>
            <w:r>
              <w:rPr>
                <w:rFonts w:ascii="宋体" w:hAnsi="宋体"/>
                <w:sz w:val="24"/>
                <w:highlight w:val="yellow"/>
              </w:rPr>
              <w:t>验收</w:t>
            </w:r>
            <w:r>
              <w:rPr>
                <w:rFonts w:hint="eastAsia" w:ascii="宋体" w:hAnsi="宋体"/>
                <w:sz w:val="24"/>
                <w:highlight w:val="yellow"/>
              </w:rPr>
              <w:t>合格正常运行</w:t>
            </w:r>
            <w:r>
              <w:rPr>
                <w:rFonts w:ascii="宋体" w:hAnsi="宋体"/>
                <w:sz w:val="24"/>
                <w:highlight w:val="yellow"/>
              </w:rPr>
              <w:t>后付</w:t>
            </w:r>
            <w:r>
              <w:rPr>
                <w:rFonts w:hint="eastAsia" w:ascii="宋体" w:hAnsi="宋体"/>
                <w:sz w:val="24"/>
                <w:highlight w:val="yellow"/>
              </w:rPr>
              <w:t>全</w:t>
            </w:r>
            <w:r>
              <w:rPr>
                <w:rFonts w:ascii="宋体" w:hAnsi="宋体"/>
                <w:sz w:val="24"/>
                <w:highlight w:val="yellow"/>
              </w:rPr>
              <w:t>款</w:t>
            </w:r>
            <w:r>
              <w:rPr>
                <w:rFonts w:hint="eastAsia" w:ascii="宋体" w:hAnsi="宋体"/>
                <w:sz w:val="24"/>
                <w:highlight w:val="yellow"/>
              </w:rPr>
              <w:t>的</w:t>
            </w:r>
            <w:r>
              <w:rPr>
                <w:rFonts w:hint="eastAsia" w:ascii="宋体" w:hAnsi="宋体"/>
                <w:sz w:val="24"/>
                <w:highlight w:val="yellow"/>
                <w:lang w:val="en-US" w:eastAsia="zh-CN"/>
              </w:rPr>
              <w:t>30</w:t>
            </w:r>
            <w:r>
              <w:rPr>
                <w:rFonts w:ascii="宋体" w:hAnsi="宋体"/>
                <w:sz w:val="24"/>
                <w:highlight w:val="yellow"/>
              </w:rPr>
              <w:t>%</w:t>
            </w:r>
            <w:r>
              <w:rPr>
                <w:rFonts w:hint="eastAsia" w:ascii="宋体" w:hAnsi="宋体"/>
                <w:sz w:val="24"/>
                <w:highlight w:val="yellow"/>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ascii="宋体" w:hAnsi="宋体" w:cs="宋体"/>
                <w:sz w:val="24"/>
                <w:szCs w:val="24"/>
                <w:highlight w:val="none"/>
              </w:rPr>
            </w:pPr>
            <w:r>
              <w:rPr>
                <w:rFonts w:hint="eastAsia" w:ascii="宋体" w:hAnsi="宋体" w:cs="宋体"/>
                <w:sz w:val="24"/>
                <w:szCs w:val="24"/>
                <w:highlight w:val="none"/>
              </w:rPr>
              <w:t>勘察现场</w:t>
            </w:r>
          </w:p>
        </w:tc>
        <w:tc>
          <w:tcPr>
            <w:tcW w:w="6615" w:type="dxa"/>
            <w:vAlign w:val="center"/>
          </w:tcPr>
          <w:p>
            <w:pPr>
              <w:tabs>
                <w:tab w:val="left" w:pos="8640"/>
              </w:tabs>
              <w:jc w:val="left"/>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eastAsia="宋体" w:cs="宋体"/>
                <w:color w:val="auto"/>
                <w:sz w:val="24"/>
                <w:highlight w:val="none"/>
              </w:rPr>
              <w:t>为避免供应商盲目投标，确保项目顺利实施，请潜在的供应商</w:t>
            </w:r>
            <w:r>
              <w:rPr>
                <w:rFonts w:hint="eastAsia" w:ascii="宋体" w:hAnsi="宋体" w:eastAsia="宋体" w:cs="宋体"/>
                <w:color w:val="auto"/>
                <w:sz w:val="24"/>
                <w:highlight w:val="none"/>
                <w:lang w:val="en-US" w:eastAsia="zh-CN"/>
              </w:rPr>
              <w:t>在获取采购文件</w:t>
            </w:r>
            <w:r>
              <w:rPr>
                <w:rFonts w:hint="eastAsia" w:ascii="宋体" w:hAnsi="宋体" w:eastAsia="宋体" w:cs="宋体"/>
                <w:color w:val="auto"/>
                <w:sz w:val="24"/>
                <w:highlight w:val="none"/>
              </w:rPr>
              <w:t>截止</w:t>
            </w: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rPr>
              <w:t>后</w:t>
            </w:r>
            <w:r>
              <w:rPr>
                <w:rFonts w:hint="eastAsia" w:ascii="宋体" w:hAnsi="宋体" w:eastAsia="宋体" w:cs="宋体"/>
                <w:color w:val="auto"/>
                <w:sz w:val="24"/>
                <w:highlight w:val="none"/>
                <w:lang w:val="en-US" w:eastAsia="zh-CN"/>
              </w:rPr>
              <w:t>的第</w:t>
            </w:r>
            <w:r>
              <w:rPr>
                <w:rFonts w:hint="eastAsia" w:ascii="宋体" w:hAnsi="宋体" w:eastAsia="宋体" w:cs="宋体"/>
                <w:color w:val="auto"/>
                <w:sz w:val="24"/>
                <w:highlight w:val="none"/>
              </w:rPr>
              <w:t>一个工作日</w:t>
            </w:r>
            <w:r>
              <w:rPr>
                <w:rFonts w:ascii="宋体" w:hAnsi="宋体" w:eastAsia="宋体" w:cs="宋体"/>
                <w:color w:val="auto"/>
                <w:sz w:val="24"/>
                <w:szCs w:val="24"/>
                <w:highlight w:val="none"/>
              </w:rPr>
              <w:t>上午9-12 点,下午 15-17 点及</w:t>
            </w:r>
            <w:r>
              <w:rPr>
                <w:rFonts w:hint="eastAsia" w:ascii="宋体" w:hAnsi="宋体" w:eastAsia="宋体" w:cs="宋体"/>
                <w:color w:val="auto"/>
                <w:sz w:val="24"/>
                <w:highlight w:val="none"/>
              </w:rPr>
              <w:t>及时到</w:t>
            </w:r>
            <w:r>
              <w:rPr>
                <w:rFonts w:ascii="宋体" w:hAnsi="宋体" w:eastAsia="宋体" w:cs="宋体"/>
                <w:color w:val="auto"/>
                <w:sz w:val="24"/>
                <w:szCs w:val="24"/>
                <w:highlight w:val="none"/>
              </w:rPr>
              <w:t>到现场设备运行及老化情况进行实地勘查，并根据现场勘查情况，于当日向采购人提交适合本项目特点的服务方案。</w:t>
            </w:r>
            <w:r>
              <w:rPr>
                <w:rFonts w:hint="eastAsia" w:ascii="宋体" w:hAnsi="宋体" w:eastAsia="宋体" w:cs="宋体"/>
                <w:color w:val="auto"/>
                <w:sz w:val="24"/>
                <w:highlight w:val="none"/>
              </w:rPr>
              <w:t xml:space="preserve">勘查现场由供应商自行与采购人联系。 </w:t>
            </w:r>
            <w:r>
              <w:rPr>
                <w:rFonts w:ascii="宋体" w:hAnsi="宋体" w:eastAsia="宋体" w:cs="宋体"/>
                <w:color w:val="auto"/>
                <w:sz w:val="24"/>
                <w:szCs w:val="24"/>
                <w:highlight w:val="none"/>
              </w:rPr>
              <w:t>经采购人证实</w:t>
            </w:r>
            <w:r>
              <w:rPr>
                <w:rFonts w:hint="eastAsia" w:ascii="宋体" w:hAnsi="宋体" w:eastAsia="宋体" w:cs="宋体"/>
                <w:color w:val="auto"/>
                <w:sz w:val="24"/>
                <w:highlight w:val="none"/>
              </w:rPr>
              <w:t>供应商</w:t>
            </w:r>
            <w:r>
              <w:rPr>
                <w:rFonts w:ascii="宋体" w:hAnsi="宋体" w:eastAsia="宋体" w:cs="宋体"/>
                <w:color w:val="auto"/>
                <w:sz w:val="24"/>
                <w:szCs w:val="24"/>
                <w:highlight w:val="none"/>
              </w:rPr>
              <w:t>已到现场勘察并对</w:t>
            </w:r>
            <w:r>
              <w:rPr>
                <w:rFonts w:hint="eastAsia" w:ascii="宋体" w:hAnsi="宋体" w:eastAsia="宋体" w:cs="宋体"/>
                <w:color w:val="auto"/>
                <w:sz w:val="24"/>
                <w:highlight w:val="none"/>
              </w:rPr>
              <w:t>供应商</w:t>
            </w:r>
            <w:r>
              <w:rPr>
                <w:rFonts w:ascii="宋体" w:hAnsi="宋体" w:eastAsia="宋体" w:cs="宋体"/>
                <w:color w:val="auto"/>
                <w:sz w:val="24"/>
                <w:szCs w:val="24"/>
                <w:highlight w:val="none"/>
              </w:rPr>
              <w:t>提供的服务方案认可后，开具加盖采购单位公章的勘察证明函，</w:t>
            </w:r>
            <w:r>
              <w:rPr>
                <w:rFonts w:hint="eastAsia" w:ascii="宋体" w:hAnsi="宋体" w:eastAsia="宋体" w:cs="宋体"/>
                <w:color w:val="auto"/>
                <w:sz w:val="24"/>
                <w:highlight w:val="none"/>
              </w:rPr>
              <w:t>供应商</w:t>
            </w:r>
            <w:r>
              <w:rPr>
                <w:rFonts w:ascii="宋体" w:hAnsi="宋体" w:eastAsia="宋体" w:cs="宋体"/>
                <w:color w:val="auto"/>
                <w:sz w:val="24"/>
                <w:szCs w:val="24"/>
                <w:highlight w:val="none"/>
              </w:rPr>
              <w:t>将证明函原件放在投标响应文件中（电子标为原件扫描件）。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勘察</w:t>
            </w: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刘嘉</w:t>
            </w:r>
            <w:r>
              <w:rPr>
                <w:rFonts w:hint="eastAsia" w:ascii="宋体" w:hAnsi="宋体" w:eastAsia="宋体" w:cs="宋体"/>
                <w:color w:val="auto"/>
                <w:sz w:val="24"/>
                <w:highlight w:val="none"/>
              </w:rPr>
              <w:t>，联系电话：</w:t>
            </w:r>
            <w:r>
              <w:rPr>
                <w:rFonts w:hint="eastAsia" w:ascii="宋体" w:hAnsi="宋体" w:cs="宋体"/>
                <w:color w:val="auto"/>
                <w:sz w:val="24"/>
                <w:highlight w:val="none"/>
              </w:rPr>
              <w:t>15138360444</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勘察</w:t>
            </w:r>
            <w:r>
              <w:rPr>
                <w:rFonts w:hint="eastAsia" w:ascii="宋体" w:hAnsi="宋体" w:eastAsia="宋体" w:cs="宋体"/>
                <w:color w:val="auto"/>
                <w:sz w:val="24"/>
                <w:highlight w:val="none"/>
              </w:rPr>
              <w:t>地点：西华县展辉路，西华县中医院）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2"/>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ascii="宋体" w:hAnsi="宋体" w:cs="宋体"/>
                <w:b/>
                <w:bCs/>
                <w:sz w:val="24"/>
                <w:highlight w:val="none"/>
              </w:rPr>
            </w:pPr>
            <w:r>
              <w:rPr>
                <w:rFonts w:hint="eastAsia" w:ascii="宋体" w:hAnsi="宋体" w:cs="宋体"/>
                <w:b/>
                <w:bCs/>
                <w:sz w:val="24"/>
                <w:highlight w:val="none"/>
              </w:rPr>
              <w:t>报价</w:t>
            </w:r>
          </w:p>
        </w:tc>
        <w:tc>
          <w:tcPr>
            <w:tcW w:w="6615" w:type="dxa"/>
            <w:vAlign w:val="center"/>
          </w:tcPr>
          <w:p>
            <w:pPr>
              <w:tabs>
                <w:tab w:val="left" w:pos="8640"/>
              </w:tabs>
              <w:jc w:val="left"/>
              <w:rPr>
                <w:rFonts w:ascii="宋体" w:hAnsi="宋体" w:cs="宋体"/>
                <w:b/>
                <w:bCs/>
                <w:sz w:val="24"/>
                <w:highlight w:val="none"/>
                <w:u w:val="single"/>
              </w:rPr>
            </w:pPr>
            <w:r>
              <w:rPr>
                <w:rFonts w:hint="eastAsia" w:ascii="宋体" w:hAnsi="宋体" w:cs="宋体"/>
                <w:b/>
                <w:bCs/>
                <w:sz w:val="24"/>
                <w:highlight w:val="none"/>
              </w:rPr>
              <w:t>一次报价</w:t>
            </w:r>
          </w:p>
        </w:tc>
      </w:tr>
    </w:tbl>
    <w:p>
      <w:pPr>
        <w:spacing w:line="720" w:lineRule="auto"/>
        <w:jc w:val="center"/>
        <w:rPr>
          <w:rFonts w:hint="eastAsia" w:ascii="宋体" w:hAnsi="宋体" w:cs="宋体"/>
          <w:b/>
          <w:sz w:val="30"/>
          <w:szCs w:val="30"/>
          <w:highlight w:val="none"/>
        </w:rPr>
      </w:pPr>
    </w:p>
    <w:p>
      <w:pPr>
        <w:spacing w:line="720" w:lineRule="auto"/>
        <w:jc w:val="center"/>
        <w:rPr>
          <w:rFonts w:hint="eastAsia" w:ascii="宋体" w:hAnsi="宋体" w:cs="宋体"/>
          <w:b/>
          <w:sz w:val="30"/>
          <w:szCs w:val="30"/>
          <w:highlight w:val="none"/>
        </w:rPr>
      </w:pPr>
    </w:p>
    <w:p>
      <w:pPr>
        <w:spacing w:line="720" w:lineRule="auto"/>
        <w:jc w:val="center"/>
        <w:rPr>
          <w:rFonts w:ascii="宋体" w:hAnsi="宋体" w:cs="宋体"/>
          <w:b/>
          <w:sz w:val="30"/>
          <w:szCs w:val="30"/>
          <w:highlight w:val="none"/>
        </w:rPr>
      </w:pPr>
      <w:r>
        <w:rPr>
          <w:rFonts w:hint="eastAsia" w:ascii="宋体" w:hAnsi="宋体" w:cs="宋体"/>
          <w:b/>
          <w:sz w:val="30"/>
          <w:szCs w:val="30"/>
          <w:highlight w:val="none"/>
        </w:rPr>
        <w:t>一、总则</w:t>
      </w:r>
    </w:p>
    <w:p>
      <w:pPr>
        <w:spacing w:line="560" w:lineRule="exact"/>
        <w:ind w:firstLine="482" w:firstLineChars="200"/>
        <w:rPr>
          <w:rFonts w:ascii="宋体" w:hAnsi="宋体" w:cs="宋体"/>
          <w:sz w:val="24"/>
          <w:highlight w:val="none"/>
        </w:rPr>
      </w:pPr>
      <w:r>
        <w:rPr>
          <w:rFonts w:hint="eastAsia" w:ascii="宋体" w:hAnsi="宋体" w:cs="宋体"/>
          <w:b/>
          <w:sz w:val="24"/>
          <w:highlight w:val="none"/>
        </w:rPr>
        <w:t>1．适用范围</w:t>
      </w:r>
    </w:p>
    <w:p>
      <w:pPr>
        <w:spacing w:line="560" w:lineRule="exact"/>
        <w:ind w:firstLine="480" w:firstLineChars="200"/>
        <w:rPr>
          <w:rFonts w:ascii="宋体" w:hAnsi="宋体" w:cs="宋体"/>
          <w:bCs/>
          <w:sz w:val="24"/>
          <w:highlight w:val="none"/>
        </w:rPr>
      </w:pPr>
      <w:r>
        <w:rPr>
          <w:rFonts w:hint="eastAsia" w:ascii="宋体" w:hAnsi="宋体" w:cs="宋体"/>
          <w:sz w:val="24"/>
          <w:highlight w:val="none"/>
        </w:rPr>
        <w:t>1.1本竞争性磋商文件仅适用于本次竞争性磋商邀请函中所述</w:t>
      </w:r>
      <w:r>
        <w:rPr>
          <w:rFonts w:hint="eastAsia" w:ascii="宋体" w:hAnsi="宋体" w:cs="宋体"/>
          <w:bCs/>
          <w:sz w:val="24"/>
          <w:highlight w:val="none"/>
        </w:rPr>
        <w:t>项目。</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2．定义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2.1“采购代理机构”：周口市公共资源交易中心政府采购中心。</w:t>
      </w:r>
    </w:p>
    <w:p>
      <w:pPr>
        <w:tabs>
          <w:tab w:val="left" w:pos="0"/>
        </w:tabs>
        <w:spacing w:line="5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2.2“采购人”：</w:t>
      </w:r>
      <w:r>
        <w:rPr>
          <w:rFonts w:hint="eastAsia" w:ascii="宋体" w:hAnsi="宋体" w:cs="宋体"/>
          <w:sz w:val="24"/>
          <w:highlight w:val="none"/>
          <w:lang w:val="en-US" w:eastAsia="zh-CN"/>
        </w:rPr>
        <w:t>西华县中医院</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2.4“供应商代表”：系指代表供应商参加本次竞争性磋商活动的供应商的法定代表人或其委托代理人。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2.5“服务”：系指本项目所采购的服务及其他要求等。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2.8“不具备良好的商业信誉”是指：</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（1）有重大违法记录的（满三年的除外）；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（2）被各级财政部门列入政府采购严重违法失信行为信息记录的（期限已满的除外）；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（3）被各级政府采购监督管理部门禁止在一定期限内参加政府采购活动等处罚的（期限已满的除外）；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（4）被各级法院列入失信名单的（已依法解除的除外）；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（5）法律法规规定的其他情形。</w:t>
      </w:r>
    </w:p>
    <w:p>
      <w:pPr>
        <w:spacing w:line="560" w:lineRule="exact"/>
        <w:ind w:firstLine="482" w:firstLineChars="200"/>
        <w:rPr>
          <w:rFonts w:ascii="宋体" w:hAnsi="宋体" w:cs="宋体"/>
          <w:b/>
          <w:color w:val="auto"/>
          <w:sz w:val="24"/>
          <w:highlight w:val="none"/>
        </w:rPr>
      </w:pPr>
      <w:r>
        <w:rPr>
          <w:rFonts w:hint="eastAsia" w:ascii="宋体" w:hAnsi="宋体" w:cs="宋体"/>
          <w:b/>
          <w:sz w:val="24"/>
          <w:highlight w:val="none"/>
        </w:rPr>
        <w:t>3.采购预算</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3.1本次采购预算：见公告。</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4.合格的供应商</w:t>
      </w:r>
    </w:p>
    <w:p>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4.1.1符合供应商资格条件（详见第一部分供应商资格条件）</w:t>
      </w:r>
    </w:p>
    <w:p>
      <w:pPr>
        <w:widowControl w:val="0"/>
        <w:spacing w:before="0" w:after="0" w:line="360" w:lineRule="auto"/>
        <w:ind w:left="0" w:right="0" w:firstLine="480"/>
        <w:jc w:val="both"/>
        <w:rPr>
          <w:rFonts w:hint="eastAsia" w:ascii="宋体" w:hAnsi="宋体" w:eastAsia="宋体" w:cs="宋体"/>
          <w:color w:val="auto"/>
          <w:spacing w:val="0"/>
          <w:position w:val="0"/>
          <w:sz w:val="24"/>
          <w:highlight w:val="none"/>
          <w:shd w:val="clear" w:fill="FFFFFF"/>
        </w:rPr>
      </w:pPr>
      <w:r>
        <w:rPr>
          <w:rFonts w:hint="eastAsia" w:ascii="宋体" w:hAnsi="宋体" w:eastAsia="宋体" w:cs="宋体"/>
          <w:color w:val="auto"/>
          <w:spacing w:val="0"/>
          <w:position w:val="0"/>
          <w:sz w:val="24"/>
          <w:highlight w:val="none"/>
          <w:shd w:val="clear" w:fill="FFFFFF"/>
        </w:rPr>
        <w:t>4.1.2</w:t>
      </w:r>
      <w:r>
        <w:rPr>
          <w:rFonts w:hint="eastAsia" w:ascii="宋体" w:hAnsi="宋体" w:eastAsia="宋体" w:cs="宋体"/>
          <w:color w:val="auto"/>
          <w:spacing w:val="0"/>
          <w:position w:val="0"/>
          <w:sz w:val="24"/>
          <w:highlight w:val="none"/>
          <w:shd w:val="clear" w:fill="auto"/>
        </w:rPr>
        <w:t>参加政府采购活动前三年内，在经营活动中没有重大违法记录的声明</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z w:val="24"/>
          <w:highlight w:val="none"/>
        </w:rPr>
        <w:t>无诉讼声明</w:t>
      </w:r>
      <w:r>
        <w:rPr>
          <w:rFonts w:hint="eastAsia" w:ascii="宋体" w:hAnsi="宋体" w:eastAsia="宋体" w:cs="宋体"/>
          <w:color w:val="auto"/>
          <w:spacing w:val="0"/>
          <w:position w:val="0"/>
          <w:sz w:val="24"/>
          <w:highlight w:val="none"/>
          <w:shd w:val="clear" w:fill="FFFFFF"/>
        </w:rPr>
        <w:t>；</w:t>
      </w:r>
    </w:p>
    <w:p>
      <w:pPr>
        <w:widowControl w:val="0"/>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4.1.3 政府采购供应商诚信承诺书；</w:t>
      </w:r>
    </w:p>
    <w:p>
      <w:pPr>
        <w:spacing w:before="0" w:after="120" w:line="360" w:lineRule="auto"/>
        <w:ind w:left="0" w:right="0" w:firstLine="480"/>
        <w:jc w:val="left"/>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4.1.4 供应商自觉抵制政府采购领域商业贿赂行为承诺书；</w:t>
      </w:r>
    </w:p>
    <w:p>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4.2 供应商需提供售后服务体系与承诺。</w:t>
      </w:r>
    </w:p>
    <w:p>
      <w:pPr>
        <w:spacing w:line="360" w:lineRule="auto"/>
        <w:ind w:left="420" w:leftChars="200" w:firstLine="88" w:firstLineChars="37"/>
        <w:rPr>
          <w:rFonts w:hint="eastAsia"/>
          <w:color w:val="auto"/>
          <w:highlight w:val="none"/>
        </w:rPr>
      </w:pP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rPr>
        <w:t>加盖单位公章、法定代表人签章的营业执照扫描件。</w:t>
      </w:r>
    </w:p>
    <w:p>
      <w:pPr>
        <w:spacing w:before="0" w:after="120" w:line="360" w:lineRule="auto"/>
        <w:ind w:left="0" w:right="0" w:firstLine="480"/>
        <w:jc w:val="left"/>
        <w:rPr>
          <w:rFonts w:hint="eastAsia" w:ascii="宋体" w:hAnsi="宋体" w:eastAsia="宋体" w:cs="宋体"/>
          <w:color w:val="auto"/>
          <w:spacing w:val="15"/>
          <w:position w:val="0"/>
          <w:sz w:val="24"/>
          <w:shd w:val="clear" w:fill="auto"/>
        </w:rPr>
      </w:pPr>
      <w:r>
        <w:rPr>
          <w:rFonts w:hint="eastAsia" w:ascii="宋体" w:hAnsi="宋体" w:eastAsia="宋体" w:cs="宋体"/>
          <w:color w:val="auto"/>
          <w:spacing w:val="0"/>
          <w:position w:val="0"/>
          <w:sz w:val="24"/>
          <w:shd w:val="clear" w:fill="auto"/>
        </w:rPr>
        <w:t>4.</w:t>
      </w:r>
      <w:r>
        <w:rPr>
          <w:rFonts w:hint="eastAsia" w:ascii="宋体" w:hAnsi="宋体" w:eastAsia="宋体" w:cs="宋体"/>
          <w:color w:val="auto"/>
          <w:spacing w:val="0"/>
          <w:position w:val="0"/>
          <w:sz w:val="24"/>
          <w:shd w:val="clear" w:fill="auto"/>
          <w:lang w:val="en-US" w:eastAsia="zh-CN"/>
        </w:rPr>
        <w:t>4</w:t>
      </w:r>
      <w:r>
        <w:rPr>
          <w:rFonts w:hint="eastAsia" w:ascii="宋体" w:hAnsi="宋体" w:eastAsia="宋体" w:cs="宋体"/>
          <w:color w:val="auto"/>
          <w:spacing w:val="0"/>
          <w:position w:val="0"/>
          <w:sz w:val="24"/>
          <w:shd w:val="clear" w:fill="auto"/>
        </w:rPr>
        <w:t>符合本竞争性磋商文件规定的供应商资格要求及项目要求的其它条件，并按照要求提供相关证明材料。</w:t>
      </w:r>
    </w:p>
    <w:p>
      <w:pPr>
        <w:spacing w:before="0" w:after="0" w:line="360" w:lineRule="auto"/>
        <w:ind w:left="0" w:right="0" w:firstLine="480"/>
        <w:jc w:val="both"/>
        <w:rPr>
          <w:rFonts w:hint="eastAsia"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4.</w:t>
      </w:r>
      <w:r>
        <w:rPr>
          <w:rFonts w:hint="eastAsia" w:ascii="宋体" w:hAnsi="宋体" w:eastAsia="宋体" w:cs="宋体"/>
          <w:color w:val="auto"/>
          <w:spacing w:val="0"/>
          <w:position w:val="0"/>
          <w:sz w:val="24"/>
          <w:shd w:val="clear" w:fill="auto"/>
          <w:lang w:val="en-US" w:eastAsia="zh-CN"/>
        </w:rPr>
        <w:t>5</w:t>
      </w:r>
      <w:r>
        <w:rPr>
          <w:rFonts w:hint="eastAsia" w:ascii="宋体" w:hAnsi="宋体" w:eastAsia="宋体" w:cs="宋体"/>
          <w:color w:val="auto"/>
          <w:spacing w:val="0"/>
          <w:position w:val="0"/>
          <w:sz w:val="24"/>
          <w:shd w:val="clear" w:fill="auto"/>
        </w:rPr>
        <w:t>供应商应遵守国家法律、法规有关竞争性磋商的规定。</w:t>
      </w:r>
    </w:p>
    <w:p>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shd w:val="clear" w:fill="auto"/>
        </w:rPr>
        <w:t>4.</w:t>
      </w:r>
      <w:r>
        <w:rPr>
          <w:rFonts w:hint="eastAsia" w:ascii="宋体" w:hAnsi="宋体" w:eastAsia="宋体" w:cs="宋体"/>
          <w:color w:val="auto"/>
          <w:spacing w:val="0"/>
          <w:position w:val="0"/>
          <w:sz w:val="24"/>
          <w:shd w:val="clear" w:fill="auto"/>
          <w:lang w:val="en-US" w:eastAsia="zh-CN"/>
        </w:rPr>
        <w:t>6</w:t>
      </w:r>
      <w:r>
        <w:rPr>
          <w:rFonts w:hint="eastAsia" w:ascii="宋体" w:hAnsi="宋体" w:eastAsia="宋体" w:cs="宋体"/>
          <w:color w:val="auto"/>
          <w:spacing w:val="0"/>
          <w:position w:val="0"/>
          <w:sz w:val="24"/>
          <w:shd w:val="clear" w:fill="auto"/>
        </w:rPr>
        <w:t xml:space="preserve"> 凡通过磋商小组符</w:t>
      </w:r>
      <w:r>
        <w:rPr>
          <w:rFonts w:hint="eastAsia" w:ascii="宋体" w:hAnsi="宋体" w:eastAsia="宋体" w:cs="宋体"/>
          <w:color w:val="auto"/>
          <w:spacing w:val="0"/>
          <w:position w:val="0"/>
          <w:sz w:val="24"/>
          <w:highlight w:val="none"/>
          <w:shd w:val="clear" w:fill="auto"/>
        </w:rPr>
        <w:t>合性审查的供应商均为合格供应商。未通过符合性审查的供应商将视为不响应本项目的竞争性磋商文件被否决。</w:t>
      </w:r>
    </w:p>
    <w:p>
      <w:pPr>
        <w:spacing w:before="0" w:after="0" w:line="360" w:lineRule="auto"/>
        <w:ind w:left="0" w:right="0" w:firstLine="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 xml:space="preserve">   4.</w:t>
      </w:r>
      <w:r>
        <w:rPr>
          <w:rFonts w:hint="eastAsia" w:ascii="宋体" w:hAnsi="宋体" w:eastAsia="宋体" w:cs="宋体"/>
          <w:color w:val="auto"/>
          <w:spacing w:val="0"/>
          <w:position w:val="0"/>
          <w:sz w:val="24"/>
          <w:highlight w:val="none"/>
          <w:shd w:val="clear" w:fill="auto"/>
          <w:lang w:val="en-US" w:eastAsia="zh-CN"/>
        </w:rPr>
        <w:t>7</w:t>
      </w:r>
      <w:r>
        <w:rPr>
          <w:rFonts w:hint="eastAsia" w:ascii="宋体" w:hAnsi="宋体" w:eastAsia="宋体" w:cs="宋体"/>
          <w:color w:val="auto"/>
          <w:spacing w:val="0"/>
          <w:position w:val="0"/>
          <w:sz w:val="24"/>
          <w:highlight w:val="none"/>
          <w:shd w:val="clear" w:fill="auto"/>
        </w:rPr>
        <w:t xml:space="preserve"> 勘查现场</w:t>
      </w:r>
      <w:r>
        <w:rPr>
          <w:rFonts w:hint="eastAsia" w:ascii="宋体" w:hAnsi="宋体" w:eastAsia="宋体" w:cs="宋体"/>
          <w:color w:val="auto"/>
          <w:spacing w:val="0"/>
          <w:position w:val="0"/>
          <w:sz w:val="24"/>
          <w:highlight w:val="none"/>
          <w:shd w:val="clear" w:fill="auto"/>
          <w:lang w:val="en-US" w:eastAsia="zh-CN"/>
        </w:rPr>
        <w:t>不组织</w:t>
      </w:r>
      <w:r>
        <w:rPr>
          <w:rFonts w:hint="eastAsia" w:ascii="宋体" w:hAnsi="宋体" w:eastAsia="宋体" w:cs="宋体"/>
          <w:color w:val="auto"/>
          <w:spacing w:val="0"/>
          <w:position w:val="0"/>
          <w:sz w:val="24"/>
          <w:highlight w:val="none"/>
          <w:shd w:val="clear" w:fill="auto"/>
        </w:rPr>
        <w:t>。</w:t>
      </w:r>
    </w:p>
    <w:p>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注：单位负责人为同一人或者存在直接控股、管理关系的不同供应商，不得参加同一合同项下的政府采购活动。</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5.竞争性磋商文件的约束力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5.l供应商一旦参加竞争性磋商，即被认为接受了本竞争性磋商文件中的所有条款和规定。</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5.3本磋商文件由采购人负责解释。</w:t>
      </w:r>
    </w:p>
    <w:p>
      <w:pPr>
        <w:pStyle w:val="28"/>
        <w:ind w:firstLine="480"/>
        <w:rPr>
          <w:rFonts w:ascii="宋体" w:hAnsi="宋体" w:eastAsia="宋体" w:cs="宋体"/>
          <w:color w:val="auto"/>
          <w:sz w:val="24"/>
          <w:highlight w:val="none"/>
        </w:rPr>
      </w:pPr>
    </w:p>
    <w:p>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二、竞争性磋商文件</w:t>
      </w:r>
    </w:p>
    <w:p>
      <w:pPr>
        <w:tabs>
          <w:tab w:val="left" w:pos="632"/>
          <w:tab w:val="left" w:pos="79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6．竞争性磋商文件的组成</w:t>
      </w:r>
    </w:p>
    <w:p>
      <w:pPr>
        <w:autoSpaceDE w:val="0"/>
        <w:autoSpaceDN w:val="0"/>
        <w:adjustRightIn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6.1竞争性磋商</w:t>
      </w:r>
      <w:r>
        <w:rPr>
          <w:rFonts w:hint="eastAsia" w:ascii="宋体" w:hAnsi="宋体" w:cs="宋体"/>
          <w:color w:val="auto"/>
          <w:sz w:val="24"/>
          <w:highlight w:val="none"/>
          <w:lang w:val="zh-CN"/>
        </w:rPr>
        <w:t>文件是用以阐明的采购需求、采购程序和合同格式等的规范性文件。竞争性磋商文件主要由以下部分组成：</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（1）竞争性磋商邀请函；</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（2）供应商须知；</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（3）采购需求；</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（4）响应性文件内容及格式；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（5）合同主要条款。</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7.竞争性磋商文件的澄清与修改</w:t>
      </w:r>
    </w:p>
    <w:p>
      <w:pPr>
        <w:autoSpaceDE w:val="0"/>
        <w:autoSpaceDN w:val="0"/>
        <w:adjustRightInd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7.2供应商应仔细阅读竞争性磋商文件的所有内容，如果有异议在规定的时间内提出，没有异议需做出“无异议”承诺书，承诺书作为响应文件的组织部分，否则为无效响应文件。</w:t>
      </w:r>
    </w:p>
    <w:p>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三、响应性文件的编制</w:t>
      </w:r>
    </w:p>
    <w:p>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8.要求</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8.1供应商应仔细阅读、并充分理解竞争性磋商文件的所有内容，按照竞争性磋商文件的要求编制、提交响应性文件。响应性文件应对竞争性磋商文件的要求作出实质性响应，并</w:t>
      </w:r>
      <w:r>
        <w:rPr>
          <w:rFonts w:hint="eastAsia" w:ascii="宋体" w:hAnsi="宋体" w:cs="宋体"/>
          <w:color w:val="auto"/>
          <w:sz w:val="24"/>
          <w:highlight w:val="none"/>
          <w:lang w:val="en-US" w:eastAsia="zh-CN"/>
        </w:rPr>
        <w:t>声明</w:t>
      </w:r>
      <w:r>
        <w:rPr>
          <w:rFonts w:hint="eastAsia" w:ascii="宋体" w:hAnsi="宋体" w:cs="宋体"/>
          <w:color w:val="auto"/>
          <w:sz w:val="24"/>
          <w:highlight w:val="none"/>
        </w:rPr>
        <w:t>所提供的全部资料的真实性、合法性，否则其响应性文件将作为无效处理。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8.2任何对竞争性磋商文件的忽略或误解不能作为响应性文件没有完全响应竞争性磋商文件的有效理由。</w:t>
      </w:r>
    </w:p>
    <w:p>
      <w:pPr>
        <w:spacing w:line="560" w:lineRule="exact"/>
        <w:ind w:firstLine="480" w:firstLineChars="200"/>
        <w:rPr>
          <w:rFonts w:ascii="宋体" w:hAnsi="宋体" w:cs="宋体"/>
          <w:i/>
          <w:iCs/>
          <w:color w:val="auto"/>
          <w:sz w:val="24"/>
          <w:highlight w:val="none"/>
        </w:rPr>
      </w:pPr>
      <w:r>
        <w:rPr>
          <w:rFonts w:hint="eastAsia" w:ascii="宋体" w:hAnsi="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r>
        <w:rPr>
          <w:rFonts w:hint="eastAsia" w:ascii="宋体" w:hAnsi="宋体" w:cs="宋体"/>
          <w:b w:val="0"/>
          <w:bCs w:val="0"/>
          <w:color w:val="auto"/>
          <w:sz w:val="24"/>
          <w:highlight w:val="none"/>
        </w:rPr>
        <w:t>供应商不得相互串通投标报价，不得妨碍其他供应商的公平竞争，不得损害采购人或其他供应商的合法权益，供应商不得以向采购人、评委会成员行贿或者采取其他不正当手段谋取中标。对上述作出保证并附响应文件中，否则视为不响应竞争性磋商文件要求。</w:t>
      </w:r>
    </w:p>
    <w:p>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9.响应性文件的语言及度量衡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9.1响应性文件以及供应商与采购代理机构之间的所有书面往来都应用简体中文书写。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9.2供应商使用其他语言的，以中文翻译为准。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9.4本竞争性磋商文件所表述的时间均为北京时间。</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10.响应性文件的组成</w:t>
      </w:r>
    </w:p>
    <w:p>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10.1响应性文件由</w:t>
      </w:r>
      <w:r>
        <w:rPr>
          <w:rFonts w:hint="eastAsia" w:ascii="宋体" w:hAnsi="宋体" w:cs="宋体"/>
          <w:bCs/>
          <w:color w:val="auto"/>
          <w:sz w:val="24"/>
          <w:highlight w:val="none"/>
          <w:u w:val="single"/>
        </w:rPr>
        <w:t>资格性证明材料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符合性证明材料</w:t>
      </w:r>
      <w:r>
        <w:rPr>
          <w:rFonts w:hint="eastAsia" w:ascii="宋体" w:hAnsi="宋体" w:cs="宋体"/>
          <w:bCs/>
          <w:color w:val="auto"/>
          <w:sz w:val="24"/>
          <w:highlight w:val="none"/>
        </w:rPr>
        <w:t>、</w:t>
      </w:r>
      <w:r>
        <w:rPr>
          <w:rFonts w:hint="eastAsia" w:ascii="宋体" w:hAnsi="宋体" w:cs="宋体"/>
          <w:bCs/>
          <w:color w:val="auto"/>
          <w:sz w:val="24"/>
          <w:highlight w:val="none"/>
          <w:u w:val="single"/>
        </w:rPr>
        <w:t>其他材料</w:t>
      </w:r>
      <w:r>
        <w:rPr>
          <w:rFonts w:hint="eastAsia" w:ascii="宋体" w:hAnsi="宋体" w:cs="宋体"/>
          <w:color w:val="auto"/>
          <w:sz w:val="24"/>
          <w:highlight w:val="none"/>
        </w:rPr>
        <w:t>三部分组成。具体内容和格式见竞争性磋商文件</w:t>
      </w:r>
      <w:r>
        <w:rPr>
          <w:rFonts w:hint="eastAsia" w:ascii="宋体" w:hAnsi="宋体" w:cs="宋体"/>
          <w:bCs/>
          <w:color w:val="auto"/>
          <w:sz w:val="24"/>
          <w:highlight w:val="none"/>
        </w:rPr>
        <w:t>第四章</w:t>
      </w:r>
      <w:r>
        <w:rPr>
          <w:rFonts w:hint="eastAsia" w:ascii="宋体" w:hAnsi="宋体" w:cs="宋体"/>
          <w:color w:val="auto"/>
          <w:sz w:val="24"/>
          <w:highlight w:val="none"/>
        </w:rPr>
        <w:t>。</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11.响应性文件格式</w:t>
      </w:r>
    </w:p>
    <w:p>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12.竞争性磋商报价</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12.1报价包括所投服务、保险、税费、检测、验收和交付后约定期限内免费维保等工作所发生的一切应有费用。</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12.2经过磋商后进行的报价为供应商的最终报价。</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12.3采购人不接受有选择的报价。</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12.4最终报价不得超过采购预算。</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12.5报价均须以人民币为计算单位。</w:t>
      </w:r>
    </w:p>
    <w:p>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13．响应性文件有效期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13.l响应性文件有效期为自竞争性磋商开始之日起60天，有效期短于此规定的响应性文件将被视为无效。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14.响应性文件的签署、盖章</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14.1</w:t>
      </w:r>
      <w:r>
        <w:rPr>
          <w:rFonts w:hint="eastAsia" w:ascii="宋体" w:hAnsi="宋体" w:cs="宋体"/>
          <w:color w:val="auto"/>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14.3供应商提交的资料应证明其满足竞争性磋商文件要求，该文件可以是文字资料、图纸和数据等详细描述的资料。</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15电子投标文件制作，见周口市公共资源交易中心网站下载中心版块《投标单位-电子投标文件视频制作手册》的相关规定。</w:t>
      </w:r>
    </w:p>
    <w:p>
      <w:pPr>
        <w:numPr>
          <w:ilvl w:val="0"/>
          <w:numId w:val="3"/>
        </w:num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响应性文件的递交</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360" w:lineRule="auto"/>
        <w:ind w:firstLine="550"/>
        <w:rPr>
          <w:rFonts w:ascii="宋体" w:hAnsi="宋体" w:cs="宋体"/>
          <w:color w:val="auto"/>
          <w:sz w:val="24"/>
          <w:highlight w:val="none"/>
        </w:rPr>
      </w:pPr>
      <w:r>
        <w:rPr>
          <w:rFonts w:hint="eastAsia" w:ascii="宋体" w:hAnsi="宋体" w:cs="宋体"/>
          <w:color w:val="auto"/>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pPr>
        <w:autoSpaceDE w:val="0"/>
        <w:autoSpaceDN w:val="0"/>
        <w:adjustRightInd w:val="0"/>
        <w:spacing w:line="50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供应商须使用单位CA证书进行电子响应文件远程解密，详见周口市公共资源电子交易中心网站（网址：http://jyzx.zhoukou.gov.cn）办事指南</w:t>
      </w:r>
      <w:r>
        <w:rPr>
          <w:rFonts w:hint="eastAsia" w:ascii="宋体" w:hAnsi="宋体" w:cs="宋体"/>
          <w:bCs/>
          <w:color w:val="auto"/>
          <w:sz w:val="24"/>
          <w:highlight w:val="none"/>
        </w:rPr>
        <w:t>《不见面开标远程在线解密会员端操作手册操作指南》</w:t>
      </w:r>
      <w:r>
        <w:rPr>
          <w:rFonts w:hint="eastAsia" w:ascii="宋体" w:hAnsi="宋体" w:cs="宋体"/>
          <w:color w:val="auto"/>
          <w:sz w:val="24"/>
          <w:highlight w:val="none"/>
        </w:rPr>
        <w:t>。</w:t>
      </w:r>
    </w:p>
    <w:p>
      <w:pPr>
        <w:spacing w:line="560" w:lineRule="exact"/>
        <w:rPr>
          <w:rFonts w:ascii="宋体" w:hAnsi="宋体" w:cs="宋体"/>
          <w:b/>
          <w:color w:val="auto"/>
          <w:sz w:val="24"/>
          <w:highlight w:val="none"/>
        </w:rPr>
      </w:pPr>
      <w:r>
        <w:rPr>
          <w:rFonts w:hint="eastAsia" w:ascii="宋体" w:hAnsi="宋体" w:cs="宋体"/>
          <w:b/>
          <w:color w:val="auto"/>
          <w:sz w:val="24"/>
          <w:highlight w:val="none"/>
        </w:rPr>
        <w:t>16.响应性文件的递交</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16.2若采购人推迟了响应性文件接收截止时间，采购人和供应商受响应性文件接收截止时间制约的所有权利和义务均应以新的截止时间为准。 </w:t>
      </w:r>
    </w:p>
    <w:p>
      <w:pPr>
        <w:pStyle w:val="56"/>
        <w:spacing w:line="560" w:lineRule="exact"/>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17</w:t>
      </w:r>
      <w:r>
        <w:rPr>
          <w:rFonts w:hint="eastAsia" w:ascii="宋体" w:hAnsi="宋体"/>
          <w:b/>
          <w:color w:val="auto"/>
          <w:sz w:val="24"/>
          <w:szCs w:val="24"/>
          <w:highlight w:val="none"/>
        </w:rPr>
        <w:t>.响应性文件的修改和撤回</w:t>
      </w:r>
    </w:p>
    <w:p>
      <w:pPr>
        <w:pStyle w:val="56"/>
        <w:spacing w:line="560" w:lineRule="exact"/>
        <w:ind w:left="279" w:leftChars="133" w:firstLine="240" w:firstLineChars="100"/>
        <w:rPr>
          <w:rFonts w:ascii="宋体" w:hAnsi="宋体"/>
          <w:b/>
          <w:bCs/>
          <w:color w:val="auto"/>
          <w:sz w:val="24"/>
          <w:szCs w:val="24"/>
          <w:highlight w:val="none"/>
        </w:rPr>
      </w:pPr>
      <w:r>
        <w:rPr>
          <w:rFonts w:hint="eastAsia" w:ascii="宋体" w:hAnsi="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17.3供应商在响应性文件接收截止时间后不得修改、撤回响应性文件。供应商在响应性文件接收截止时间后修改响应性文件的，将被拒绝接受。</w:t>
      </w:r>
    </w:p>
    <w:p>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17.4供应商有下列情形之一的，采购人将拒绝接受其响应性文件：</w:t>
      </w:r>
    </w:p>
    <w:p>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17.4.1在竞争性磋商文件规定的响应性文件接收截止时间之后递交响应性文件的；</w:t>
      </w:r>
    </w:p>
    <w:p>
      <w:pPr>
        <w:pStyle w:val="56"/>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17.4.2响应性文件未按竞争性磋商文件规定密封、签署、盖章的；</w:t>
      </w:r>
    </w:p>
    <w:p>
      <w:pPr>
        <w:pStyle w:val="56"/>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17.4.3一个供应商不止递交一套响应性文件的。</w:t>
      </w:r>
    </w:p>
    <w:p>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五、竞争性磋商</w:t>
      </w:r>
    </w:p>
    <w:p>
      <w:pPr>
        <w:spacing w:line="56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rPr>
        <w:t>18.组建</w:t>
      </w:r>
      <w:r>
        <w:rPr>
          <w:rFonts w:hint="eastAsia" w:ascii="宋体" w:hAnsi="宋体" w:cs="宋体"/>
          <w:b/>
          <w:color w:val="auto"/>
          <w:sz w:val="24"/>
          <w:highlight w:val="none"/>
          <w:lang w:val="zh-CN"/>
        </w:rPr>
        <w:t>竞争性磋商小组</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18.1采购人根据采购项目的特点依法组建竞争性磋商小组。</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18.2竞争性磋商小组</w:t>
      </w:r>
      <w:r>
        <w:rPr>
          <w:rFonts w:hint="eastAsia" w:ascii="宋体" w:hAnsi="宋体" w:cs="宋体"/>
          <w:bCs/>
          <w:color w:val="auto"/>
          <w:kern w:val="0"/>
          <w:sz w:val="24"/>
          <w:highlight w:val="none"/>
        </w:rPr>
        <w:t>确认竞争性磋商文件，并</w:t>
      </w:r>
      <w:r>
        <w:rPr>
          <w:rFonts w:hint="eastAsia" w:ascii="宋体" w:hAnsi="宋体" w:cs="宋体"/>
          <w:color w:val="auto"/>
          <w:kern w:val="0"/>
          <w:sz w:val="24"/>
          <w:highlight w:val="none"/>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19.资格性和符合性审查</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19.1.1资格性审查的内容包括：竞争性磋商文件规定的供应商资格条件；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19.2.1符合性审查的内容包括：</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（1）响应性文件的有效性(签署情况等)；</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（2）响应性文件的完整性；</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（3）对竞争性磋商文件的响应程度（是否存在重大负偏离等）。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以上资格性审查和符合性审查的内容只要有一条不满足，则响应性文件无效，将不进入竞争性磋商程序。</w:t>
      </w:r>
    </w:p>
    <w:p>
      <w:pPr>
        <w:spacing w:line="560" w:lineRule="exact"/>
        <w:ind w:firstLine="480" w:firstLineChars="200"/>
        <w:rPr>
          <w:rFonts w:ascii="宋体" w:hAnsi="宋体" w:cs="宋体"/>
          <w:sz w:val="24"/>
          <w:highlight w:val="none"/>
        </w:rPr>
      </w:pPr>
      <w:r>
        <w:rPr>
          <w:rFonts w:hint="eastAsia" w:ascii="宋体" w:hAnsi="宋体" w:cs="宋体"/>
          <w:color w:val="auto"/>
          <w:sz w:val="24"/>
          <w:highlight w:val="none"/>
        </w:rPr>
        <w:t>注意事项：资格性、符合性证明材料见竞争性磋商文件第四</w:t>
      </w:r>
      <w:r>
        <w:rPr>
          <w:rFonts w:hint="eastAsia" w:ascii="宋体" w:hAnsi="宋体" w:cs="宋体"/>
          <w:sz w:val="24"/>
          <w:highlight w:val="none"/>
        </w:rPr>
        <w:t>章规定。</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color w:val="auto"/>
          <w:sz w:val="24"/>
          <w:highlight w:val="none"/>
        </w:rPr>
      </w:pPr>
      <w:r>
        <w:rPr>
          <w:rFonts w:hint="eastAsia" w:ascii="宋体" w:hAnsi="宋体" w:cs="宋体"/>
          <w:sz w:val="24"/>
          <w:highlight w:val="none"/>
        </w:rPr>
        <w:t>19.6竞争性磋商小组审定响应性文件的响应性只根据响应性文件本身的内容而</w:t>
      </w:r>
      <w:r>
        <w:rPr>
          <w:rFonts w:hint="eastAsia" w:ascii="宋体" w:hAnsi="宋体" w:cs="宋体"/>
          <w:color w:val="auto"/>
          <w:sz w:val="24"/>
          <w:highlight w:val="none"/>
        </w:rPr>
        <w:t>不寻求外部证据。</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19.7.1未按竞争性磋商文件规定要求</w:t>
      </w:r>
      <w:r>
        <w:rPr>
          <w:rFonts w:hint="eastAsia" w:ascii="宋体" w:hAnsi="宋体" w:cs="宋体"/>
          <w:color w:val="auto"/>
          <w:sz w:val="24"/>
          <w:highlight w:val="none"/>
          <w:lang w:val="zh-CN"/>
        </w:rPr>
        <w:t>签署、盖章的；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19.7.2资格证明文件不全或未标注与原件一致或不符合竞争性磋商文件中规定的资格要求的；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19.7.3供应商代表未能出具有效身份证明，或与身份不符的；</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19.7.4不符合竞争性磋商文件规定的实质性要求的；</w:t>
      </w:r>
    </w:p>
    <w:p>
      <w:pPr>
        <w:spacing w:line="560" w:lineRule="exact"/>
        <w:ind w:firstLine="480" w:firstLineChars="200"/>
        <w:rPr>
          <w:rFonts w:ascii="宋体" w:hAnsi="宋体" w:cs="宋体"/>
          <w:sz w:val="24"/>
          <w:highlight w:val="none"/>
        </w:rPr>
      </w:pPr>
      <w:r>
        <w:rPr>
          <w:rFonts w:hint="eastAsia" w:ascii="宋体" w:hAnsi="宋体" w:cs="宋体"/>
          <w:color w:val="auto"/>
          <w:sz w:val="24"/>
          <w:highlight w:val="none"/>
        </w:rPr>
        <w:t>19.7.5响应性文件内容不齐全或内容虚</w:t>
      </w:r>
      <w:r>
        <w:rPr>
          <w:rFonts w:hint="eastAsia" w:ascii="宋体" w:hAnsi="宋体" w:cs="宋体"/>
          <w:sz w:val="24"/>
          <w:highlight w:val="none"/>
        </w:rPr>
        <w:t>假的；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19.7.6响应性文件的实质性内容未使用中文表述；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19.7.7响应性文件的内容修改处未按规定签名或盖章的；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19.7.8违反法律、行政法规、竞争性磋商文件规定的其他情形的。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19.7.9不同供应商的电子投标（响应）文件上传计算机的网卡 MAC 地址、CPU 序列号和硬盘序列号等硬件信息相同的;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19.7.10不同供应商的投标（响应）文件由同一电子设备编制，打印、复印、加密或者上传的；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19.7.11不同供应商的投标（响应）文件由同一人送达或者分发，或者不同供应商联系人为同一人或不同联系人的联系电话一致的；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19.7.12不同供应商的投标（响应）文件的内容存在两处以上细节错误一致；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19.7.13不同供应商的法定代表人、委托代理人、项目经理、项目负责人等由同一个单位缴纳社会保险或者领取报酬的；</w:t>
      </w:r>
    </w:p>
    <w:p>
      <w:pPr>
        <w:spacing w:line="360" w:lineRule="auto"/>
        <w:ind w:firstLine="480" w:firstLineChars="200"/>
        <w:rPr>
          <w:highlight w:val="none"/>
        </w:rPr>
      </w:pPr>
      <w:r>
        <w:rPr>
          <w:rFonts w:hint="eastAsia" w:ascii="宋体" w:hAnsi="宋体" w:cs="宋体"/>
          <w:sz w:val="24"/>
          <w:highlight w:val="none"/>
        </w:rPr>
        <w:t>19.7.14不同供应商投标（响应）文件中法定代表人或者负责人签字出自同一人之手。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19.8.1不同供应商的响应性文件互相混装的；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19.8.2不同供应商授权同一人作为供应商委托代理人的；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19.8.3不同供应商的响应性文件载明的项目管理成员为同一人的；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19.8.4有证据证明供应商与采购人、采购代理机构或者其他供应商串通的其他情形；</w:t>
      </w:r>
    </w:p>
    <w:p>
      <w:pPr>
        <w:spacing w:line="560" w:lineRule="exact"/>
        <w:ind w:firstLine="480" w:firstLineChars="200"/>
        <w:rPr>
          <w:rFonts w:ascii="宋体" w:hAnsi="宋体" w:cs="宋体"/>
          <w:color w:val="FF0000"/>
          <w:sz w:val="24"/>
          <w:highlight w:val="none"/>
        </w:rPr>
      </w:pPr>
      <w:r>
        <w:rPr>
          <w:rFonts w:hint="eastAsia" w:ascii="宋体" w:hAnsi="宋体" w:cs="宋体"/>
          <w:sz w:val="24"/>
          <w:highlight w:val="none"/>
        </w:rPr>
        <w:t>19.8.5竞争性磋商小组认定的其他串通情形。</w:t>
      </w:r>
    </w:p>
    <w:p>
      <w:pPr>
        <w:pStyle w:val="38"/>
        <w:rPr>
          <w:rFonts w:ascii="宋体" w:hAnsi="宋体" w:cs="宋体"/>
          <w:sz w:val="24"/>
          <w:szCs w:val="24"/>
          <w:highlight w:val="none"/>
        </w:rPr>
      </w:pPr>
    </w:p>
    <w:tbl>
      <w:tblPr>
        <w:tblStyle w:val="2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73"/>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highlight w:val="none"/>
              </w:rPr>
            </w:pPr>
            <w:r>
              <w:rPr>
                <w:rFonts w:hint="eastAsia" w:ascii="宋体" w:hAnsi="宋体" w:cs="宋体"/>
                <w:b/>
                <w:kern w:val="2"/>
                <w:szCs w:val="24"/>
                <w:highlight w:val="none"/>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序号</w:t>
            </w:r>
          </w:p>
        </w:tc>
        <w:tc>
          <w:tcPr>
            <w:tcW w:w="2665" w:type="dxa"/>
            <w:tcBorders>
              <w:bottom w:val="single" w:color="auto" w:sz="4" w:space="0"/>
            </w:tcBorders>
            <w:vAlign w:val="center"/>
          </w:tcPr>
          <w:p>
            <w:pPr>
              <w:pStyle w:val="73"/>
              <w:pBdr>
                <w:bottom w:val="none" w:color="auto" w:sz="0" w:space="0"/>
              </w:pBdr>
              <w:tabs>
                <w:tab w:val="clear" w:pos="4153"/>
                <w:tab w:val="clear" w:pos="8306"/>
              </w:tabs>
              <w:snapToGrid w:val="0"/>
              <w:spacing w:line="360" w:lineRule="auto"/>
              <w:ind w:right="-10"/>
              <w:textAlignment w:val="auto"/>
              <w:rPr>
                <w:rFonts w:ascii="宋体" w:hAnsi="宋体" w:cs="宋体"/>
                <w:kern w:val="2"/>
                <w:szCs w:val="24"/>
                <w:highlight w:val="none"/>
              </w:rPr>
            </w:pPr>
            <w:r>
              <w:rPr>
                <w:rFonts w:hint="eastAsia" w:ascii="宋体" w:hAnsi="宋体" w:cs="宋体"/>
                <w:kern w:val="2"/>
                <w:szCs w:val="24"/>
                <w:highlight w:val="none"/>
              </w:rPr>
              <w:t>指标名称</w:t>
            </w:r>
          </w:p>
        </w:tc>
        <w:tc>
          <w:tcPr>
            <w:tcW w:w="1937"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指标要求</w:t>
            </w:r>
          </w:p>
        </w:tc>
        <w:tc>
          <w:tcPr>
            <w:tcW w:w="825"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是否</w:t>
            </w:r>
          </w:p>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通过</w:t>
            </w:r>
          </w:p>
        </w:tc>
        <w:tc>
          <w:tcPr>
            <w:tcW w:w="2371"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投标文件格式及</w:t>
            </w:r>
          </w:p>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营业执照</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2</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法定代表人及身份证</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3</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纳税凭证和社保证明</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4</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财务审计报告</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5</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“信用中国”“中国政府采购网”查询</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6</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投标文件签字盖章格式</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7</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合格供应商的声明函和承诺书</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8</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服务期</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9</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投标有效期</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10</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服务技术要求</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11</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其他实质性要求</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12</w:t>
            </w:r>
          </w:p>
        </w:tc>
        <w:tc>
          <w:tcPr>
            <w:tcW w:w="2665" w:type="dxa"/>
            <w:vAlign w:val="center"/>
          </w:tcPr>
          <w:p>
            <w:pPr>
              <w:spacing w:after="50" w:line="360" w:lineRule="auto"/>
              <w:ind w:right="-10"/>
              <w:jc w:val="center"/>
              <w:rPr>
                <w:rFonts w:ascii="宋体" w:hAnsi="宋体" w:cs="宋体"/>
                <w:bCs/>
                <w:sz w:val="24"/>
                <w:highlight w:val="none"/>
              </w:rPr>
            </w:pPr>
          </w:p>
        </w:tc>
        <w:tc>
          <w:tcPr>
            <w:tcW w:w="1937" w:type="dxa"/>
            <w:vAlign w:val="center"/>
          </w:tcPr>
          <w:p>
            <w:pPr>
              <w:spacing w:after="50" w:line="360" w:lineRule="auto"/>
              <w:ind w:right="-10"/>
              <w:jc w:val="center"/>
              <w:rPr>
                <w:rFonts w:ascii="宋体" w:hAnsi="宋体" w:cs="宋体"/>
                <w:sz w:val="24"/>
                <w:highlight w:val="none"/>
              </w:rPr>
            </w:pP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13</w:t>
            </w:r>
          </w:p>
        </w:tc>
        <w:tc>
          <w:tcPr>
            <w:tcW w:w="2665" w:type="dxa"/>
            <w:vAlign w:val="center"/>
          </w:tcPr>
          <w:p>
            <w:pPr>
              <w:spacing w:after="50" w:line="360" w:lineRule="auto"/>
              <w:ind w:right="-10"/>
              <w:jc w:val="center"/>
              <w:rPr>
                <w:rFonts w:ascii="宋体" w:hAnsi="宋体" w:cs="宋体"/>
                <w:sz w:val="24"/>
                <w:highlight w:val="none"/>
              </w:rPr>
            </w:pPr>
          </w:p>
        </w:tc>
        <w:tc>
          <w:tcPr>
            <w:tcW w:w="1937" w:type="dxa"/>
            <w:vAlign w:val="center"/>
          </w:tcPr>
          <w:p>
            <w:pPr>
              <w:spacing w:after="50" w:line="360" w:lineRule="auto"/>
              <w:ind w:right="-10"/>
              <w:jc w:val="center"/>
              <w:rPr>
                <w:rFonts w:ascii="宋体" w:hAnsi="宋体" w:cs="宋体"/>
                <w:sz w:val="24"/>
                <w:highlight w:val="none"/>
              </w:rPr>
            </w:pP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14</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结论</w:t>
            </w:r>
          </w:p>
        </w:tc>
        <w:tc>
          <w:tcPr>
            <w:tcW w:w="5133" w:type="dxa"/>
            <w:gridSpan w:val="3"/>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bCs/>
                <w:sz w:val="24"/>
                <w:highlight w:val="none"/>
              </w:rPr>
              <w:t>是否通过审查</w:t>
            </w:r>
          </w:p>
        </w:tc>
      </w:tr>
    </w:tbl>
    <w:p>
      <w:pPr>
        <w:pStyle w:val="38"/>
        <w:rPr>
          <w:rFonts w:ascii="宋体" w:hAnsi="宋体" w:cs="宋体"/>
          <w:sz w:val="24"/>
          <w:szCs w:val="24"/>
          <w:highlight w:val="none"/>
        </w:rPr>
      </w:pPr>
    </w:p>
    <w:p>
      <w:pPr>
        <w:pStyle w:val="38"/>
        <w:rPr>
          <w:rFonts w:ascii="宋体" w:hAnsi="宋体" w:cs="宋体"/>
          <w:sz w:val="24"/>
          <w:szCs w:val="24"/>
          <w:highlight w:val="none"/>
        </w:rPr>
      </w:pP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20.响应性文件的澄清</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20.4供应商的书面澄清材料作为响应性文件的补充。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20.5竞争性磋商小组不得接受供应商主动提出的澄清和解释。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20.6并非每个供应商都将被询问、澄清。</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21.竞争性磋商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21.1资格性审查和符合性审查合格的供应商，将进入本次竞争性磋商程序。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21.2竞争性磋商将按照供应商的签到顺序进行。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21.3磋商内容包括：</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21.3.1按照竞争性磋商文件中商务部分的内容，对照供应商提交的响应文件逐一进行比较各项指标和要求。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21.3.2按照竞争性磋商文件中技术部分的内容，对照供应商提交的响应文件逐一进行比较各项指标和要求。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21.3.4在磋商中，磋商的任何一方不得透露与磋商有关的其他供应商的技术资料及其他信息。</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w:t>
      </w:r>
      <w:r>
        <w:rPr>
          <w:rFonts w:hint="eastAsia" w:ascii="宋体" w:hAnsi="宋体" w:cs="宋体"/>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21.4.1</w:t>
      </w:r>
      <w:r>
        <w:rPr>
          <w:rFonts w:hint="eastAsia" w:ascii="宋体" w:hAnsi="宋体" w:cs="宋体"/>
          <w:sz w:val="24"/>
          <w:highlight w:val="none"/>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color w:val="auto"/>
          <w:sz w:val="24"/>
          <w:highlight w:val="none"/>
          <w:lang w:val="zh-CN"/>
        </w:rPr>
      </w:pPr>
      <w:r>
        <w:rPr>
          <w:rFonts w:hint="eastAsia" w:ascii="宋体" w:hAnsi="宋体" w:cs="宋体"/>
          <w:sz w:val="24"/>
          <w:highlight w:val="none"/>
          <w:lang w:val="zh-CN"/>
        </w:rPr>
        <w:t>21.4.2供应商应当按照竞争性磋商文件的变动情况和竞争性磋商小组的要求重新提交响应性文件，并由其法定</w:t>
      </w:r>
      <w:r>
        <w:rPr>
          <w:rFonts w:hint="eastAsia" w:ascii="宋体" w:hAnsi="宋体" w:cs="宋体"/>
          <w:color w:val="auto"/>
          <w:sz w:val="24"/>
          <w:highlight w:val="none"/>
          <w:lang w:val="zh-CN"/>
        </w:rPr>
        <w:t>代表人或授权代表签字或者加盖公章。</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21.5报价</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一次报价依据</w:t>
      </w:r>
      <w:r>
        <w:rPr>
          <w:rFonts w:hint="eastAsia" w:ascii="宋体" w:hAnsi="宋体" w:cs="宋体"/>
          <w:color w:val="auto"/>
          <w:sz w:val="24"/>
          <w:highlight w:val="none"/>
        </w:rPr>
        <w:t>是</w:t>
      </w:r>
      <w:r>
        <w:rPr>
          <w:rFonts w:hint="eastAsia" w:ascii="宋体" w:hAnsi="宋体" w:cs="宋体"/>
          <w:color w:val="auto"/>
          <w:sz w:val="24"/>
          <w:highlight w:val="none"/>
          <w:lang w:val="zh-CN"/>
        </w:rPr>
        <w:t>供应商的投标函和开标记。</w:t>
      </w:r>
    </w:p>
    <w:p>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2.如有多次报价，</w:t>
      </w:r>
      <w:r>
        <w:rPr>
          <w:rFonts w:hint="eastAsia" w:ascii="宋体" w:hAnsi="宋体" w:cs="宋体"/>
          <w:color w:val="auto"/>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cs="宋体"/>
          <w:color w:val="auto"/>
          <w:sz w:val="24"/>
          <w:highlight w:val="none"/>
        </w:rPr>
        <w:t>报价次数见供应商须知前附表。</w:t>
      </w:r>
    </w:p>
    <w:p>
      <w:pPr>
        <w:spacing w:line="560" w:lineRule="exact"/>
        <w:ind w:firstLine="480" w:firstLineChars="200"/>
        <w:rPr>
          <w:sz w:val="24"/>
          <w:highlight w:val="none"/>
        </w:rPr>
      </w:pPr>
      <w:r>
        <w:rPr>
          <w:rFonts w:hint="eastAsia" w:ascii="宋体" w:hAnsi="宋体" w:cs="宋体"/>
          <w:color w:val="auto"/>
          <w:sz w:val="24"/>
          <w:highlight w:val="none"/>
        </w:rPr>
        <w:t>开标后请供应商在计算前等待报价，网上报价</w:t>
      </w:r>
      <w:r>
        <w:rPr>
          <w:rFonts w:hint="eastAsia" w:ascii="宋体" w:hAnsi="宋体" w:cs="宋体"/>
          <w:color w:val="auto"/>
          <w:sz w:val="24"/>
          <w:highlight w:val="none"/>
          <w:lang w:val="zh-CN"/>
        </w:rPr>
        <w:t>，见周口市公共资源交易中心</w:t>
      </w:r>
      <w:r>
        <w:rPr>
          <w:rFonts w:hint="eastAsia" w:ascii="宋体" w:hAnsi="宋体" w:cs="宋体"/>
          <w:color w:val="auto"/>
          <w:sz w:val="24"/>
          <w:highlight w:val="none"/>
        </w:rPr>
        <w:t>网站下载中心版块</w:t>
      </w:r>
      <w:r>
        <w:rPr>
          <w:rFonts w:hint="eastAsia" w:ascii="宋体" w:hAnsi="宋体" w:cs="宋体"/>
          <w:color w:val="auto"/>
          <w:sz w:val="24"/>
          <w:highlight w:val="none"/>
          <w:lang w:val="zh-CN"/>
        </w:rPr>
        <w:t>《投标</w:t>
      </w:r>
      <w:r>
        <w:rPr>
          <w:rFonts w:hint="eastAsia" w:ascii="宋体" w:hAnsi="宋体" w:cs="宋体"/>
          <w:color w:val="auto"/>
          <w:sz w:val="24"/>
          <w:highlight w:val="none"/>
        </w:rPr>
        <w:t>单位-电子投标文件视频制</w:t>
      </w:r>
      <w:r>
        <w:rPr>
          <w:rFonts w:hint="eastAsia" w:ascii="宋体" w:hAnsi="宋体" w:cs="宋体"/>
          <w:sz w:val="24"/>
          <w:highlight w:val="none"/>
        </w:rPr>
        <w:t>作手册》</w:t>
      </w:r>
      <w:r>
        <w:rPr>
          <w:rFonts w:hint="eastAsia" w:cs="宋体"/>
          <w:sz w:val="24"/>
          <w:highlight w:val="none"/>
        </w:rPr>
        <w:t>中的《周口市公共资源交易系统政府采购供应商操作手册》相关规定。</w:t>
      </w:r>
    </w:p>
    <w:p>
      <w:pPr>
        <w:spacing w:line="360" w:lineRule="auto"/>
        <w:ind w:firstLine="480" w:firstLineChars="200"/>
        <w:rPr>
          <w:rFonts w:hint="eastAsia" w:ascii="宋体" w:hAnsi="宋体" w:eastAsia="宋体" w:cs="宋体"/>
          <w:b/>
          <w:color w:val="auto"/>
          <w:spacing w:val="0"/>
          <w:position w:val="0"/>
          <w:sz w:val="24"/>
          <w:highlight w:val="none"/>
          <w:shd w:val="clear" w:fill="auto"/>
        </w:rPr>
      </w:pPr>
      <w:r>
        <w:rPr>
          <w:rFonts w:hint="eastAsia" w:ascii="宋体" w:hAnsi="宋体" w:cs="宋体"/>
          <w:color w:val="auto"/>
          <w:sz w:val="24"/>
          <w:highlight w:val="none"/>
          <w:lang w:val="zh-CN"/>
        </w:rPr>
        <w:t>21.5</w:t>
      </w:r>
      <w:r>
        <w:rPr>
          <w:rFonts w:hint="eastAsia" w:ascii="宋体" w:hAnsi="宋体" w:cs="宋体"/>
          <w:color w:val="auto"/>
          <w:sz w:val="24"/>
          <w:highlight w:val="none"/>
        </w:rPr>
        <w:t>.</w:t>
      </w:r>
      <w:r>
        <w:rPr>
          <w:rFonts w:hint="eastAsia" w:ascii="宋体" w:hAnsi="宋体" w:cs="宋体"/>
          <w:color w:val="auto"/>
          <w:sz w:val="24"/>
          <w:highlight w:val="none"/>
          <w:lang w:val="zh-CN"/>
        </w:rPr>
        <w:t>1.本次竞争性磋商的报价选择一次报价。</w:t>
      </w:r>
    </w:p>
    <w:p>
      <w:pPr>
        <w:spacing w:line="720" w:lineRule="auto"/>
        <w:jc w:val="center"/>
        <w:rPr>
          <w:rFonts w:ascii="宋体" w:hAnsi="宋体" w:cs="宋体"/>
          <w:b/>
          <w:sz w:val="24"/>
          <w:highlight w:val="none"/>
        </w:rPr>
      </w:pPr>
      <w:r>
        <w:rPr>
          <w:rFonts w:hint="eastAsia" w:ascii="宋体" w:hAnsi="宋体" w:cs="宋体"/>
          <w:b/>
          <w:sz w:val="24"/>
          <w:highlight w:val="none"/>
        </w:rPr>
        <w:t>六、评定标准</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22.竞争性磋商过程及保密原则</w:t>
      </w:r>
    </w:p>
    <w:p>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采购代理机构在评标结束后1个工作日内将评标报告送采购人。采购人自收到评标报告之日起５个工作日内，在评标报告确定的中标候选人名单中确定中标人。</w:t>
      </w:r>
    </w:p>
    <w:p>
      <w:pPr>
        <w:pStyle w:val="18"/>
        <w:spacing w:after="0" w:line="560" w:lineRule="exact"/>
        <w:ind w:left="0" w:leftChars="0" w:firstLine="480" w:firstLineChars="200"/>
        <w:rPr>
          <w:rFonts w:ascii="宋体" w:hAnsi="宋体" w:cs="宋体"/>
          <w:bCs/>
          <w:sz w:val="24"/>
          <w:highlight w:val="none"/>
        </w:rPr>
      </w:pPr>
      <w:r>
        <w:rPr>
          <w:rFonts w:hint="eastAsia" w:ascii="宋体" w:hAnsi="宋体" w:cs="宋体"/>
          <w:bCs/>
          <w:sz w:val="24"/>
          <w:highlight w:val="none"/>
        </w:rPr>
        <w:t>22.2对通过初步审查的响应文件，采用百分制综合评分法进行评价。</w:t>
      </w:r>
    </w:p>
    <w:p>
      <w:pPr>
        <w:spacing w:line="360" w:lineRule="auto"/>
        <w:ind w:right="-92" w:rightChars="-44"/>
        <w:rPr>
          <w:rFonts w:hint="eastAsia" w:ascii="宋体" w:hAnsi="宋体" w:cs="宋体"/>
          <w:sz w:val="24"/>
          <w:highlight w:val="none"/>
        </w:rPr>
      </w:pPr>
      <w:r>
        <w:rPr>
          <w:rFonts w:hint="eastAsia" w:ascii="宋体" w:hAnsi="宋体" w:cs="宋体"/>
          <w:sz w:val="24"/>
          <w:highlight w:val="none"/>
        </w:rPr>
        <w:t>评标方法：</w:t>
      </w:r>
    </w:p>
    <w:p>
      <w:pPr>
        <w:pStyle w:val="2"/>
      </w:pPr>
    </w:p>
    <w:p>
      <w:pPr>
        <w:pStyle w:val="28"/>
        <w:ind w:firstLine="480"/>
        <w:rPr>
          <w:rFonts w:ascii="宋体" w:hAnsi="宋体" w:eastAsia="宋体" w:cs="宋体"/>
          <w:sz w:val="24"/>
          <w:highlight w:val="none"/>
        </w:rPr>
      </w:pPr>
    </w:p>
    <w:tbl>
      <w:tblPr>
        <w:tblStyle w:val="29"/>
        <w:tblW w:w="10022" w:type="dxa"/>
        <w:jc w:val="center"/>
        <w:tblLayout w:type="fixed"/>
        <w:tblCellMar>
          <w:top w:w="0" w:type="dxa"/>
          <w:left w:w="108" w:type="dxa"/>
          <w:bottom w:w="0" w:type="dxa"/>
          <w:right w:w="108" w:type="dxa"/>
        </w:tblCellMar>
      </w:tblPr>
      <w:tblGrid>
        <w:gridCol w:w="2113"/>
        <w:gridCol w:w="744"/>
        <w:gridCol w:w="4599"/>
        <w:gridCol w:w="2566"/>
      </w:tblGrid>
      <w:tr>
        <w:trPr>
          <w:trHeight w:val="252"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评分指标</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分值</w:t>
            </w:r>
          </w:p>
        </w:tc>
        <w:tc>
          <w:tcPr>
            <w:tcW w:w="4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评分依据</w:t>
            </w:r>
          </w:p>
        </w:tc>
      </w:tr>
      <w:tr>
        <w:tblPrEx>
          <w:tblCellMar>
            <w:top w:w="0" w:type="dxa"/>
            <w:left w:w="108" w:type="dxa"/>
            <w:bottom w:w="0" w:type="dxa"/>
            <w:right w:w="108" w:type="dxa"/>
          </w:tblCellMar>
        </w:tblPrEx>
        <w:trPr>
          <w:trHeight w:val="700"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rPr>
              <w:t>报价得分（</w:t>
            </w:r>
            <w:r>
              <w:rPr>
                <w:rFonts w:hint="eastAsia" w:ascii="宋体" w:hAnsi="宋体" w:cs="宋体"/>
                <w:b/>
                <w:bCs/>
                <w:color w:val="000000" w:themeColor="text1"/>
                <w:sz w:val="24"/>
                <w:szCs w:val="24"/>
                <w:highlight w:val="none"/>
                <w:lang w:val="en-US" w:eastAsia="zh-CN"/>
              </w:rPr>
              <w:t>3</w:t>
            </w:r>
            <w:r>
              <w:rPr>
                <w:rFonts w:hint="eastAsia" w:ascii="宋体" w:hAnsi="宋体" w:eastAsia="宋体" w:cs="宋体"/>
                <w:b/>
                <w:bCs/>
                <w:color w:val="000000" w:themeColor="text1"/>
                <w:sz w:val="24"/>
                <w:szCs w:val="24"/>
                <w:highlight w:val="none"/>
                <w:lang w:val="en-US" w:eastAsia="zh-CN"/>
              </w:rPr>
              <w:t>0分）</w:t>
            </w:r>
          </w:p>
        </w:tc>
        <w:tc>
          <w:tcPr>
            <w:tcW w:w="7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right="-114" w:rightChars="0"/>
              <w:jc w:val="center"/>
              <w:rPr>
                <w:rFonts w:hint="eastAsia" w:ascii="宋体" w:hAnsi="宋体" w:eastAsia="宋体" w:cs="宋体"/>
                <w:color w:val="000000" w:themeColor="text1"/>
                <w:sz w:val="24"/>
                <w:szCs w:val="24"/>
                <w:highlight w:val="none"/>
              </w:rPr>
            </w:pPr>
            <w:r>
              <w:rPr>
                <w:rFonts w:hint="eastAsia" w:ascii="宋体" w:hAnsi="宋体" w:eastAsia="宋体" w:cs="宋体"/>
                <w:sz w:val="24"/>
                <w:szCs w:val="24"/>
              </w:rPr>
              <w:t>30</w:t>
            </w:r>
            <w:r>
              <w:rPr>
                <w:rFonts w:hint="eastAsia" w:ascii="宋体" w:hAnsi="宋体" w:eastAsia="宋体" w:cs="宋体"/>
                <w:sz w:val="24"/>
                <w:szCs w:val="24"/>
                <w:lang w:val="zh-CN"/>
              </w:rPr>
              <w:t>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价格分统一采用低价优先法计算， 即满足招标文件要求且投标价格最低的投标报价为评标基准价，其价格分为满分。其他</w:t>
            </w:r>
            <w:r>
              <w:rPr>
                <w:rFonts w:hint="eastAsia" w:ascii="宋体" w:hAnsi="宋体" w:eastAsia="宋体" w:cs="宋体"/>
                <w:sz w:val="24"/>
                <w:szCs w:val="24"/>
                <w:lang w:val="en"/>
              </w:rPr>
              <w:t>供应商</w:t>
            </w:r>
            <w:r>
              <w:rPr>
                <w:rFonts w:hint="eastAsia" w:ascii="宋体" w:hAnsi="宋体" w:eastAsia="宋体" w:cs="宋体"/>
                <w:sz w:val="24"/>
                <w:szCs w:val="24"/>
              </w:rPr>
              <w:t>的价格分统一按照下列公式计算:</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投标报价得分= (评标基准价/投标报价)×30</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【备注:</w:t>
            </w:r>
            <w:r>
              <w:rPr>
                <w:rFonts w:hint="eastAsia" w:ascii="宋体" w:hAnsi="宋体" w:eastAsia="宋体" w:cs="宋体"/>
                <w:sz w:val="24"/>
                <w:szCs w:val="24"/>
                <w:lang w:val="en-US" w:eastAsia="zh-CN"/>
              </w:rPr>
              <w:t>根据财政部、工信部关于印发《政府采购促进中小企业发展管理办法》的通知（财库〔2020〕46号 ）文件规定：</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（1）对小微企业报价给予10%扣除，请按照《政府采购促进中小企业发展管理办法》要求提供中小企业声明函。</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（2）关于监狱企业：视同小微企业。须提供由省级以上监狱管理局、戒毒管理局（含新疆生产建设兵团）出具的属于监狱企业的证明文件，否则不考虑价格扣除。</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（3）关于残疾人福利性单位：视同小微企业。须提供完整的“残疾人福利性单位声明函”，否则在价格评审时不予考虑价格扣除。残疾人福利性单位属于小型、微型企业的，不重复享受政策。</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lang w:val="en-US" w:eastAsia="zh-CN"/>
              </w:rPr>
              <w:t>（4）没有提供有效证明材料的供应商将被视为不接受投标总价的扣除，用原投标总价参与评审。</w:t>
            </w:r>
            <w:r>
              <w:rPr>
                <w:rFonts w:hint="eastAsia" w:ascii="宋体" w:hAnsi="宋体" w:eastAsia="宋体" w:cs="宋体"/>
                <w:sz w:val="24"/>
                <w:szCs w:val="24"/>
              </w:rPr>
              <w:t>】</w:t>
            </w:r>
          </w:p>
        </w:tc>
      </w:tr>
      <w:tr>
        <w:tblPrEx>
          <w:tblCellMar>
            <w:top w:w="0" w:type="dxa"/>
            <w:left w:w="108" w:type="dxa"/>
            <w:bottom w:w="0" w:type="dxa"/>
            <w:right w:w="108" w:type="dxa"/>
          </w:tblCellMar>
        </w:tblPrEx>
        <w:trPr>
          <w:trHeight w:val="2576" w:hRule="atLeast"/>
          <w:jc w:val="center"/>
        </w:trPr>
        <w:tc>
          <w:tcPr>
            <w:tcW w:w="2113"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rPr>
              <w:t>技术部分（</w:t>
            </w:r>
            <w:r>
              <w:rPr>
                <w:rFonts w:hint="eastAsia" w:ascii="宋体" w:hAnsi="宋体" w:cs="宋体"/>
                <w:sz w:val="24"/>
                <w:szCs w:val="24"/>
                <w:lang w:val="en-US" w:eastAsia="zh-CN"/>
              </w:rPr>
              <w:t>35</w:t>
            </w:r>
            <w:r>
              <w:rPr>
                <w:rFonts w:hint="eastAsia" w:ascii="宋体" w:hAnsi="宋体" w:eastAsia="宋体" w:cs="宋体"/>
                <w:sz w:val="24"/>
                <w:szCs w:val="24"/>
              </w:rPr>
              <w:t>分）</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highlight w:val="none"/>
              </w:rPr>
            </w:pPr>
            <w:r>
              <w:rPr>
                <w:rFonts w:hint="eastAsia" w:ascii="宋体" w:hAnsi="宋体" w:cs="宋体"/>
                <w:bCs/>
                <w:sz w:val="24"/>
              </w:rPr>
              <w:t>35分</w:t>
            </w:r>
          </w:p>
        </w:tc>
        <w:tc>
          <w:tcPr>
            <w:tcW w:w="7165" w:type="dxa"/>
            <w:gridSpan w:val="2"/>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auto"/>
              <w:ind w:firstLine="480"/>
              <w:rPr>
                <w:rFonts w:ascii="宋体" w:hAnsi="宋体" w:cs="宋体"/>
                <w:kern w:val="0"/>
                <w:sz w:val="24"/>
              </w:rPr>
            </w:pPr>
            <w:r>
              <w:rPr>
                <w:rFonts w:hint="eastAsia" w:ascii="宋体" w:hAnsi="宋体" w:cs="宋体"/>
                <w:kern w:val="0"/>
                <w:sz w:val="24"/>
              </w:rPr>
              <w:t>评标委员会将综合考虑各供应商对所投设备的说明情况，对所投标设备的参数是否偏离做出评价，技术参数全部满足招标文件要求的得基本分35分；</w:t>
            </w:r>
          </w:p>
          <w:p>
            <w:pPr>
              <w:autoSpaceDE w:val="0"/>
              <w:autoSpaceDN w:val="0"/>
              <w:adjustRightInd w:val="0"/>
              <w:snapToGrid w:val="0"/>
              <w:spacing w:line="360" w:lineRule="auto"/>
              <w:ind w:firstLine="480"/>
              <w:rPr>
                <w:rFonts w:ascii="宋体" w:hAnsi="宋体" w:cs="宋体"/>
                <w:kern w:val="0"/>
                <w:sz w:val="24"/>
              </w:rPr>
            </w:pPr>
            <w:r>
              <w:rPr>
                <w:rFonts w:hint="eastAsia" w:ascii="宋体" w:hAnsi="宋体" w:cs="宋体"/>
                <w:kern w:val="0"/>
                <w:sz w:val="24"/>
              </w:rPr>
              <w:t>非加“★”项为一般性技术参数，每有一项不满足招标要求的扣1分；加“★”项为重要性技术参数，每有一项不满足招标要求的扣2分，扣完为止。</w:t>
            </w:r>
          </w:p>
          <w:p>
            <w:pPr>
              <w:spacing w:line="360" w:lineRule="auto"/>
              <w:rPr>
                <w:rFonts w:hint="eastAsia" w:ascii="宋体" w:hAnsi="宋体" w:eastAsia="宋体" w:cs="宋体"/>
                <w:sz w:val="24"/>
                <w:szCs w:val="24"/>
                <w:highlight w:val="none"/>
              </w:rPr>
            </w:pPr>
            <w:r>
              <w:rPr>
                <w:rFonts w:hint="eastAsia" w:ascii="宋体" w:hAnsi="宋体" w:cs="宋体"/>
                <w:b/>
                <w:bCs/>
                <w:kern w:val="0"/>
                <w:sz w:val="24"/>
              </w:rPr>
              <w:t>注：非加★项偏离表证明，加★项需提供证明文件，否则该项不得分。</w:t>
            </w:r>
          </w:p>
        </w:tc>
      </w:tr>
      <w:tr>
        <w:tblPrEx>
          <w:tblCellMar>
            <w:top w:w="0" w:type="dxa"/>
            <w:left w:w="108" w:type="dxa"/>
            <w:bottom w:w="0" w:type="dxa"/>
            <w:right w:w="108" w:type="dxa"/>
          </w:tblCellMar>
        </w:tblPrEx>
        <w:trPr>
          <w:trHeight w:val="1430" w:hRule="atLeast"/>
          <w:jc w:val="center"/>
        </w:trPr>
        <w:tc>
          <w:tcPr>
            <w:tcW w:w="2113" w:type="dxa"/>
            <w:tcBorders>
              <w:top w:val="single" w:color="auto" w:sz="4" w:space="0"/>
              <w:left w:val="single" w:color="auto" w:sz="4" w:space="0"/>
              <w:right w:val="single" w:color="auto" w:sz="4" w:space="0"/>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rPr>
              <w:t>综合部分（</w:t>
            </w:r>
            <w:r>
              <w:rPr>
                <w:rFonts w:hint="eastAsia" w:ascii="宋体" w:hAnsi="宋体" w:eastAsia="宋体" w:cs="宋体"/>
                <w:sz w:val="24"/>
                <w:szCs w:val="24"/>
                <w:lang w:val="en-US" w:eastAsia="zh-CN"/>
              </w:rPr>
              <w:t>35</w:t>
            </w:r>
            <w:r>
              <w:rPr>
                <w:rFonts w:hint="eastAsia" w:ascii="宋体" w:hAnsi="宋体" w:eastAsia="宋体" w:cs="宋体"/>
                <w:sz w:val="24"/>
                <w:szCs w:val="24"/>
              </w:rPr>
              <w:t>分）</w:t>
            </w:r>
          </w:p>
        </w:tc>
        <w:tc>
          <w:tcPr>
            <w:tcW w:w="744" w:type="dxa"/>
            <w:tcBorders>
              <w:top w:val="single" w:color="auto" w:sz="4" w:space="0"/>
              <w:left w:val="single" w:color="auto" w:sz="4" w:space="0"/>
              <w:right w:val="single" w:color="auto" w:sz="4" w:space="0"/>
            </w:tcBorders>
            <w:vAlign w:val="center"/>
          </w:tcPr>
          <w:p>
            <w:pPr>
              <w:widowControl/>
              <w:spacing w:line="360" w:lineRule="auto"/>
              <w:rPr>
                <w:rFonts w:hint="eastAsia" w:ascii="宋体" w:hAnsi="宋体" w:eastAsia="宋体" w:cs="宋体"/>
                <w:color w:val="000000"/>
                <w:sz w:val="24"/>
                <w:szCs w:val="24"/>
                <w:highlight w:val="none"/>
              </w:rPr>
            </w:pPr>
            <w:r>
              <w:rPr>
                <w:rFonts w:hint="eastAsia" w:ascii="宋体" w:hAnsi="宋体" w:cs="宋体"/>
                <w:bCs/>
                <w:sz w:val="24"/>
              </w:rPr>
              <w:t>35分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1、投标人或所投下一台防火墙产品生产厂商需参与制定《信息安全技术 第二代防火墙安全技术要求》，满足得3分，不满足不得分，（需提供相关证明材料并加盖投标人公章）</w:t>
            </w:r>
          </w:p>
          <w:p>
            <w:pPr>
              <w:spacing w:line="360" w:lineRule="auto"/>
              <w:rPr>
                <w:rFonts w:ascii="宋体" w:hAnsi="宋体" w:cs="宋体"/>
                <w:sz w:val="24"/>
              </w:rPr>
            </w:pPr>
            <w:r>
              <w:rPr>
                <w:rFonts w:hint="eastAsia" w:ascii="宋体" w:hAnsi="宋体" w:cs="宋体"/>
                <w:sz w:val="24"/>
              </w:rPr>
              <w:t>2、投标人或所投堡垒机产品制造商具备中国网络安全审查技术与认证中心的的软件安全开发（一级）资质认证证书，满足得一级3分，不满足不得分，（需提供相关证明材料并加盖投标人公章）</w:t>
            </w:r>
          </w:p>
          <w:p>
            <w:pPr>
              <w:spacing w:line="360" w:lineRule="auto"/>
              <w:rPr>
                <w:rFonts w:ascii="宋体" w:hAnsi="宋体" w:cs="宋体"/>
                <w:sz w:val="24"/>
              </w:rPr>
            </w:pPr>
            <w:r>
              <w:rPr>
                <w:rFonts w:hint="eastAsia" w:ascii="宋体" w:hAnsi="宋体" w:cs="宋体"/>
                <w:sz w:val="24"/>
              </w:rPr>
              <w:t>3、投标人或所投零信任接入系统产品制造商需为国家信息安全漏洞共享平台CNVD技术组、用户组成员，同时满足得3分，满足其中一项得1分，不满足不得分。（需提供相关证明材料并加盖投标人公章）</w:t>
            </w:r>
          </w:p>
          <w:p>
            <w:pPr>
              <w:spacing w:line="360" w:lineRule="auto"/>
              <w:rPr>
                <w:rFonts w:ascii="宋体" w:hAnsi="宋体" w:cs="宋体"/>
                <w:sz w:val="24"/>
              </w:rPr>
            </w:pPr>
            <w:r>
              <w:rPr>
                <w:rFonts w:hint="eastAsia" w:ascii="宋体" w:hAnsi="宋体" w:cs="宋体"/>
                <w:sz w:val="24"/>
              </w:rPr>
              <w:t>4、投标人或所投超融合软件厂商需为中国信息安全测评中心云计算安全服务资质，满足得3分，不满足不得分。（需提供相关证明材料并加盖投标人公章）</w:t>
            </w:r>
          </w:p>
          <w:p>
            <w:pPr>
              <w:spacing w:line="360" w:lineRule="auto"/>
              <w:rPr>
                <w:rFonts w:ascii="宋体" w:hAnsi="宋体" w:cs="宋体"/>
                <w:sz w:val="24"/>
              </w:rPr>
            </w:pPr>
            <w:r>
              <w:rPr>
                <w:rFonts w:hint="eastAsia" w:ascii="宋体" w:hAnsi="宋体" w:cs="宋体"/>
                <w:sz w:val="24"/>
              </w:rPr>
              <w:t>5投标人或所投超融合平台企业云安全能力厂商具备云安全成熟度模型CSA-CMMI5 认证且为CSA全球联盟会员，同时满足得3分，满足其中一项得1分，不满足不得分。（需提供相关证明材料并加盖投标人公章）</w:t>
            </w:r>
          </w:p>
          <w:p>
            <w:pPr>
              <w:spacing w:line="360" w:lineRule="auto"/>
              <w:rPr>
                <w:rFonts w:ascii="宋体" w:hAnsi="宋体" w:cs="宋体"/>
                <w:sz w:val="24"/>
              </w:rPr>
            </w:pPr>
            <w:r>
              <w:rPr>
                <w:rFonts w:hint="eastAsia" w:ascii="宋体" w:hAnsi="宋体" w:cs="宋体"/>
                <w:sz w:val="24"/>
              </w:rPr>
              <w:t>6、投标人或所投产品生产厂商为国家互网应急中心CNCERT网络安全应急服务支撑单位、资质为甲级的得3分，乙级的得1分。（需提供相关证明材料并加盖投标人公章）</w:t>
            </w:r>
          </w:p>
          <w:p>
            <w:pPr>
              <w:spacing w:line="360" w:lineRule="auto"/>
              <w:rPr>
                <w:rFonts w:ascii="宋体" w:hAnsi="宋体" w:cs="宋体"/>
                <w:sz w:val="24"/>
              </w:rPr>
            </w:pPr>
            <w:r>
              <w:rPr>
                <w:rFonts w:hint="eastAsia" w:ascii="宋体" w:hAnsi="宋体" w:cs="宋体"/>
                <w:sz w:val="24"/>
              </w:rPr>
              <w:t>7、投标人或所投产品生产厂商是中国反网络病毒联盟ANVA成员单位得3分。（需提供相关证明材料并加盖投标人公章）</w:t>
            </w:r>
          </w:p>
          <w:p>
            <w:pPr>
              <w:spacing w:line="360" w:lineRule="auto"/>
              <w:rPr>
                <w:rFonts w:ascii="宋体" w:hAnsi="宋体" w:cs="宋体"/>
                <w:sz w:val="24"/>
              </w:rPr>
            </w:pPr>
            <w:r>
              <w:rPr>
                <w:rFonts w:hint="eastAsia" w:ascii="宋体" w:hAnsi="宋体" w:cs="宋体"/>
                <w:sz w:val="24"/>
              </w:rPr>
              <w:t>8、</w:t>
            </w:r>
            <w:r>
              <w:rPr>
                <w:rFonts w:hint="eastAsia" w:ascii="宋体" w:hAnsi="宋体" w:cs="宋体"/>
                <w:bCs/>
                <w:sz w:val="24"/>
              </w:rPr>
              <w:t>投标人或</w:t>
            </w:r>
            <w:r>
              <w:rPr>
                <w:rFonts w:hint="eastAsia" w:ascii="宋体" w:hAnsi="宋体" w:cs="宋体"/>
                <w:sz w:val="24"/>
              </w:rPr>
              <w:t>所投产品生产厂商为国家信息安全漏洞库CNNVD技术支撑单位，提供证书的3分。（需提供相关证明材料并加盖投标人公章）</w:t>
            </w:r>
          </w:p>
          <w:p>
            <w:pPr>
              <w:spacing w:line="360" w:lineRule="auto"/>
              <w:rPr>
                <w:rFonts w:ascii="宋体" w:hAnsi="宋体" w:cs="宋体"/>
                <w:sz w:val="24"/>
              </w:rPr>
            </w:pPr>
            <w:r>
              <w:rPr>
                <w:rFonts w:hint="eastAsia" w:ascii="宋体" w:hAnsi="宋体" w:cs="宋体"/>
                <w:sz w:val="24"/>
              </w:rPr>
              <w:t>9、</w:t>
            </w:r>
            <w:r>
              <w:rPr>
                <w:rFonts w:hint="eastAsia" w:ascii="宋体" w:hAnsi="宋体" w:cs="宋体"/>
                <w:bCs/>
                <w:sz w:val="24"/>
              </w:rPr>
              <w:t>投标人提供</w:t>
            </w:r>
            <w:r>
              <w:rPr>
                <w:rFonts w:hint="eastAsia" w:ascii="宋体" w:hAnsi="宋体" w:cs="宋体"/>
                <w:sz w:val="24"/>
              </w:rPr>
              <w:t>ITSS云服务（IAAS私有云）符合性证书，提供证书的3分。（需提供相关证明材料并加盖投标人公章）</w:t>
            </w:r>
          </w:p>
          <w:p>
            <w:pPr>
              <w:spacing w:line="360" w:lineRule="auto"/>
              <w:rPr>
                <w:rFonts w:ascii="宋体" w:hAnsi="宋体" w:cs="宋体"/>
                <w:bCs/>
                <w:sz w:val="24"/>
              </w:rPr>
            </w:pPr>
            <w:r>
              <w:rPr>
                <w:rFonts w:hint="eastAsia" w:ascii="宋体" w:hAnsi="宋体" w:cs="宋体"/>
                <w:sz w:val="24"/>
              </w:rPr>
              <w:t>10、投标人提供厂家售后服务承诺的得3分（所投防火墙、零信任接入系统、日志审计、堡垒机、超融合软件） 提供不全或不提供不得分。（需提供相关证明材料并加盖投标人公章）</w:t>
            </w:r>
          </w:p>
          <w:p>
            <w:pPr>
              <w:spacing w:line="360" w:lineRule="auto"/>
              <w:rPr>
                <w:rFonts w:hint="eastAsia" w:ascii="宋体" w:hAnsi="宋体" w:eastAsia="宋体" w:cs="宋体"/>
                <w:sz w:val="24"/>
                <w:szCs w:val="24"/>
                <w:highlight w:val="none"/>
              </w:rPr>
            </w:pPr>
            <w:r>
              <w:rPr>
                <w:rFonts w:hint="eastAsia" w:ascii="宋体" w:hAnsi="宋体" w:cs="宋体"/>
                <w:bCs/>
                <w:sz w:val="24"/>
                <w:lang w:eastAsia="zh-CN"/>
              </w:rPr>
              <w:t>11</w:t>
            </w:r>
            <w:r>
              <w:rPr>
                <w:rFonts w:hint="eastAsia" w:ascii="宋体" w:hAnsi="宋体" w:cs="宋体"/>
                <w:bCs/>
                <w:sz w:val="24"/>
              </w:rPr>
              <w:t>、投标人提供加盖采购人公章的现场勘察证明原件扫描件在投标响应文件中提供证明材料得5分，不提供不得分。</w:t>
            </w:r>
          </w:p>
        </w:tc>
      </w:tr>
    </w:tbl>
    <w:p>
      <w:pPr>
        <w:pStyle w:val="28"/>
        <w:ind w:firstLine="480"/>
        <w:rPr>
          <w:rFonts w:ascii="宋体" w:hAnsi="宋体" w:eastAsia="宋体" w:cs="宋体"/>
          <w:sz w:val="24"/>
          <w:highlight w:val="none"/>
        </w:rPr>
      </w:pPr>
    </w:p>
    <w:p>
      <w:pPr>
        <w:spacing w:line="560" w:lineRule="exact"/>
        <w:rPr>
          <w:rFonts w:ascii="宋体" w:hAnsi="宋体" w:cs="宋体"/>
          <w:b/>
          <w:sz w:val="24"/>
          <w:highlight w:val="none"/>
        </w:rPr>
      </w:pPr>
      <w:r>
        <w:rPr>
          <w:rFonts w:hint="eastAsia" w:ascii="宋体" w:hAnsi="宋体" w:cs="宋体"/>
          <w:b/>
          <w:sz w:val="24"/>
          <w:highlight w:val="none"/>
        </w:rPr>
        <w:t xml:space="preserve">  最终得分为磋商小组所有成员计分的算术平均值，计算保留小数点两位，小数点后第三位四舍五入。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22.5若供应商的报价高于项目预算，磋商小组有权根据采购人意见及其实际情况，拒绝该报价。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22.7在竞争性磋商期间，供应商不得向竞争性磋商小组成员询问其它供应商竞争性磋商情况，不得进行旨在影响成交结果的活动。</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22.8在竞争性磋商期间，采购人将有专门人员与供应商进行联络。</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23.竞争性磋商终止</w:t>
      </w:r>
    </w:p>
    <w:p>
      <w:pPr>
        <w:spacing w:line="560" w:lineRule="exact"/>
        <w:ind w:firstLine="480" w:firstLineChars="200"/>
        <w:rPr>
          <w:rFonts w:ascii="宋体" w:hAnsi="宋体" w:cs="宋体"/>
          <w:b/>
          <w:sz w:val="24"/>
          <w:highlight w:val="none"/>
        </w:rPr>
      </w:pPr>
      <w:r>
        <w:rPr>
          <w:rFonts w:hint="eastAsia" w:ascii="宋体" w:hAnsi="宋体" w:cs="宋体"/>
          <w:bCs/>
          <w:sz w:val="24"/>
          <w:highlight w:val="none"/>
        </w:rPr>
        <w:t>23.1出现下列情形之一时，采购人有权宣布竞争性磋商终止，并将理由通知所有供应商：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（1）因情况变化，不再符合竞争性磋商适用情形的；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（3）在采购过程中符合磋商文件要求的供应商不足3家的；</w:t>
      </w:r>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（4）在采购活动中因重大变故，采购任务取消的；</w:t>
      </w:r>
    </w:p>
    <w:p>
      <w:pPr>
        <w:spacing w:line="720" w:lineRule="auto"/>
        <w:jc w:val="center"/>
        <w:rPr>
          <w:rFonts w:ascii="宋体" w:hAnsi="宋体" w:cs="宋体"/>
          <w:b/>
          <w:sz w:val="24"/>
          <w:highlight w:val="none"/>
        </w:rPr>
      </w:pPr>
      <w:r>
        <w:rPr>
          <w:rFonts w:hint="eastAsia" w:ascii="宋体" w:hAnsi="宋体" w:cs="宋体"/>
          <w:b/>
          <w:sz w:val="24"/>
          <w:highlight w:val="none"/>
        </w:rPr>
        <w:t>七、成交通知</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24.成交通知</w:t>
      </w:r>
    </w:p>
    <w:p>
      <w:pPr>
        <w:pStyle w:val="2"/>
        <w:spacing w:line="360" w:lineRule="auto"/>
        <w:ind w:firstLine="480" w:firstLineChars="200"/>
        <w:rPr>
          <w:rFonts w:ascii="宋体" w:hAnsi="宋体" w:cs="宋体"/>
          <w:sz w:val="24"/>
          <w:highlight w:val="none"/>
        </w:rPr>
      </w:pPr>
      <w:r>
        <w:rPr>
          <w:rFonts w:hint="eastAsia" w:ascii="宋体" w:hAnsi="宋体" w:cs="宋体"/>
          <w:sz w:val="24"/>
          <w:highlight w:val="none"/>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sz w:val="24"/>
          <w:highlight w:val="none"/>
        </w:rPr>
      </w:pPr>
      <w:r>
        <w:rPr>
          <w:rFonts w:hint="eastAsia" w:ascii="宋体" w:hAnsi="宋体" w:cs="宋体"/>
          <w:sz w:val="24"/>
          <w:highlight w:val="none"/>
        </w:rPr>
        <w:t>24.2在发出成交公告后请采购人、中标人登录周口市公共资源交易中心网（http://jyzx.zhoukou.gov.cn）自行下载</w:t>
      </w:r>
      <w:r>
        <w:rPr>
          <w:rFonts w:hint="eastAsia" w:cs="宋体"/>
          <w:sz w:val="24"/>
          <w:highlight w:val="none"/>
        </w:rPr>
        <w:t>成交</w:t>
      </w:r>
      <w:r>
        <w:rPr>
          <w:rFonts w:hint="eastAsia" w:ascii="宋体" w:hAnsi="宋体" w:cs="宋体"/>
          <w:sz w:val="24"/>
          <w:highlight w:val="none"/>
        </w:rPr>
        <w:t>通知书。</w:t>
      </w:r>
    </w:p>
    <w:p>
      <w:pPr>
        <w:tabs>
          <w:tab w:val="left" w:pos="1800"/>
        </w:tabs>
        <w:spacing w:line="560" w:lineRule="exact"/>
        <w:ind w:firstLine="480" w:firstLineChars="200"/>
        <w:rPr>
          <w:rFonts w:ascii="宋体" w:hAnsi="宋体" w:cs="宋体"/>
          <w:sz w:val="24"/>
          <w:highlight w:val="none"/>
        </w:rPr>
      </w:pPr>
      <w:r>
        <w:rPr>
          <w:rFonts w:hint="eastAsia" w:ascii="宋体" w:hAnsi="宋体" w:cs="宋体"/>
          <w:sz w:val="24"/>
          <w:highlight w:val="none"/>
        </w:rPr>
        <w:t>24.3成交通知书对采购人和成交供应商具有同等法律效力。成交通知书发出后，采购人改变成交结果，或者成交供应商放弃成交，应当承担相应的法律责任。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cs="宋体"/>
          <w:sz w:val="24"/>
          <w:highlight w:val="none"/>
        </w:rPr>
      </w:pPr>
      <w:r>
        <w:rPr>
          <w:rFonts w:hint="eastAsia" w:ascii="宋体" w:hAnsi="宋体" w:cs="宋体"/>
          <w:b/>
          <w:sz w:val="24"/>
          <w:highlight w:val="none"/>
        </w:rPr>
        <w:t>八、合同授予</w:t>
      </w:r>
    </w:p>
    <w:p>
      <w:pPr>
        <w:tabs>
          <w:tab w:val="left" w:pos="1620"/>
        </w:tabs>
        <w:spacing w:line="560" w:lineRule="exact"/>
        <w:ind w:firstLine="482" w:firstLineChars="200"/>
        <w:rPr>
          <w:rFonts w:ascii="宋体" w:hAnsi="宋体" w:cs="宋体"/>
          <w:b/>
          <w:sz w:val="24"/>
          <w:highlight w:val="none"/>
        </w:rPr>
      </w:pPr>
      <w:r>
        <w:rPr>
          <w:rFonts w:hint="eastAsia" w:ascii="宋体" w:hAnsi="宋体" w:cs="宋体"/>
          <w:b/>
          <w:sz w:val="24"/>
          <w:highlight w:val="none"/>
        </w:rPr>
        <w:t>25.签订合同及合同的执行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25.1采购人、成交供应商按照竞争性磋商文件确定的合同文本签订政府采购合同。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cs="宋体"/>
          <w:b/>
          <w:sz w:val="24"/>
          <w:highlight w:val="none"/>
        </w:rPr>
      </w:pPr>
      <w:r>
        <w:rPr>
          <w:rFonts w:hint="eastAsia" w:ascii="宋体" w:hAnsi="宋体" w:cs="宋体"/>
          <w:b/>
          <w:sz w:val="24"/>
          <w:highlight w:val="none"/>
        </w:rPr>
        <w:t>九、质疑处理</w:t>
      </w:r>
    </w:p>
    <w:p>
      <w:pPr>
        <w:pStyle w:val="5"/>
        <w:spacing w:line="560" w:lineRule="exact"/>
        <w:ind w:firstLine="482" w:firstLineChars="200"/>
        <w:jc w:val="both"/>
        <w:rPr>
          <w:rFonts w:ascii="宋体" w:hAnsi="宋体" w:cs="宋体"/>
          <w:b/>
          <w:sz w:val="24"/>
          <w:highlight w:val="none"/>
        </w:rPr>
      </w:pPr>
      <w:r>
        <w:rPr>
          <w:rFonts w:hint="eastAsia" w:ascii="宋体" w:hAnsi="宋体" w:cs="宋体"/>
          <w:b/>
          <w:sz w:val="24"/>
          <w:highlight w:val="none"/>
        </w:rPr>
        <w:t>26.质疑程序及处理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26.1</w:t>
      </w:r>
      <w:r>
        <w:rPr>
          <w:rFonts w:hint="eastAsia" w:ascii="宋体" w:hAnsi="宋体" w:cs="宋体"/>
          <w:bCs/>
          <w:sz w:val="24"/>
          <w:highlight w:val="none"/>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26.2采购人在收到供应商的书面质疑后七个工作日内做出答复，并以书面形式通知质疑供应商和其他供应商，但答复内容不得涉及商业秘密。</w:t>
      </w:r>
    </w:p>
    <w:p>
      <w:pPr>
        <w:spacing w:line="560" w:lineRule="exact"/>
        <w:ind w:firstLine="480" w:firstLineChars="200"/>
        <w:rPr>
          <w:rFonts w:ascii="宋体" w:hAnsi="宋体" w:cs="宋体"/>
          <w:bCs/>
          <w:sz w:val="24"/>
          <w:highlight w:val="none"/>
        </w:rPr>
      </w:pPr>
      <w:r>
        <w:rPr>
          <w:rFonts w:hint="eastAsia" w:ascii="宋体" w:hAnsi="宋体" w:cs="宋体"/>
          <w:sz w:val="24"/>
          <w:highlight w:val="none"/>
        </w:rPr>
        <w:t>26.3</w:t>
      </w:r>
      <w:r>
        <w:rPr>
          <w:rFonts w:hint="eastAsia" w:ascii="宋体" w:hAnsi="宋体" w:cs="宋体"/>
          <w:bCs/>
          <w:sz w:val="24"/>
          <w:highlight w:val="none"/>
        </w:rPr>
        <w:t>质疑供应商行使质疑权时，必须遵守“实事求是”和“谨慎性”原则，承担使用虚假材料或恶意方式质疑的法律责任，</w:t>
      </w:r>
      <w:r>
        <w:rPr>
          <w:rFonts w:hint="eastAsia" w:ascii="宋体" w:hAnsi="宋体" w:cs="宋体"/>
          <w:sz w:val="24"/>
          <w:highlight w:val="none"/>
        </w:rPr>
        <w:t>采购人</w:t>
      </w:r>
      <w:r>
        <w:rPr>
          <w:rFonts w:hint="eastAsia" w:ascii="宋体" w:hAnsi="宋体" w:cs="宋体"/>
          <w:bCs/>
          <w:sz w:val="24"/>
          <w:highlight w:val="none"/>
        </w:rPr>
        <w:t>将遵循“谁过错谁负担”的原则，由过错方提交相关的调查论证费用。</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line="560" w:lineRule="exact"/>
        <w:rPr>
          <w:rFonts w:ascii="宋体" w:hAnsi="宋体" w:cs="宋体"/>
          <w:sz w:val="24"/>
          <w:highlight w:val="none"/>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pPr>
        <w:numPr>
          <w:ilvl w:val="0"/>
          <w:numId w:val="4"/>
        </w:numPr>
        <w:jc w:val="center"/>
        <w:rPr>
          <w:rFonts w:hint="eastAsia" w:ascii="宋体" w:hAnsi="宋体" w:cs="宋体"/>
          <w:b/>
          <w:sz w:val="24"/>
          <w:highlight w:val="none"/>
        </w:rPr>
      </w:pPr>
      <w:r>
        <w:rPr>
          <w:rFonts w:hint="eastAsia" w:ascii="宋体" w:hAnsi="宋体" w:cs="宋体"/>
          <w:b/>
          <w:sz w:val="24"/>
          <w:highlight w:val="none"/>
        </w:rPr>
        <w:t>采购项目内容及要求</w:t>
      </w:r>
    </w:p>
    <w:p>
      <w:pPr>
        <w:numPr>
          <w:ilvl w:val="0"/>
          <w:numId w:val="0"/>
        </w:numPr>
        <w:jc w:val="both"/>
        <w:rPr>
          <w:rFonts w:hint="eastAsia" w:ascii="宋体" w:hAnsi="宋体" w:cs="宋体"/>
          <w:b/>
          <w:sz w:val="24"/>
          <w:highlight w:val="none"/>
        </w:rPr>
      </w:pPr>
    </w:p>
    <w:p>
      <w:pPr>
        <w:spacing w:line="480" w:lineRule="auto"/>
        <w:ind w:left="420"/>
        <w:rPr>
          <w:rFonts w:ascii="宋体" w:hAnsi="宋体" w:cs="宋体"/>
          <w:b/>
          <w:sz w:val="24"/>
        </w:rPr>
      </w:pPr>
      <w:r>
        <w:rPr>
          <w:rStyle w:val="67"/>
          <w:rFonts w:hint="eastAsia" w:ascii="宋体" w:hAnsi="宋体" w:cs="宋体"/>
          <w:color w:val="000000"/>
          <w:sz w:val="24"/>
        </w:rPr>
        <w:t>1、</w:t>
      </w:r>
      <w:r>
        <w:rPr>
          <w:rStyle w:val="67"/>
          <w:rFonts w:hint="eastAsia" w:ascii="宋体" w:hAnsi="宋体" w:cs="宋体"/>
          <w:color w:val="000000"/>
          <w:sz w:val="24"/>
          <w:lang w:val="zh-CN"/>
        </w:rPr>
        <w:t>本项目采购内容：</w:t>
      </w:r>
    </w:p>
    <w:p>
      <w:pPr>
        <w:pStyle w:val="5"/>
        <w:rPr>
          <w:rFonts w:ascii="宋体" w:hAnsi="宋体"/>
        </w:rPr>
      </w:pPr>
      <w:r>
        <w:rPr>
          <w:rFonts w:hint="eastAsia" w:ascii="宋体" w:hAnsi="宋体"/>
        </w:rPr>
        <w:t>（1）下一代防火墙</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70"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color w:val="000000"/>
                <w:kern w:val="0"/>
                <w:sz w:val="24"/>
              </w:rPr>
            </w:pPr>
            <w:r>
              <w:rPr>
                <w:rFonts w:hint="eastAsia" w:ascii="宋体" w:hAnsi="宋体" w:cs="宋体"/>
                <w:b/>
                <w:color w:val="000000"/>
                <w:kern w:val="0"/>
                <w:sz w:val="24"/>
              </w:rPr>
              <w:t>项目</w:t>
            </w:r>
          </w:p>
        </w:tc>
        <w:tc>
          <w:tcPr>
            <w:tcW w:w="724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color w:val="000000"/>
                <w:kern w:val="0"/>
                <w:sz w:val="24"/>
              </w:rPr>
            </w:pPr>
            <w:r>
              <w:rPr>
                <w:rFonts w:hint="eastAsia" w:ascii="宋体" w:hAnsi="宋体" w:cs="宋体"/>
                <w:b/>
                <w:color w:val="000000"/>
                <w:kern w:val="0"/>
                <w:sz w:val="24"/>
              </w:rPr>
              <w:t>项目技术指标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性能要求</w:t>
            </w:r>
          </w:p>
        </w:tc>
        <w:tc>
          <w:tcPr>
            <w:tcW w:w="7249"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网络层吞吐量≥3G，应用层吞吐量≥1.5G，并发连接数≥90万。规格：接口≥8千兆电口+2千兆光口SFP。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VPN选路</w:t>
            </w:r>
          </w:p>
        </w:tc>
        <w:tc>
          <w:tcPr>
            <w:tcW w:w="7249"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产品支持IPsec VPN和SSL VPN功能。产品支持IPSec VPN智能选路功能，根据线路质量和应用实现自动链路切换。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7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规则库</w:t>
            </w:r>
          </w:p>
        </w:tc>
        <w:tc>
          <w:tcPr>
            <w:tcW w:w="7249"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提供不限于WEB应用防护识别库、僵尸网络防护库、实时漏洞分析识别库和URL&amp;应用识别库定期更新，保持设备具备检测防御最新威胁的能力。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7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p>
        </w:tc>
        <w:tc>
          <w:tcPr>
            <w:tcW w:w="7249"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产品支持对不少于</w:t>
            </w:r>
            <w:r>
              <w:rPr>
                <w:rFonts w:ascii="宋体" w:hAnsi="宋体" w:cs="仿宋"/>
                <w:color w:val="000000"/>
                <w:kern w:val="0"/>
                <w:sz w:val="24"/>
                <w:szCs w:val="24"/>
              </w:rPr>
              <w:t>9160种应用的识别和控制，应用类型包括游戏、购物、图书百科、工作招聘、P2P下载、聊天工具、旅游出行、股票软件等类型应用进行检测与控制。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路由功能</w:t>
            </w:r>
          </w:p>
        </w:tc>
        <w:tc>
          <w:tcPr>
            <w:tcW w:w="7249"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产品支持路由类型、协议类型、网络对象、国家地区等条件进行自动选路的策略路由，支持不少于</w:t>
            </w:r>
            <w:r>
              <w:rPr>
                <w:rFonts w:ascii="宋体" w:hAnsi="宋体" w:cs="仿宋"/>
                <w:color w:val="000000"/>
                <w:kern w:val="0"/>
                <w:sz w:val="24"/>
                <w:szCs w:val="24"/>
              </w:rPr>
              <w:t>3种的调度算法，至少包括带宽比例、加权流量、线路优先等。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防病毒</w:t>
            </w:r>
          </w:p>
        </w:tc>
        <w:tc>
          <w:tcPr>
            <w:tcW w:w="7249"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★产品支持对压缩病毒文件进行检测和拦截，压缩层数支持</w:t>
            </w:r>
            <w:r>
              <w:rPr>
                <w:rFonts w:ascii="宋体" w:hAnsi="宋体" w:cs="仿宋"/>
                <w:color w:val="000000"/>
                <w:kern w:val="0"/>
                <w:sz w:val="24"/>
                <w:szCs w:val="24"/>
              </w:rPr>
              <w:t>15层及以上。（需提供产品功能截图证明）</w:t>
            </w:r>
            <w:r>
              <w:rPr>
                <w:rFonts w:hint="eastAsia" w:ascii="宋体" w:hAnsi="宋体" w:cs="仿宋"/>
                <w:color w:val="000000"/>
                <w:kern w:val="0"/>
                <w:sz w:val="24"/>
                <w:szCs w:val="24"/>
              </w:rPr>
              <w:t>（需提供产品功能截图并加盖原厂商公章）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47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kern w:val="0"/>
                <w:sz w:val="24"/>
              </w:rPr>
            </w:pPr>
            <w:r>
              <w:rPr>
                <w:rFonts w:hint="eastAsia" w:ascii="宋体" w:hAnsi="宋体" w:cs="宋体"/>
                <w:b/>
                <w:color w:val="000000"/>
                <w:kern w:val="0"/>
                <w:sz w:val="24"/>
              </w:rPr>
              <w:t>勒索防护</w:t>
            </w:r>
          </w:p>
        </w:tc>
        <w:tc>
          <w:tcPr>
            <w:tcW w:w="7249"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产品支持用户账号全生命周期保护功能，包括用户账号多余入口检测、用户账号弱口令检测、用户账号暴力破解检测、失陷账号检测，防止因账号被暴力破解导致的非法提权情况发生。（需提供产品功能截图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249"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产品支持勒索病毒检测与防御功能，针对勒索病毒攻击设置专项安全策略，需提供产品相关功能截图，并提供公安部计算机信息系统安全产品质量监督检验中心、中国信息安全测评中心、中华人民共和国国家版权局之中任意一家检测机构出具关于“勒索病毒”的相关证书复印件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249"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产品支持僵尸主机检测功能，产品内置僵尸网络特征库超过100万种，可识别主机的异常外联行为。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安全策略管理</w:t>
            </w:r>
          </w:p>
        </w:tc>
        <w:tc>
          <w:tcPr>
            <w:tcW w:w="7249"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产品支持策略生命周期管理功能，支持对安全策略修改的时间、原因、变更类型进行统一管理，便于策略的运维与管理。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4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资质要求</w:t>
            </w:r>
          </w:p>
        </w:tc>
        <w:tc>
          <w:tcPr>
            <w:tcW w:w="7249"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★要求所投产品连续</w:t>
            </w:r>
            <w:r>
              <w:rPr>
                <w:rFonts w:ascii="宋体" w:hAnsi="宋体" w:cs="仿宋"/>
                <w:color w:val="000000"/>
                <w:kern w:val="0"/>
                <w:sz w:val="24"/>
                <w:szCs w:val="24"/>
              </w:rPr>
              <w:t>8年入围Gartner网络防火墙魔力象限，提供有效证明材料</w:t>
            </w:r>
            <w:r>
              <w:rPr>
                <w:rFonts w:hint="eastAsia" w:ascii="宋体" w:hAnsi="宋体" w:cs="仿宋"/>
                <w:color w:val="000000"/>
                <w:kern w:val="0"/>
                <w:sz w:val="24"/>
                <w:szCs w:val="24"/>
              </w:rPr>
              <w:t>加盖厂家公章</w:t>
            </w:r>
            <w:r>
              <w:rPr>
                <w:rFonts w:ascii="宋体" w:hAnsi="宋体" w:cs="仿宋"/>
                <w:color w:val="000000"/>
                <w:kern w:val="0"/>
                <w:sz w:val="24"/>
                <w:szCs w:val="24"/>
              </w:rPr>
              <w:t>。</w:t>
            </w:r>
          </w:p>
        </w:tc>
      </w:tr>
    </w:tbl>
    <w:p/>
    <w:p>
      <w:pPr>
        <w:pStyle w:val="5"/>
        <w:rPr>
          <w:rFonts w:ascii="宋体" w:hAnsi="宋体"/>
        </w:rPr>
      </w:pPr>
      <w:r>
        <w:rPr>
          <w:rFonts w:hint="eastAsia" w:ascii="宋体" w:hAnsi="宋体"/>
        </w:rPr>
        <w:t>（2）零信任接入系统</w:t>
      </w:r>
    </w:p>
    <w:tbl>
      <w:tblPr>
        <w:tblStyle w:val="2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8"/>
        <w:gridCol w:w="7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r>
              <w:rPr>
                <w:rFonts w:hint="eastAsia" w:ascii="宋体" w:hAnsi="宋体" w:cs="宋体"/>
                <w:b/>
                <w:bCs/>
                <w:color w:val="000000"/>
                <w:sz w:val="24"/>
              </w:rPr>
              <w:t>项目</w:t>
            </w:r>
          </w:p>
        </w:tc>
        <w:tc>
          <w:tcPr>
            <w:tcW w:w="72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r>
              <w:rPr>
                <w:rFonts w:hint="eastAsia" w:ascii="宋体" w:hAnsi="宋体" w:cs="宋体"/>
                <w:b/>
                <w:bCs/>
                <w:color w:val="000000"/>
                <w:sz w:val="24"/>
              </w:rPr>
              <w:t>项目指标要求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r>
              <w:rPr>
                <w:rFonts w:hint="eastAsia" w:ascii="宋体" w:hAnsi="宋体" w:cs="宋体"/>
                <w:b/>
                <w:bCs/>
                <w:color w:val="000000"/>
                <w:sz w:val="24"/>
              </w:rPr>
              <w:t>性能参数</w:t>
            </w:r>
          </w:p>
        </w:tc>
        <w:tc>
          <w:tcPr>
            <w:tcW w:w="72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仿宋"/>
                <w:color w:val="000000"/>
                <w:kern w:val="0"/>
                <w:sz w:val="24"/>
              </w:rPr>
              <w:t>★</w:t>
            </w:r>
            <w:r>
              <w:rPr>
                <w:rFonts w:hint="eastAsia" w:ascii="宋体" w:hAnsi="宋体" w:cs="宋体"/>
                <w:color w:val="000000"/>
                <w:sz w:val="24"/>
              </w:rPr>
              <w:t>加密流量≥250Mbps；最大并发用户数≥400个；https并发连接数≥12000个，</w:t>
            </w:r>
            <w:r>
              <w:rPr>
                <w:rFonts w:ascii="宋体" w:hAnsi="宋体" w:cs="宋体"/>
                <w:color w:val="000000"/>
                <w:sz w:val="24"/>
              </w:rPr>
              <w:t>VPN接入授权</w:t>
            </w:r>
            <w:r>
              <w:rPr>
                <w:rFonts w:hint="eastAsia" w:ascii="宋体" w:hAnsi="宋体" w:cs="宋体"/>
                <w:color w:val="000000"/>
                <w:sz w:val="24"/>
              </w:rPr>
              <w:t>≥20套；1U设备；网络接口≥4个千兆电口；单电源；内存≥8G；存储≥128G SSD硬盘；</w:t>
            </w:r>
            <w:r>
              <w:rPr>
                <w:rFonts w:hint="eastAsia" w:ascii="宋体" w:hAnsi="宋体" w:cs="仿宋"/>
                <w:color w:val="000000"/>
                <w:kern w:val="0"/>
                <w:sz w:val="24"/>
              </w:rPr>
              <w:t>（需提供证明文件并加盖原厂商公章）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2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r>
              <w:rPr>
                <w:rFonts w:hint="eastAsia" w:ascii="宋体" w:hAnsi="宋体" w:cs="宋体"/>
                <w:b/>
                <w:bCs/>
                <w:color w:val="000000"/>
                <w:sz w:val="24"/>
              </w:rPr>
              <w:t>灵活部署</w:t>
            </w:r>
          </w:p>
        </w:tc>
        <w:tc>
          <w:tcPr>
            <w:tcW w:w="72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4"/>
              </w:rPr>
              <w:t>支持IPV4/IPV6双栈网络IP配置，可自主选择配置LAN口或WAN口。支持默认限制所有IP通过WAN口访问系统，支持通过配置IP白名单的方式来放通WAN口接入的特殊需求。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sz w:val="24"/>
              </w:rPr>
            </w:pPr>
          </w:p>
        </w:tc>
        <w:tc>
          <w:tcPr>
            <w:tcW w:w="72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4"/>
              </w:rPr>
              <w:t>本地集群下各节点的零信任授权数均可共享使用，集群的总接入授权数是各节点授权数的总和。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42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r>
              <w:rPr>
                <w:rFonts w:hint="eastAsia" w:ascii="宋体" w:hAnsi="宋体" w:cs="宋体"/>
                <w:b/>
                <w:bCs/>
                <w:color w:val="000000"/>
                <w:sz w:val="24"/>
              </w:rPr>
              <w:t>易用性</w:t>
            </w:r>
          </w:p>
        </w:tc>
        <w:tc>
          <w:tcPr>
            <w:tcW w:w="72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4"/>
              </w:rPr>
              <w:t>通过隧道模式，可以支持基于TCP、UDP、ICMP等协议代理访问业务资源，支持发布IP、IP范围、IP段、具体域名及通配符域名等形式的服务器地址，满足常见办公业务的代理，收缩业务暴露面。支持同一个资源发布多个服务器地址；管理员可以自主选择优先使用长连接或短连接进行业务代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4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p>
        </w:tc>
        <w:tc>
          <w:tcPr>
            <w:tcW w:w="72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4"/>
              </w:rPr>
              <w:t>支持以私有DNS发布企业资源，支持管理员自主配置是否允许从具体网络区域（局域网/互联网）接入时使用此私有DNS解析地址。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r>
              <w:rPr>
                <w:rFonts w:hint="eastAsia" w:ascii="宋体" w:hAnsi="宋体" w:cs="宋体"/>
                <w:b/>
                <w:bCs/>
                <w:color w:val="000000"/>
                <w:sz w:val="24"/>
              </w:rPr>
              <w:t>终端兼容性</w:t>
            </w:r>
          </w:p>
        </w:tc>
        <w:tc>
          <w:tcPr>
            <w:tcW w:w="72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仿宋"/>
                <w:color w:val="000000"/>
                <w:kern w:val="0"/>
                <w:sz w:val="24"/>
              </w:rPr>
              <w:t>★</w:t>
            </w:r>
            <w:r>
              <w:rPr>
                <w:rFonts w:hint="eastAsia" w:ascii="宋体" w:hAnsi="宋体" w:cs="宋体"/>
                <w:color w:val="000000"/>
                <w:sz w:val="24"/>
              </w:rPr>
              <w:t>客户端兼容主流国产硬件CPU的国产操作系统终端，包括麒麟V10×龙芯、麒麟V10×龙芯LoongArch、麒麟V10×飞腾、麒麟V10×鲲鹏、麒麟V10×兆芯、麒麟V10×海光、麒麟V10×海思麒麟；统信V20×龙芯（3A3000、3A4000）、统信V20×龙芯（3A5000）、统信V20×飞腾、统信V20×鲲鹏、统信V20×海光、统信V20×兆芯等。</w:t>
            </w:r>
            <w:r>
              <w:rPr>
                <w:rFonts w:ascii="宋体" w:hAnsi="宋体" w:cs="仿宋"/>
                <w:color w:val="000000"/>
                <w:kern w:val="0"/>
                <w:sz w:val="24"/>
              </w:rPr>
              <w:t>（需提供产品功能截图证明）</w:t>
            </w:r>
            <w:r>
              <w:rPr>
                <w:rFonts w:hint="eastAsia" w:ascii="宋体" w:hAnsi="宋体" w:cs="仿宋"/>
                <w:color w:val="000000"/>
                <w:kern w:val="0"/>
                <w:sz w:val="24"/>
              </w:rPr>
              <w:t>（需提供产品功能截图并加盖原厂商公章）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r>
              <w:rPr>
                <w:rFonts w:hint="eastAsia" w:ascii="宋体" w:hAnsi="宋体" w:cs="宋体"/>
                <w:b/>
                <w:bCs/>
                <w:color w:val="000000"/>
                <w:sz w:val="24"/>
              </w:rPr>
              <w:t>认证管理</w:t>
            </w:r>
          </w:p>
        </w:tc>
        <w:tc>
          <w:tcPr>
            <w:tcW w:w="72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4"/>
              </w:rPr>
              <w:t>为强化系统认证安全性，可配置在触发异常环境的条件时，用户需完成增强认证才可登录。可配置的异常环境包括但不限于：帐号首次登录、帐号在该终端首次登录、闲置帐号登录、弱密码登录、异常时间登录、非常用地点登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r>
              <w:rPr>
                <w:rFonts w:hint="eastAsia" w:ascii="宋体" w:hAnsi="宋体" w:cs="宋体"/>
                <w:b/>
                <w:bCs/>
                <w:color w:val="000000"/>
                <w:sz w:val="24"/>
              </w:rPr>
              <w:t>用户管理</w:t>
            </w:r>
          </w:p>
        </w:tc>
        <w:tc>
          <w:tcPr>
            <w:tcW w:w="72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4"/>
              </w:rPr>
              <w:t>产品支持内置本地默认用户目录，支持导入与同步AD域/LDAP等外部用户目录。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2" w:hRule="atLeast"/>
          <w:jc w:val="center"/>
        </w:trPr>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r>
              <w:rPr>
                <w:rFonts w:hint="eastAsia" w:ascii="宋体" w:hAnsi="宋体" w:cs="宋体"/>
                <w:b/>
                <w:bCs/>
                <w:color w:val="000000"/>
                <w:sz w:val="24"/>
              </w:rPr>
              <w:t>审计能力</w:t>
            </w:r>
          </w:p>
        </w:tc>
        <w:tc>
          <w:tcPr>
            <w:tcW w:w="72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4"/>
              </w:rPr>
              <w:t>支持以虚拟IP方式访问真实的业务系统。支持共享虚拟IP池模式，为用户组分配一个IP地址段，用户组内的用户首次连接时分配一个IP端内的虚拟IP。支持独享虚拟IP模式，可配置一个独享IP池，在独享IP池中为用户分配指定的虚拟IP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r>
              <w:rPr>
                <w:rFonts w:hint="eastAsia" w:ascii="宋体" w:hAnsi="宋体" w:cs="宋体"/>
                <w:b/>
                <w:bCs/>
                <w:color w:val="000000"/>
                <w:sz w:val="24"/>
              </w:rPr>
              <w:t>系统运维</w:t>
            </w:r>
          </w:p>
        </w:tc>
        <w:tc>
          <w:tcPr>
            <w:tcW w:w="72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宋体"/>
                <w:color w:val="000000"/>
                <w:sz w:val="24"/>
              </w:rPr>
              <w:t>支持终端环境诊断排查，提供终端诊断工具，支持对当前终端的基本环境进行扫描和一键修复，便于员工自行排查修复终端问题，减少IT运维人员工作。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4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4"/>
              </w:rPr>
            </w:pPr>
            <w:r>
              <w:rPr>
                <w:rFonts w:hint="eastAsia" w:ascii="宋体" w:hAnsi="宋体" w:cs="宋体"/>
                <w:b/>
                <w:bCs/>
                <w:color w:val="000000"/>
                <w:sz w:val="24"/>
              </w:rPr>
              <w:t>监控中心</w:t>
            </w:r>
          </w:p>
        </w:tc>
        <w:tc>
          <w:tcPr>
            <w:tcW w:w="729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r>
              <w:rPr>
                <w:rFonts w:hint="eastAsia" w:ascii="宋体" w:hAnsi="宋体" w:cs="仿宋"/>
                <w:color w:val="000000"/>
                <w:kern w:val="0"/>
                <w:sz w:val="24"/>
              </w:rPr>
              <w:t>★</w:t>
            </w:r>
            <w:r>
              <w:rPr>
                <w:rFonts w:hint="eastAsia" w:ascii="宋体" w:hAnsi="宋体" w:cs="宋体"/>
                <w:color w:val="000000"/>
                <w:sz w:val="24"/>
              </w:rPr>
              <w:t>对于创建后长时间未使用、长时间不登录或登录后长时间不使用的用户帐号，支持检测并判定为闲置帐号。闲置帐号的时长可自定义配置，可配置范围不得小于1-365天。可设置检测闲置账号后是否自动锁定。支持锁定后手动恢复帐号状态。</w:t>
            </w:r>
            <w:r>
              <w:rPr>
                <w:rFonts w:hint="eastAsia" w:ascii="宋体" w:hAnsi="宋体" w:cs="仿宋"/>
                <w:color w:val="000000"/>
                <w:kern w:val="0"/>
                <w:sz w:val="24"/>
              </w:rPr>
              <w:t>（需提供产品功能截图并加盖原厂商公章）</w:t>
            </w:r>
          </w:p>
        </w:tc>
      </w:tr>
    </w:tbl>
    <w:p/>
    <w:p>
      <w:pPr>
        <w:pStyle w:val="5"/>
        <w:rPr>
          <w:rFonts w:ascii="宋体" w:hAnsi="宋体"/>
        </w:rPr>
      </w:pPr>
      <w:r>
        <w:rPr>
          <w:rFonts w:hint="eastAsia" w:ascii="宋体" w:hAnsi="宋体"/>
        </w:rPr>
        <w:t>（3）</w:t>
      </w:r>
      <w:r>
        <w:rPr>
          <w:rFonts w:ascii="宋体" w:hAnsi="宋体"/>
        </w:rPr>
        <w:t>日志审计</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rPr>
            </w:pPr>
            <w:bookmarkStart w:id="32" w:name="_Hlk141259799"/>
            <w:r>
              <w:rPr>
                <w:rFonts w:hint="eastAsia" w:ascii="宋体" w:hAnsi="宋体" w:cs="宋体"/>
                <w:b/>
                <w:bCs/>
                <w:color w:val="000000"/>
                <w:kern w:val="0"/>
                <w:sz w:val="24"/>
              </w:rPr>
              <w:t>项目</w:t>
            </w:r>
          </w:p>
        </w:tc>
        <w:tc>
          <w:tcPr>
            <w:tcW w:w="73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项目指标要求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性能参数</w:t>
            </w:r>
          </w:p>
        </w:tc>
        <w:tc>
          <w:tcPr>
            <w:tcW w:w="7383"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纯软件交付方式，包含主机审计许可证书数量≥50，要求虚拟机配置CPU核数≥4核，内存≥8G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日志采集</w:t>
            </w:r>
          </w:p>
        </w:tc>
        <w:tc>
          <w:tcPr>
            <w:tcW w:w="7383"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支持主动、被动相结合的数据采集方式，支持通过Agent采集日志数据，支持通过syslog、SNMP Trap、JDBC、WMI、webservice、FTP、文件\文件夹读取、Kafka等多种方式完成日志收集；</w:t>
            </w:r>
          </w:p>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★支持接入TLS加密方式的日志，支持对日志传输状态、最近同步时间进行监控，可统计每个日志源的今日传输量和传输总量。（需提供截图证明并加盖原厂商公章）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日志标准化</w:t>
            </w:r>
          </w:p>
        </w:tc>
        <w:tc>
          <w:tcPr>
            <w:tcW w:w="7383"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★支持通过正则、分隔符、json、xml的可视方式进行自定义规则解析，支持对解析结果字段的新增、合并、映射。（需提供截图证明并加盖原厂商公章）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日志过滤</w:t>
            </w:r>
          </w:p>
        </w:tc>
        <w:tc>
          <w:tcPr>
            <w:tcW w:w="7383"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支持对每个日志源设置过滤条件规则，自动过滤无用日志，满足根据实际业务需求减少采集对象发送到核心服务器的安全事件数，减少对网络带宽和数据库存储空间的占用。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日志转发</w:t>
            </w:r>
          </w:p>
        </w:tc>
        <w:tc>
          <w:tcPr>
            <w:tcW w:w="7383"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★支持对单个/多个日志源批量转发，支持定时转发，可通过syslog和kafka方式转发到第三方平台，并且支持转发原始日志和已解析日志的两种日志（需提供截图证明并加盖原厂商公章）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全文检索</w:t>
            </w:r>
          </w:p>
        </w:tc>
        <w:tc>
          <w:tcPr>
            <w:tcW w:w="7383"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需提供截图证明并加盖原厂商公章）</w:t>
            </w:r>
          </w:p>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支持解码小工具，按照不同的解码方式解码成不同的目标内容，编码格式包括base64、Unicode、GBK、HEX、UTF-8等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日志分析</w:t>
            </w:r>
          </w:p>
        </w:tc>
        <w:tc>
          <w:tcPr>
            <w:tcW w:w="7383"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自定义审计规则与关联规则，支持网站攻击、漏洞利用、C&amp;C通信、暴力破解、拒绝服务、主机脆弱性、主机异常、恶意软件、账号异常、权限异常、侦查探测等内置关联分析规则，内置关联分析规则数量达到350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资产管理</w:t>
            </w:r>
          </w:p>
        </w:tc>
        <w:tc>
          <w:tcPr>
            <w:tcW w:w="7383"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支持对IPv4/ipv6对象的自动发现功能，对自动发现的设备可以修改、删除或转为资产。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日志告警</w:t>
            </w:r>
          </w:p>
        </w:tc>
        <w:tc>
          <w:tcPr>
            <w:tcW w:w="7383"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日志进行归一化操作后，对日志等级进行映射，根据不同日志源统计不同等级下的日志数量。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系统管理</w:t>
            </w:r>
          </w:p>
        </w:tc>
        <w:tc>
          <w:tcPr>
            <w:tcW w:w="7383"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bookmarkStart w:id="33" w:name="_Hlk38390512"/>
            <w:r>
              <w:rPr>
                <w:rFonts w:hint="eastAsia" w:ascii="宋体" w:hAnsi="宋体" w:cs="仿宋"/>
                <w:color w:val="000000"/>
                <w:kern w:val="0"/>
                <w:sz w:val="24"/>
                <w:szCs w:val="24"/>
              </w:rPr>
              <w:t>支持个性化定制，支持全系统更换logo与系统名称，支持一键恢复默认</w:t>
            </w:r>
            <w:bookmarkEnd w:id="33"/>
          </w:p>
        </w:tc>
      </w:tr>
      <w:bookmarkEnd w:id="32"/>
    </w:tbl>
    <w:p/>
    <w:p>
      <w:pPr>
        <w:pStyle w:val="5"/>
        <w:rPr>
          <w:rFonts w:ascii="宋体" w:hAnsi="宋体"/>
        </w:rPr>
      </w:pPr>
      <w:r>
        <w:rPr>
          <w:rFonts w:hint="eastAsia" w:ascii="宋体" w:hAnsi="宋体"/>
        </w:rPr>
        <w:t>（4）堡垒机</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项目</w:t>
            </w:r>
          </w:p>
        </w:tc>
        <w:tc>
          <w:tcPr>
            <w:tcW w:w="73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项目指标要求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系统部署</w:t>
            </w:r>
          </w:p>
        </w:tc>
        <w:tc>
          <w:tcPr>
            <w:tcW w:w="7376"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软硬一体化机架式设备，至少提供6个千兆电口，内存大小≥8G，硬盘容量≥2TB SATA；可管理资源数≥50个，支持licence扩容</w:t>
            </w:r>
          </w:p>
          <w:p>
            <w:pPr>
              <w:pStyle w:val="81"/>
              <w:jc w:val="left"/>
              <w:rPr>
                <w:rFonts w:ascii="宋体" w:hAnsi="宋体" w:cs="仿宋"/>
                <w:color w:val="000000"/>
                <w:kern w:val="0"/>
                <w:sz w:val="24"/>
                <w:szCs w:val="24"/>
              </w:rPr>
            </w:pPr>
            <w:r>
              <w:rPr>
                <w:rFonts w:hint="eastAsia" w:ascii="宋体" w:hAnsi="宋体" w:cs="仿宋"/>
                <w:color w:val="000000"/>
                <w:kern w:val="0"/>
                <w:sz w:val="24"/>
                <w:szCs w:val="24"/>
              </w:rPr>
              <w:t>物理旁路单臂部署，以逻辑网关方式工作；不改变现有网络结构；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支持协议</w:t>
            </w:r>
          </w:p>
        </w:tc>
        <w:tc>
          <w:tcPr>
            <w:tcW w:w="7376"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支持字符协议SSHv1、SSHv2、TELNET、图形协议RDP、VNC、和FTP、SFTP、RDP磁盘映射、RDP剪切板等文件传输协议；</w:t>
            </w:r>
          </w:p>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支持通过协议前置机进行协议扩展，至少支持扩展KVM、Vmware、数据库、http/https、CS应用等；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动作流</w:t>
            </w:r>
          </w:p>
        </w:tc>
        <w:tc>
          <w:tcPr>
            <w:tcW w:w="7376"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支持通过动作流配置提供广泛的应用接入支持，无论被接入的资源如何设计登录动作，通过动作流配置都可以实现单点登陆和审计接入（需提供产品功能截图，并加盖厂商公章）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用户管理</w:t>
            </w:r>
          </w:p>
        </w:tc>
        <w:tc>
          <w:tcPr>
            <w:tcW w:w="7376"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用户登陆认证方式支持静态口令认证、手机动态口令认证、Usbkey（数字证书）认证、AD域认证、Radius认证等认证方式；并支持各种认证方式和静态口令组合认证。</w:t>
            </w:r>
          </w:p>
          <w:p>
            <w:pPr>
              <w:pStyle w:val="81"/>
              <w:jc w:val="left"/>
              <w:rPr>
                <w:rFonts w:ascii="宋体" w:hAnsi="宋体" w:cs="仿宋"/>
                <w:color w:val="000000"/>
                <w:kern w:val="0"/>
                <w:sz w:val="24"/>
                <w:szCs w:val="24"/>
              </w:rPr>
            </w:pPr>
            <w:r>
              <w:rPr>
                <w:rFonts w:hint="eastAsia" w:ascii="宋体" w:hAnsi="宋体" w:cs="仿宋"/>
                <w:color w:val="000000"/>
                <w:kern w:val="0"/>
                <w:sz w:val="24"/>
                <w:szCs w:val="24"/>
              </w:rPr>
              <w:t>内置三员角色的同时支持角色灵活自定义，可根据用户实际的管理特性或特殊的安全管理组织架构，划分管理角色的管理范畴。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资源管理</w:t>
            </w:r>
          </w:p>
        </w:tc>
        <w:tc>
          <w:tcPr>
            <w:tcW w:w="7376"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支持unix资源、windows资源、网络设备资源、数据库资源、C/S资源、B/S资源。</w:t>
            </w:r>
          </w:p>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★支持RDP安全模式（RDP、NLA、TLS、ANY）设置，以适应RDP-Tcp属性中的所有功能配置，包括加密级别为客户端兼容、低、高、符合FIPS标准等加密级别。（需提供产品功能截图，并加盖厂商公章）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运维授权</w:t>
            </w:r>
          </w:p>
        </w:tc>
        <w:tc>
          <w:tcPr>
            <w:tcW w:w="7376"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支持一对一、一对多、多对多授权，如将单个资产授权多个用户，一个用户授予多个资产，用户组向资产组授权。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改密计划</w:t>
            </w:r>
          </w:p>
        </w:tc>
        <w:tc>
          <w:tcPr>
            <w:tcW w:w="7376"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定期变更目标设备真实口令，支持自定义口令变更周期和口令强度。口令变更方式至少支持手动指定固定口令、通过密码表生成口令、依照设备挂载的口令策略生成随机口令、依照密码策略生成同一口令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访问控制</w:t>
            </w:r>
          </w:p>
        </w:tc>
        <w:tc>
          <w:tcPr>
            <w:tcW w:w="7376"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支持命令审批规则，用户执行高危命令时需要管理员审批后才允许执行；命令审批规则可以指定运维人员、访问设备、设备账号及命令审批人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运维方式</w:t>
            </w:r>
          </w:p>
        </w:tc>
        <w:tc>
          <w:tcPr>
            <w:tcW w:w="7376"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★支持web页面直接发起运维，无需安装任何控件，并同时支持调用SecureCRT、Xshell、Putty、WinSCP、FileZilla、RDP等客户端工具实现单点登陆，不改变运维人员操作习惯（需提供产品功能截图，并加盖厂商公章）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审计日志</w:t>
            </w:r>
          </w:p>
        </w:tc>
        <w:tc>
          <w:tcPr>
            <w:tcW w:w="7376"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对字符命令方式的访问可以审计到所有交互内容，可以还原操作过程的命令输入和结果输出，并支持通过搜索操作语句或执行结果中关键字定位审计回放。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IPV6</w:t>
            </w:r>
          </w:p>
        </w:tc>
        <w:tc>
          <w:tcPr>
            <w:tcW w:w="7376"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全面支持IPV6，设备自身可以配置IPV6地址供客户端访问，并且支持目标设备配置IPV6地址实现单点登陆和审计；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客户端兼容</w:t>
            </w:r>
          </w:p>
        </w:tc>
        <w:tc>
          <w:tcPr>
            <w:tcW w:w="7376"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全面支持Windows、linux、国产麒麟系统、Android、IOS、Mac OS等客户端操作系统下的H5页面一站式运维，实现跨终端适应性BYOD（Bring Your Own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资质要求</w:t>
            </w:r>
          </w:p>
        </w:tc>
        <w:tc>
          <w:tcPr>
            <w:tcW w:w="7376" w:type="dxa"/>
            <w:tcBorders>
              <w:top w:val="single" w:color="auto" w:sz="4" w:space="0"/>
              <w:left w:val="single" w:color="auto" w:sz="4" w:space="0"/>
              <w:bottom w:val="single" w:color="auto" w:sz="4" w:space="0"/>
              <w:right w:val="single" w:color="auto" w:sz="4" w:space="0"/>
            </w:tcBorders>
          </w:tcPr>
          <w:p>
            <w:pPr>
              <w:rPr>
                <w:kern w:val="0"/>
                <w:sz w:val="24"/>
              </w:rPr>
            </w:pPr>
            <w:r>
              <w:rPr>
                <w:rFonts w:hint="eastAsia" w:ascii="宋体" w:hAnsi="宋体" w:cs="仿宋"/>
                <w:color w:val="000000"/>
                <w:kern w:val="0"/>
                <w:sz w:val="24"/>
              </w:rPr>
              <w:t>★为保障软件开发安全，保障产品本身无漏洞，所投产品的生产厂商应是国家互联网应急响应中心网络安全应急服务甲级支撑单位。（提供资质复印件并加盖厂商公章）</w:t>
            </w:r>
          </w:p>
        </w:tc>
      </w:tr>
    </w:tbl>
    <w:p/>
    <w:p>
      <w:pPr>
        <w:pStyle w:val="5"/>
        <w:rPr>
          <w:rFonts w:ascii="宋体" w:hAnsi="宋体"/>
        </w:rPr>
      </w:pPr>
      <w:r>
        <w:rPr>
          <w:rFonts w:hint="eastAsia" w:ascii="宋体" w:hAnsi="宋体"/>
        </w:rPr>
        <w:t>（5）</w:t>
      </w:r>
      <w:r>
        <w:rPr>
          <w:rFonts w:ascii="宋体" w:hAnsi="宋体"/>
        </w:rPr>
        <w:t>超融合</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7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项目</w:t>
            </w:r>
          </w:p>
        </w:tc>
        <w:tc>
          <w:tcPr>
            <w:tcW w:w="7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项目指标要求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超融合</w:t>
            </w:r>
          </w:p>
        </w:tc>
        <w:tc>
          <w:tcPr>
            <w:tcW w:w="7518" w:type="dxa"/>
            <w:tcBorders>
              <w:top w:val="single" w:color="auto" w:sz="4" w:space="0"/>
              <w:left w:val="single" w:color="auto" w:sz="4" w:space="0"/>
              <w:bottom w:val="single" w:color="auto" w:sz="4" w:space="0"/>
              <w:right w:val="single" w:color="auto" w:sz="4" w:space="0"/>
            </w:tcBorders>
          </w:tcPr>
          <w:p>
            <w:pPr>
              <w:pStyle w:val="81"/>
              <w:rPr>
                <w:rFonts w:ascii="宋体" w:hAnsi="宋体" w:cs="仿宋"/>
                <w:color w:val="000000"/>
                <w:kern w:val="0"/>
                <w:sz w:val="24"/>
                <w:szCs w:val="24"/>
              </w:rPr>
            </w:pPr>
            <w:r>
              <w:rPr>
                <w:rFonts w:hint="eastAsia" w:ascii="宋体" w:hAnsi="宋体" w:cs="仿宋"/>
                <w:color w:val="000000"/>
                <w:kern w:val="0"/>
                <w:sz w:val="24"/>
                <w:szCs w:val="24"/>
              </w:rPr>
              <w:t>根据项目需求，本次项目配置3台超融合服务器，单台配置：内存≥16*32G，主频≥2.1GHz，CPU核数≥2*24C，系统盘≥2*240G，固态硬盘≥2*1.92T SSD, 机械硬盘≥4*12T HDD，千兆电口≥4个，万兆光口≥4个，冗余电源。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计算服务器虚拟化软件</w:t>
            </w: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本次要求提供6颗CPU的服务器虚拟化授权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需定期对平台进行健康检测提前发现平台问题，避免平台故障导致业务受影响，但人工巡检效率低，需要平台支持集群环境一键健康检测提升效率，可以选择检测对象，包括系统运行状态检测（系统服务检测、配置文件检测、系统分区检测、存储空间检测）、系统配置检测（网口配置检测）、硬件健康检测（CPU检测、内存检测、网卡检测、硬盘基本功能检测）（提供带有CMA、CNAS标识的检测报告证明，至少包含报告首页，对应功能测试页和报告尾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核心业务计划部署在超融合平台，平台需定期升级保障平台稳定性，核心业务不能长时间停机，超融合平台需支持在线升级不影响业务；为保证升级时间与步骤可控，升级过程中支持对升级节点进行升级顺序编排、升级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为满足大规模管理运维的要求，在超融合管理平台界面上提供虚拟机删除、开关机、挂起、重启、关闭、关闭电源、克隆、迁移、备份、模板导出、快照、标签管理等功能，以上功能均支持批量操作。（需提供产品功能截图，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当前数据中心受到勒索病毒勒索的问题较多，或人为误操作等带来的风险较大，数据备份是解决此类问题的有效方式。所以要求平台支持虚拟机定期全量备份、增量备份，并支持静默备份方式确保数据一致性，支持按周、按天、按小时的备份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虚拟存储软件</w:t>
            </w: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本次要求提供6颗CPU的存储虚拟化授权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采用分布式的软件定义存储架构，在通用x86服务器部署，把所有服务器硬盘组织成一个虚拟存储资源池，提供分布式存储服务，无需独立的元数据及控制器节点；通过新增物理服务器可以实现存储容量和性能的横向扩展（Scale-Out架构），扩容过程保证业务零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硬件故障对平台影响较大，也会影响数据安全，为保障业务在硬件故障后尽快恢复冗余数据保障，支持数据重建优先级调整，可以查看数据重建信息，包括重建的对象名称、类型、数据量和优先级等信息，支持对不同对象的重建优先级进行调整，保证重要的业务优先恢复（提供带有CMA、CNAS标识的检测报告证明，至少包含报告首页，对应功能测试页和报告尾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由于磁盘卡慢盘可能拖累平台性能导致业务卡顿，需针对卡慢磁盘进行自动隔离并重建数据，恢复业务性能，并在界面提示告警信息及磁盘隔离原因。（需提供具有CNAS、CMA资质的第三方测试机构的证明材料，至少包含报告首页，对应功能测试页和报告尾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支持坏道扫描功能，由用户设置扫描的时间段定期对集群的硬盘进行扫描，及时发现潜藏的坏道。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支持硬件健康状态监测，包括CPU、内存、SSD、HDD、网卡、外置存储、RAID卡等健康状况，支持邮件和短信告警。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云计算管理软件</w:t>
            </w:r>
          </w:p>
        </w:tc>
        <w:tc>
          <w:tcPr>
            <w:tcW w:w="7518"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云计算管理平台，和底层资源池部分的（计算虚拟化、存储虚拟化）均为同一厂商品牌提供，并可以支持扩展同一品牌的网络和安全虚拟化（虚拟应用防火墙、虚拟应用负载均衡等）功能组件，以保障平台的扩展性和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518"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支持可靠中心以提供持续数据保护CDP、本地备份、异地容灾等高可用服务，当主平台发生故障时，能够切换到备平台，保障云平台稳定运行。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 w:val="24"/>
              </w:rPr>
            </w:pPr>
          </w:p>
        </w:tc>
        <w:tc>
          <w:tcPr>
            <w:tcW w:w="7518" w:type="dxa"/>
            <w:tcBorders>
              <w:top w:val="single" w:color="auto" w:sz="4" w:space="0"/>
              <w:left w:val="single" w:color="auto" w:sz="4" w:space="0"/>
              <w:bottom w:val="single" w:color="auto" w:sz="4" w:space="0"/>
              <w:right w:val="single" w:color="auto" w:sz="4" w:space="0"/>
            </w:tcBorders>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支持上传或利用现有云主机创建镜像，可对镜像进行管理、关联资源池等操作，可通过镜像实现一键快速创建云主机、安全组件、数据库等高级服务组件；支持将镜像分发至不同版本的资源池，当数据中心存在多个版本资源池时，无需手动多次上传。（需提供产品功能截图，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资质要求</w:t>
            </w:r>
          </w:p>
        </w:tc>
        <w:tc>
          <w:tcPr>
            <w:tcW w:w="7518" w:type="dxa"/>
            <w:tcBorders>
              <w:top w:val="single" w:color="auto" w:sz="4" w:space="0"/>
              <w:left w:val="single" w:color="auto" w:sz="4" w:space="0"/>
              <w:bottom w:val="single" w:color="auto" w:sz="4" w:space="0"/>
              <w:right w:val="single" w:color="auto" w:sz="4" w:space="0"/>
            </w:tcBorders>
            <w:vAlign w:val="center"/>
          </w:tcPr>
          <w:p>
            <w:pPr>
              <w:pStyle w:val="81"/>
              <w:jc w:val="left"/>
              <w:rPr>
                <w:rFonts w:ascii="宋体" w:hAnsi="宋体" w:cs="仿宋"/>
                <w:color w:val="000000"/>
                <w:kern w:val="0"/>
                <w:sz w:val="24"/>
                <w:szCs w:val="24"/>
              </w:rPr>
            </w:pPr>
            <w:r>
              <w:rPr>
                <w:rFonts w:hint="eastAsia" w:ascii="宋体" w:hAnsi="宋体" w:cs="仿宋"/>
                <w:color w:val="000000"/>
                <w:kern w:val="0"/>
                <w:sz w:val="24"/>
                <w:szCs w:val="24"/>
              </w:rPr>
              <w:t>★所投产品为国产品牌，要求计算服务器虚拟化软件、虚拟存储软件和云计算管理软件完全自主研发，提供相应的计算机软件著作权登记证书并加盖厂商公章。</w:t>
            </w:r>
          </w:p>
        </w:tc>
      </w:tr>
    </w:tbl>
    <w:p/>
    <w:p>
      <w:pPr>
        <w:widowControl/>
        <w:jc w:val="left"/>
        <w:textAlignment w:val="center"/>
        <w:rPr>
          <w:rStyle w:val="54"/>
          <w:rFonts w:hint="default"/>
          <w:b/>
          <w:bCs/>
          <w:color w:val="auto"/>
          <w:sz w:val="21"/>
          <w:szCs w:val="21"/>
          <w:lang w:bidi="ar"/>
        </w:rPr>
      </w:pPr>
    </w:p>
    <w:p>
      <w:pPr>
        <w:pStyle w:val="2"/>
        <w:ind w:firstLine="210"/>
      </w:pPr>
    </w:p>
    <w:p>
      <w:pPr>
        <w:numPr>
          <w:ilvl w:val="0"/>
          <w:numId w:val="5"/>
        </w:numPr>
        <w:spacing w:line="480" w:lineRule="auto"/>
        <w:ind w:left="350"/>
        <w:rPr>
          <w:rStyle w:val="67"/>
          <w:rFonts w:ascii="宋体" w:hAnsi="宋体" w:cs="宋体"/>
          <w:color w:val="000000"/>
          <w:sz w:val="24"/>
          <w:lang w:val="zh-CN"/>
        </w:rPr>
      </w:pPr>
      <w:r>
        <w:rPr>
          <w:rStyle w:val="67"/>
          <w:rFonts w:hint="eastAsia" w:ascii="宋体" w:hAnsi="宋体" w:cs="宋体"/>
          <w:color w:val="000000"/>
          <w:sz w:val="24"/>
          <w:lang w:val="zh-CN"/>
        </w:rPr>
        <w:t>服务内容及要求：</w:t>
      </w:r>
    </w:p>
    <w:p>
      <w:pPr>
        <w:spacing w:line="420" w:lineRule="exact"/>
        <w:ind w:firstLine="480" w:firstLineChars="200"/>
        <w:rPr>
          <w:rStyle w:val="67"/>
          <w:rFonts w:ascii="宋体" w:hAnsi="宋体" w:cs="宋体"/>
          <w:color w:val="000000"/>
          <w:sz w:val="24"/>
          <w:lang w:val="zh-CN"/>
        </w:rPr>
      </w:pPr>
      <w:r>
        <w:rPr>
          <w:rStyle w:val="67"/>
          <w:rFonts w:hint="eastAsia" w:ascii="宋体" w:hAnsi="宋体" w:cs="宋体"/>
          <w:color w:val="000000"/>
          <w:sz w:val="24"/>
          <w:lang w:val="zh-CN"/>
        </w:rPr>
        <w:t>2.1服务要求：提供两年免费现场及远程售后服务,在接到采购方服务请求后，1小时响应，24小时内上门解决问题；全年提供7×24小时远程服务。质保期内提供免费上门服务，质保期外的收费按相关行业规则或由双方协商收取。</w:t>
      </w:r>
    </w:p>
    <w:p>
      <w:pPr>
        <w:spacing w:line="420" w:lineRule="exact"/>
        <w:ind w:firstLine="480" w:firstLineChars="200"/>
        <w:rPr>
          <w:rStyle w:val="67"/>
          <w:rFonts w:ascii="宋体" w:hAnsi="宋体" w:cs="宋体"/>
          <w:color w:val="000000"/>
          <w:sz w:val="24"/>
          <w:lang w:val="zh-CN"/>
        </w:rPr>
      </w:pPr>
      <w:r>
        <w:rPr>
          <w:rStyle w:val="67"/>
          <w:rFonts w:hint="eastAsia" w:ascii="宋体" w:hAnsi="宋体" w:cs="宋体"/>
          <w:color w:val="000000"/>
          <w:sz w:val="24"/>
          <w:lang w:val="zh-CN"/>
        </w:rPr>
        <w:t>2.2</w:t>
      </w:r>
      <w:r>
        <w:rPr>
          <w:rStyle w:val="67"/>
          <w:rFonts w:hint="eastAsia" w:ascii="宋体" w:hAnsi="宋体" w:cs="宋体"/>
          <w:color w:val="000000"/>
          <w:sz w:val="24"/>
        </w:rPr>
        <w:t>服务</w:t>
      </w:r>
      <w:r>
        <w:rPr>
          <w:rStyle w:val="67"/>
          <w:rFonts w:hint="eastAsia" w:ascii="宋体" w:hAnsi="宋体" w:cs="宋体"/>
          <w:color w:val="000000"/>
          <w:sz w:val="24"/>
          <w:lang w:val="zh-CN"/>
        </w:rPr>
        <w:t>地点：采购人指定地点。</w:t>
      </w:r>
    </w:p>
    <w:p>
      <w:pPr>
        <w:spacing w:line="420" w:lineRule="exact"/>
        <w:ind w:firstLine="480" w:firstLineChars="200"/>
        <w:rPr>
          <w:rStyle w:val="67"/>
          <w:rFonts w:ascii="宋体" w:hAnsi="宋体" w:cs="宋体"/>
          <w:color w:val="000000"/>
          <w:sz w:val="24"/>
          <w:lang w:val="zh-CN"/>
        </w:rPr>
      </w:pPr>
      <w:r>
        <w:rPr>
          <w:rStyle w:val="67"/>
          <w:rFonts w:hint="eastAsia" w:ascii="宋体" w:hAnsi="宋体" w:cs="宋体"/>
          <w:color w:val="000000"/>
          <w:sz w:val="24"/>
          <w:lang w:val="zh-CN"/>
        </w:rPr>
        <w:t>2.3</w:t>
      </w:r>
      <w:r>
        <w:rPr>
          <w:rStyle w:val="67"/>
          <w:rFonts w:hint="eastAsia" w:ascii="宋体" w:hAnsi="宋体" w:cs="宋体"/>
          <w:color w:val="000000"/>
          <w:sz w:val="24"/>
        </w:rPr>
        <w:t>服务</w:t>
      </w:r>
      <w:r>
        <w:rPr>
          <w:rStyle w:val="67"/>
          <w:rFonts w:hint="eastAsia" w:ascii="宋体" w:hAnsi="宋体" w:cs="宋体"/>
          <w:color w:val="000000"/>
          <w:sz w:val="24"/>
          <w:lang w:val="zh-CN"/>
        </w:rPr>
        <w:t>日期：</w:t>
      </w:r>
      <w:r>
        <w:rPr>
          <w:rStyle w:val="67"/>
          <w:rFonts w:hint="eastAsia" w:ascii="宋体" w:hAnsi="宋体" w:cs="宋体"/>
          <w:color w:val="000000"/>
          <w:sz w:val="24"/>
        </w:rPr>
        <w:t>45日历天</w:t>
      </w:r>
      <w:r>
        <w:rPr>
          <w:rStyle w:val="67"/>
          <w:rFonts w:hint="eastAsia" w:ascii="宋体" w:hAnsi="宋体" w:cs="宋体"/>
          <w:color w:val="000000"/>
          <w:sz w:val="24"/>
          <w:lang w:val="zh-CN"/>
        </w:rPr>
        <w:t>。</w:t>
      </w:r>
    </w:p>
    <w:p>
      <w:pPr>
        <w:spacing w:line="420" w:lineRule="exact"/>
        <w:ind w:firstLine="480" w:firstLineChars="200"/>
        <w:rPr>
          <w:rStyle w:val="67"/>
          <w:rFonts w:ascii="宋体" w:hAnsi="宋体" w:cs="宋体"/>
          <w:color w:val="000000"/>
          <w:sz w:val="24"/>
          <w:lang w:val="zh-CN"/>
        </w:rPr>
      </w:pPr>
      <w:r>
        <w:rPr>
          <w:rStyle w:val="67"/>
          <w:rFonts w:hint="eastAsia" w:ascii="宋体" w:hAnsi="宋体" w:cs="宋体"/>
          <w:color w:val="000000"/>
          <w:sz w:val="24"/>
          <w:lang w:val="zh-CN"/>
        </w:rPr>
        <w:t>2.4验收：</w:t>
      </w:r>
      <w:r>
        <w:rPr>
          <w:rFonts w:hint="eastAsia" w:ascii="宋体" w:hAnsi="宋体" w:cs="宋体"/>
          <w:kern w:val="0"/>
          <w:sz w:val="24"/>
          <w:lang w:bidi="ar"/>
        </w:rPr>
        <w:t>按国家及现行行业的规定要求进行验收，</w:t>
      </w:r>
      <w:r>
        <w:rPr>
          <w:rStyle w:val="67"/>
          <w:rFonts w:hint="eastAsia" w:ascii="宋体" w:hAnsi="宋体" w:cs="宋体"/>
          <w:color w:val="000000"/>
          <w:sz w:val="24"/>
          <w:lang w:val="zh-CN"/>
        </w:rPr>
        <w:t>由最终用户组织验收。</w:t>
      </w:r>
    </w:p>
    <w:p>
      <w:pPr>
        <w:spacing w:line="420" w:lineRule="exact"/>
        <w:ind w:firstLine="480" w:firstLineChars="200"/>
        <w:rPr>
          <w:rStyle w:val="67"/>
          <w:rFonts w:ascii="宋体" w:hAnsi="宋体" w:cs="宋体"/>
          <w:color w:val="000000"/>
          <w:sz w:val="24"/>
          <w:lang w:val="zh-CN"/>
        </w:rPr>
      </w:pPr>
    </w:p>
    <w:p>
      <w:pPr>
        <w:pStyle w:val="2"/>
        <w:ind w:firstLine="240"/>
        <w:rPr>
          <w:rStyle w:val="67"/>
          <w:rFonts w:ascii="宋体" w:hAnsi="宋体" w:cs="宋体"/>
          <w:color w:val="000000"/>
          <w:sz w:val="24"/>
          <w:lang w:val="zh-CN"/>
        </w:rPr>
      </w:pPr>
    </w:p>
    <w:p>
      <w:pPr>
        <w:pStyle w:val="2"/>
        <w:rPr>
          <w:rStyle w:val="67"/>
          <w:rFonts w:hint="eastAsia" w:ascii="宋体" w:hAnsi="宋体" w:cs="宋体"/>
          <w:color w:val="000000"/>
          <w:sz w:val="24"/>
          <w:szCs w:val="24"/>
          <w:highlight w:val="none"/>
          <w:lang w:val="zh-CN"/>
        </w:rPr>
      </w:pPr>
    </w:p>
    <w:p>
      <w:pPr>
        <w:pStyle w:val="2"/>
        <w:rPr>
          <w:rStyle w:val="67"/>
          <w:rFonts w:hint="eastAsia" w:ascii="宋体" w:hAnsi="宋体" w:cs="宋体"/>
          <w:color w:val="000000"/>
          <w:sz w:val="24"/>
          <w:szCs w:val="24"/>
          <w:highlight w:val="none"/>
          <w:lang w:val="zh-CN"/>
        </w:rPr>
      </w:pPr>
    </w:p>
    <w:p>
      <w:pPr>
        <w:pStyle w:val="2"/>
        <w:rPr>
          <w:rStyle w:val="67"/>
          <w:rFonts w:hint="eastAsia" w:ascii="宋体" w:hAnsi="宋体" w:cs="宋体"/>
          <w:color w:val="000000"/>
          <w:sz w:val="24"/>
          <w:szCs w:val="24"/>
          <w:highlight w:val="none"/>
          <w:lang w:val="zh-CN"/>
        </w:rPr>
      </w:pPr>
    </w:p>
    <w:p>
      <w:pPr>
        <w:pStyle w:val="2"/>
        <w:rPr>
          <w:rStyle w:val="67"/>
          <w:rFonts w:hint="eastAsia" w:ascii="宋体" w:hAnsi="宋体" w:cs="宋体"/>
          <w:color w:val="000000"/>
          <w:sz w:val="24"/>
          <w:szCs w:val="24"/>
          <w:highlight w:val="none"/>
          <w:lang w:val="zh-CN"/>
        </w:rPr>
      </w:pPr>
    </w:p>
    <w:p>
      <w:pPr>
        <w:pStyle w:val="2"/>
        <w:rPr>
          <w:rStyle w:val="67"/>
          <w:rFonts w:hint="eastAsia" w:ascii="宋体" w:hAnsi="宋体" w:cs="宋体"/>
          <w:color w:val="000000"/>
          <w:sz w:val="24"/>
          <w:szCs w:val="24"/>
          <w:highlight w:val="none"/>
          <w:lang w:val="zh-CN"/>
        </w:rPr>
      </w:pPr>
    </w:p>
    <w:p>
      <w:pPr>
        <w:pStyle w:val="2"/>
        <w:rPr>
          <w:rStyle w:val="67"/>
          <w:rFonts w:hint="eastAsia" w:ascii="宋体" w:hAnsi="宋体" w:cs="宋体"/>
          <w:color w:val="000000"/>
          <w:sz w:val="24"/>
          <w:szCs w:val="24"/>
          <w:highlight w:val="none"/>
          <w:lang w:val="zh-CN"/>
        </w:rPr>
      </w:pPr>
    </w:p>
    <w:p>
      <w:pPr>
        <w:pStyle w:val="2"/>
        <w:rPr>
          <w:rStyle w:val="67"/>
          <w:rFonts w:hint="eastAsia" w:ascii="宋体" w:hAnsi="宋体" w:cs="宋体"/>
          <w:color w:val="000000"/>
          <w:sz w:val="24"/>
          <w:szCs w:val="24"/>
          <w:highlight w:val="none"/>
          <w:lang w:val="zh-CN"/>
        </w:rPr>
      </w:pPr>
    </w:p>
    <w:p>
      <w:pPr>
        <w:pStyle w:val="2"/>
        <w:rPr>
          <w:rStyle w:val="67"/>
          <w:rFonts w:hint="eastAsia" w:ascii="宋体" w:hAnsi="宋体" w:cs="宋体"/>
          <w:color w:val="000000"/>
          <w:sz w:val="24"/>
          <w:szCs w:val="24"/>
          <w:highlight w:val="none"/>
          <w:lang w:val="zh-CN"/>
        </w:rPr>
      </w:pPr>
    </w:p>
    <w:p>
      <w:pPr>
        <w:pStyle w:val="2"/>
        <w:rPr>
          <w:rStyle w:val="67"/>
          <w:rFonts w:hint="eastAsia" w:ascii="宋体" w:hAnsi="宋体" w:cs="宋体"/>
          <w:color w:val="000000"/>
          <w:sz w:val="24"/>
          <w:szCs w:val="24"/>
          <w:highlight w:val="none"/>
          <w:lang w:val="zh-CN"/>
        </w:rPr>
      </w:pPr>
    </w:p>
    <w:p>
      <w:pPr>
        <w:pStyle w:val="2"/>
        <w:rPr>
          <w:rStyle w:val="67"/>
          <w:rFonts w:hint="eastAsia" w:ascii="宋体" w:hAnsi="宋体" w:cs="宋体"/>
          <w:color w:val="000000"/>
          <w:sz w:val="24"/>
          <w:szCs w:val="24"/>
          <w:highlight w:val="none"/>
          <w:lang w:val="zh-CN"/>
        </w:rPr>
      </w:pPr>
    </w:p>
    <w:p>
      <w:pPr>
        <w:pStyle w:val="2"/>
        <w:rPr>
          <w:rStyle w:val="67"/>
          <w:rFonts w:hint="eastAsia" w:ascii="宋体" w:hAnsi="宋体" w:cs="宋体"/>
          <w:color w:val="000000"/>
          <w:sz w:val="24"/>
          <w:szCs w:val="24"/>
          <w:highlight w:val="none"/>
          <w:lang w:val="zh-CN"/>
        </w:rPr>
      </w:pPr>
    </w:p>
    <w:p>
      <w:pPr>
        <w:pStyle w:val="2"/>
        <w:rPr>
          <w:rStyle w:val="67"/>
          <w:rFonts w:hint="eastAsia" w:ascii="宋体" w:hAnsi="宋体" w:cs="宋体"/>
          <w:color w:val="000000"/>
          <w:sz w:val="24"/>
          <w:szCs w:val="24"/>
          <w:highlight w:val="none"/>
          <w:lang w:val="zh-CN"/>
        </w:rPr>
      </w:pPr>
    </w:p>
    <w:p>
      <w:pPr>
        <w:spacing w:line="420" w:lineRule="exact"/>
        <w:ind w:firstLine="480" w:firstLineChars="200"/>
        <w:rPr>
          <w:rStyle w:val="67"/>
          <w:rFonts w:hint="eastAsia" w:ascii="宋体" w:hAnsi="宋体" w:cs="宋体"/>
          <w:color w:val="000000"/>
          <w:sz w:val="24"/>
          <w:szCs w:val="24"/>
          <w:highlight w:val="none"/>
          <w:lang w:val="zh-CN"/>
        </w:rPr>
      </w:pPr>
    </w:p>
    <w:p>
      <w:pPr>
        <w:spacing w:line="420" w:lineRule="exact"/>
        <w:ind w:firstLine="480" w:firstLineChars="200"/>
        <w:rPr>
          <w:rStyle w:val="67"/>
          <w:rFonts w:hint="eastAsia" w:ascii="宋体" w:hAnsi="宋体" w:cs="宋体"/>
          <w:color w:val="000000"/>
          <w:sz w:val="24"/>
          <w:szCs w:val="24"/>
          <w:highlight w:val="none"/>
          <w:lang w:val="zh-CN"/>
        </w:rPr>
      </w:pPr>
    </w:p>
    <w:p>
      <w:pPr>
        <w:spacing w:line="480" w:lineRule="auto"/>
        <w:jc w:val="center"/>
        <w:rPr>
          <w:rFonts w:ascii="宋体" w:hAnsi="宋体" w:cs="宋体"/>
          <w:sz w:val="24"/>
          <w:highlight w:val="none"/>
        </w:rPr>
      </w:pPr>
      <w:r>
        <w:rPr>
          <w:rFonts w:hint="eastAsia" w:ascii="宋体" w:hAnsi="宋体" w:cs="宋体"/>
          <w:b/>
          <w:bCs/>
          <w:sz w:val="24"/>
          <w:highlight w:val="none"/>
        </w:rPr>
        <w:t>第四章  响应性文件内容及格式</w:t>
      </w:r>
    </w:p>
    <w:p>
      <w:pPr>
        <w:widowControl/>
        <w:spacing w:line="520" w:lineRule="exact"/>
        <w:ind w:firstLine="480" w:firstLineChars="200"/>
        <w:jc w:val="center"/>
        <w:rPr>
          <w:rFonts w:ascii="宋体" w:hAnsi="宋体" w:cs="宋体"/>
          <w:sz w:val="24"/>
          <w:highlight w:val="none"/>
        </w:rPr>
      </w:pP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重要提示：</w:t>
      </w:r>
    </w:p>
    <w:p>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1．供应商在编制响应性文件时，对于给定格式的文件内容，必须按照给定的标准格式进行填报；对于没有给定标准格式的文件内容，可以由供应商自行设计。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2.法定代表人本人参加竞争性磋商的，不需提供授权委托书。</w:t>
      </w: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pStyle w:val="28"/>
        <w:ind w:firstLine="480"/>
        <w:rPr>
          <w:rFonts w:ascii="宋体" w:hAnsi="宋体" w:eastAsia="宋体" w:cs="宋体"/>
          <w:sz w:val="24"/>
          <w:highlight w:val="none"/>
        </w:rPr>
      </w:pPr>
    </w:p>
    <w:p>
      <w:pPr>
        <w:pStyle w:val="28"/>
        <w:ind w:firstLine="480"/>
        <w:rPr>
          <w:rFonts w:ascii="宋体" w:hAnsi="宋体" w:eastAsia="宋体" w:cs="宋体"/>
          <w:sz w:val="24"/>
          <w:highlight w:val="none"/>
        </w:rPr>
      </w:pPr>
    </w:p>
    <w:p>
      <w:pPr>
        <w:pStyle w:val="28"/>
        <w:ind w:firstLine="480"/>
        <w:rPr>
          <w:rFonts w:ascii="宋体" w:hAnsi="宋体" w:eastAsia="宋体" w:cs="宋体"/>
          <w:sz w:val="24"/>
          <w:highlight w:val="none"/>
        </w:rPr>
      </w:pPr>
    </w:p>
    <w:p>
      <w:pPr>
        <w:pStyle w:val="28"/>
        <w:ind w:firstLine="480"/>
        <w:rPr>
          <w:rFonts w:ascii="宋体" w:hAnsi="宋体" w:eastAsia="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pStyle w:val="28"/>
        <w:ind w:firstLine="480"/>
        <w:rPr>
          <w:rFonts w:ascii="宋体" w:hAnsi="宋体" w:eastAsia="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pStyle w:val="28"/>
        <w:ind w:firstLine="480"/>
        <w:rPr>
          <w:rFonts w:ascii="宋体" w:hAnsi="宋体" w:eastAsia="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格式2-1</w:t>
      </w:r>
    </w:p>
    <w:p>
      <w:pPr>
        <w:widowControl/>
        <w:jc w:val="center"/>
        <w:rPr>
          <w:rFonts w:ascii="宋体" w:hAnsi="宋体" w:cs="宋体"/>
          <w:kern w:val="0"/>
          <w:sz w:val="24"/>
          <w:highlight w:val="none"/>
        </w:rPr>
      </w:pPr>
      <w:r>
        <w:rPr>
          <w:rFonts w:hint="eastAsia" w:ascii="宋体" w:hAnsi="宋体" w:cs="宋体"/>
          <w:sz w:val="24"/>
          <w:highlight w:val="none"/>
        </w:rPr>
        <w:t>企业营业执照副本及</w:t>
      </w:r>
      <w:r>
        <w:rPr>
          <w:rFonts w:hint="eastAsia" w:ascii="宋体" w:hAnsi="宋体" w:cs="宋体"/>
          <w:kern w:val="0"/>
          <w:sz w:val="24"/>
          <w:highlight w:val="none"/>
        </w:rPr>
        <w:t>资格性证明材料</w:t>
      </w:r>
    </w:p>
    <w:p>
      <w:pPr>
        <w:pStyle w:val="2"/>
        <w:ind w:firstLine="210"/>
        <w:rPr>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格式2-2</w:t>
      </w:r>
    </w:p>
    <w:p>
      <w:pPr>
        <w:spacing w:line="360" w:lineRule="auto"/>
        <w:jc w:val="center"/>
        <w:rPr>
          <w:rFonts w:ascii="宋体" w:hAnsi="宋体" w:cs="宋体"/>
          <w:sz w:val="24"/>
          <w:highlight w:val="none"/>
        </w:rPr>
      </w:pPr>
      <w:r>
        <w:rPr>
          <w:rFonts w:hint="eastAsia" w:ascii="宋体" w:hAnsi="宋体" w:cs="宋体"/>
          <w:sz w:val="24"/>
          <w:highlight w:val="none"/>
        </w:rPr>
        <w:t>法定代表人身份证明书</w:t>
      </w:r>
    </w:p>
    <w:p>
      <w:pPr>
        <w:spacing w:line="360" w:lineRule="auto"/>
        <w:jc w:val="center"/>
        <w:rPr>
          <w:rFonts w:ascii="宋体" w:hAnsi="宋体" w:cs="宋体"/>
          <w:sz w:val="24"/>
          <w:highlight w:val="none"/>
        </w:rPr>
      </w:pPr>
      <w:r>
        <w:rPr>
          <w:rFonts w:hint="eastAsia" w:ascii="宋体" w:hAnsi="宋体" w:cs="宋体"/>
          <w:sz w:val="24"/>
          <w:highlight w:val="none"/>
        </w:rPr>
        <w:t>（法定代表人参加竞争性磋商的，出具此证明书）</w:t>
      </w: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同志，系我单位法定代表人，任职务。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特此证明。</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附：联系地址：               </w:t>
      </w:r>
    </w:p>
    <w:p>
      <w:pPr>
        <w:spacing w:line="360" w:lineRule="auto"/>
        <w:ind w:firstLine="960" w:firstLineChars="400"/>
        <w:rPr>
          <w:rFonts w:ascii="宋体" w:hAnsi="宋体" w:cs="宋体"/>
          <w:b/>
          <w:sz w:val="24"/>
          <w:highlight w:val="none"/>
        </w:rPr>
      </w:pPr>
      <w:r>
        <w:rPr>
          <w:rFonts w:hint="eastAsia" w:ascii="宋体" w:hAnsi="宋体" w:cs="宋体"/>
          <w:sz w:val="24"/>
          <w:highlight w:val="none"/>
        </w:rPr>
        <w:t>联系电话：</w:t>
      </w:r>
    </w:p>
    <w:tbl>
      <w:tblPr>
        <w:tblStyle w:val="29"/>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hAnsi="宋体" w:cs="宋体"/>
                <w:b/>
                <w:bCs/>
                <w:sz w:val="24"/>
                <w:highlight w:val="none"/>
              </w:rPr>
            </w:pPr>
          </w:p>
          <w:p>
            <w:pPr>
              <w:spacing w:line="480" w:lineRule="exact"/>
              <w:rPr>
                <w:rFonts w:ascii="宋体" w:hAnsi="宋体" w:cs="宋体"/>
                <w:b/>
                <w:bCs/>
                <w:sz w:val="24"/>
                <w:highlight w:val="none"/>
              </w:rPr>
            </w:pPr>
          </w:p>
          <w:p>
            <w:pPr>
              <w:spacing w:line="480" w:lineRule="exact"/>
              <w:jc w:val="center"/>
              <w:rPr>
                <w:rFonts w:ascii="宋体" w:hAnsi="宋体" w:cs="宋体"/>
                <w:b/>
                <w:bCs/>
                <w:sz w:val="24"/>
                <w:highlight w:val="none"/>
              </w:rPr>
            </w:pPr>
            <w:r>
              <w:rPr>
                <w:rFonts w:hint="eastAsia" w:ascii="宋体" w:hAnsi="宋体" w:cs="宋体"/>
                <w:b/>
                <w:bCs/>
                <w:sz w:val="24"/>
                <w:highlight w:val="none"/>
              </w:rPr>
              <w:t>（※附：法定代表人身份证复印件※）</w:t>
            </w:r>
          </w:p>
          <w:p>
            <w:pPr>
              <w:spacing w:line="480" w:lineRule="exact"/>
              <w:rPr>
                <w:rFonts w:ascii="宋体" w:hAnsi="宋体" w:cs="宋体"/>
                <w:sz w:val="24"/>
                <w:highlight w:val="none"/>
              </w:rPr>
            </w:pPr>
          </w:p>
          <w:p>
            <w:pPr>
              <w:spacing w:line="480" w:lineRule="exact"/>
              <w:rPr>
                <w:rFonts w:ascii="宋体" w:hAnsi="宋体" w:cs="宋体"/>
                <w:sz w:val="24"/>
                <w:highlight w:val="none"/>
              </w:rPr>
            </w:pPr>
          </w:p>
        </w:tc>
      </w:tr>
    </w:tbl>
    <w:p>
      <w:pPr>
        <w:spacing w:line="360" w:lineRule="auto"/>
        <w:ind w:firstLine="960" w:firstLineChars="400"/>
        <w:rPr>
          <w:rFonts w:ascii="宋体" w:hAnsi="宋体" w:cs="宋体"/>
          <w:sz w:val="24"/>
          <w:highlight w:val="none"/>
        </w:rPr>
      </w:pPr>
    </w:p>
    <w:p>
      <w:pPr>
        <w:spacing w:line="360" w:lineRule="auto"/>
        <w:ind w:firstLine="3840" w:firstLineChars="1600"/>
        <w:rPr>
          <w:rFonts w:ascii="宋体" w:hAnsi="宋体" w:cs="宋体"/>
          <w:sz w:val="24"/>
          <w:highlight w:val="none"/>
        </w:rPr>
      </w:pPr>
    </w:p>
    <w:p>
      <w:pPr>
        <w:spacing w:line="360" w:lineRule="auto"/>
        <w:ind w:firstLine="3840" w:firstLineChars="1600"/>
        <w:rPr>
          <w:rFonts w:ascii="宋体" w:hAnsi="宋体" w:cs="宋体"/>
          <w:sz w:val="24"/>
          <w:highlight w:val="none"/>
        </w:rPr>
      </w:pPr>
    </w:p>
    <w:p>
      <w:pPr>
        <w:spacing w:line="360" w:lineRule="auto"/>
        <w:ind w:firstLine="3840" w:firstLineChars="1600"/>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格式2-3</w:t>
      </w:r>
    </w:p>
    <w:p>
      <w:pPr>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授权委托书</w:t>
      </w:r>
    </w:p>
    <w:p>
      <w:pPr>
        <w:spacing w:line="360" w:lineRule="auto"/>
        <w:jc w:val="center"/>
        <w:rPr>
          <w:rFonts w:ascii="宋体" w:hAnsi="宋体" w:cs="宋体"/>
          <w:sz w:val="24"/>
          <w:highlight w:val="none"/>
        </w:rPr>
      </w:pPr>
      <w:r>
        <w:rPr>
          <w:rFonts w:hint="eastAsia" w:ascii="宋体" w:hAnsi="宋体" w:cs="宋体"/>
          <w:sz w:val="24"/>
          <w:highlight w:val="none"/>
        </w:rPr>
        <w:t>（委托代理人参加竞争性磋商的，出具此证明书）</w:t>
      </w: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委托人授权（被委托人的姓名、职务）为委托人的委托代理人，就项目编号为的项目及合同的执行，以本单位名义处理一切与之有关的事务。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本授权书于年月日签字生效，特此声明。</w:t>
      </w:r>
    </w:p>
    <w:p>
      <w:pPr>
        <w:spacing w:line="360" w:lineRule="auto"/>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委托人：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供应商电子签章：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被委托人：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法定代表人：</w:t>
      </w:r>
    </w:p>
    <w:tbl>
      <w:tblPr>
        <w:tblStyle w:val="29"/>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宋体"/>
                <w:b/>
                <w:bCs/>
                <w:sz w:val="24"/>
                <w:highlight w:val="none"/>
              </w:rPr>
            </w:pPr>
          </w:p>
          <w:p>
            <w:pPr>
              <w:spacing w:line="480" w:lineRule="exact"/>
              <w:rPr>
                <w:rFonts w:ascii="宋体" w:hAnsi="宋体" w:cs="宋体"/>
                <w:b/>
                <w:bCs/>
                <w:sz w:val="24"/>
                <w:highlight w:val="none"/>
              </w:rPr>
            </w:pPr>
          </w:p>
          <w:p>
            <w:pPr>
              <w:spacing w:line="480" w:lineRule="exact"/>
              <w:jc w:val="center"/>
              <w:rPr>
                <w:rFonts w:ascii="宋体" w:hAnsi="宋体" w:cs="宋体"/>
                <w:sz w:val="24"/>
                <w:highlight w:val="none"/>
              </w:rPr>
            </w:pPr>
            <w:r>
              <w:rPr>
                <w:rFonts w:hint="eastAsia" w:ascii="宋体" w:hAnsi="宋体" w:cs="宋体"/>
                <w:b/>
                <w:bCs/>
                <w:sz w:val="24"/>
                <w:highlight w:val="none"/>
              </w:rPr>
              <w:t>（※附：被委托人身份证复印件※）</w:t>
            </w:r>
          </w:p>
        </w:tc>
      </w:tr>
    </w:tbl>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spacing w:line="360" w:lineRule="auto"/>
        <w:ind w:firstLine="4920" w:firstLineChars="2050"/>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center"/>
        <w:rPr>
          <w:rFonts w:ascii="宋体" w:hAnsi="宋体" w:cs="宋体"/>
          <w:sz w:val="24"/>
          <w:highlight w:val="none"/>
        </w:rPr>
      </w:pPr>
      <w:r>
        <w:rPr>
          <w:rFonts w:hint="eastAsia" w:ascii="宋体" w:hAnsi="宋体" w:cs="宋体"/>
          <w:sz w:val="24"/>
          <w:highlight w:val="non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pStyle w:val="2"/>
        <w:ind w:firstLine="210"/>
        <w:rPr>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格式2-</w:t>
      </w:r>
      <w:r>
        <w:rPr>
          <w:rFonts w:hint="eastAsia" w:ascii="宋体" w:hAnsi="宋体" w:cs="宋体"/>
          <w:sz w:val="24"/>
          <w:highlight w:val="none"/>
          <w:lang w:val="en-US" w:eastAsia="zh-CN"/>
        </w:rPr>
        <w:t>4</w:t>
      </w:r>
      <w:r>
        <w:rPr>
          <w:rFonts w:hint="eastAsia" w:ascii="宋体" w:hAnsi="宋体" w:cs="宋体"/>
          <w:sz w:val="24"/>
          <w:highlight w:val="none"/>
        </w:rPr>
        <w:t>政府采购法第二十二条及参加政府采购活动前三年内无重大违法记录的书面声明</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格式3</w:t>
      </w:r>
    </w:p>
    <w:p>
      <w:pPr>
        <w:spacing w:line="560" w:lineRule="exact"/>
        <w:jc w:val="center"/>
        <w:rPr>
          <w:rFonts w:ascii="宋体" w:hAnsi="宋体" w:cs="宋体"/>
          <w:sz w:val="24"/>
          <w:highlight w:val="none"/>
        </w:rPr>
      </w:pPr>
      <w:r>
        <w:rPr>
          <w:rFonts w:hint="eastAsia" w:ascii="宋体" w:hAnsi="宋体" w:cs="宋体"/>
          <w:sz w:val="24"/>
          <w:highlight w:val="none"/>
        </w:rPr>
        <w:t>投标函</w:t>
      </w:r>
    </w:p>
    <w:p>
      <w:pPr>
        <w:pStyle w:val="26"/>
        <w:shd w:val="clear" w:color="auto" w:fill="FFFFFF"/>
        <w:adjustRightInd w:val="0"/>
        <w:snapToGrid w:val="0"/>
        <w:spacing w:before="0" w:beforeAutospacing="0" w:after="0" w:afterAutospacing="0" w:line="360" w:lineRule="auto"/>
        <w:rPr>
          <w:rFonts w:cs="宋体"/>
          <w:highlight w:val="none"/>
        </w:rPr>
      </w:pPr>
      <w:r>
        <w:rPr>
          <w:rFonts w:hint="eastAsia" w:cs="宋体"/>
          <w:szCs w:val="24"/>
          <w:highlight w:val="none"/>
        </w:rPr>
        <w:t>致：</w:t>
      </w:r>
      <w:r>
        <w:rPr>
          <w:rFonts w:hint="eastAsia" w:cs="宋体"/>
          <w:kern w:val="2"/>
          <w:highlight w:val="none"/>
        </w:rPr>
        <w:t>（采购人或采购代理机构）</w:t>
      </w:r>
    </w:p>
    <w:p>
      <w:pPr>
        <w:pStyle w:val="56"/>
        <w:ind w:firstLine="600" w:firstLineChars="250"/>
        <w:rPr>
          <w:rFonts w:ascii="宋体" w:hAnsi="宋体"/>
          <w:sz w:val="24"/>
          <w:szCs w:val="24"/>
          <w:highlight w:val="none"/>
        </w:rPr>
      </w:pPr>
      <w:r>
        <w:rPr>
          <w:rFonts w:hint="eastAsia" w:ascii="宋体" w:hAnsi="宋体"/>
          <w:sz w:val="24"/>
          <w:szCs w:val="24"/>
          <w:highlight w:val="none"/>
        </w:rPr>
        <w:t>根据贵方</w:t>
      </w:r>
      <w:r>
        <w:rPr>
          <w:rFonts w:hint="eastAsia" w:ascii="宋体" w:hAnsi="宋体"/>
          <w:sz w:val="24"/>
          <w:szCs w:val="24"/>
          <w:highlight w:val="none"/>
          <w:u w:val="single"/>
        </w:rPr>
        <w:t>（本项目名称）</w:t>
      </w:r>
      <w:r>
        <w:rPr>
          <w:rFonts w:hint="eastAsia" w:ascii="宋体" w:hAnsi="宋体"/>
          <w:sz w:val="24"/>
          <w:szCs w:val="24"/>
          <w:highlight w:val="none"/>
        </w:rPr>
        <w:t>项目的竞争性磋商邀请（项目编号</w:t>
      </w:r>
      <w:r>
        <w:rPr>
          <w:rFonts w:hint="eastAsia" w:ascii="宋体" w:hAnsi="宋体"/>
          <w:sz w:val="24"/>
          <w:szCs w:val="24"/>
          <w:highlight w:val="none"/>
          <w:u w:val="single"/>
        </w:rPr>
        <w:t xml:space="preserve">：          </w:t>
      </w:r>
      <w:r>
        <w:rPr>
          <w:rFonts w:hint="eastAsia" w:ascii="宋体" w:hAnsi="宋体"/>
          <w:sz w:val="24"/>
          <w:szCs w:val="24"/>
          <w:highlight w:val="none"/>
        </w:rPr>
        <w:t>），委托代理人 (全名、职务)代表 供应商名称、地址)提交投标文件，报价为</w:t>
      </w:r>
      <w:r>
        <w:rPr>
          <w:rFonts w:hint="eastAsia" w:ascii="宋体" w:hAnsi="宋体"/>
          <w:sz w:val="24"/>
          <w:szCs w:val="24"/>
          <w:highlight w:val="none"/>
          <w:u w:val="single"/>
        </w:rPr>
        <w:t>：    元，</w:t>
      </w:r>
      <w:r>
        <w:rPr>
          <w:rFonts w:hint="eastAsia" w:ascii="宋体" w:hAnsi="宋体"/>
          <w:sz w:val="24"/>
          <w:szCs w:val="24"/>
          <w:highlight w:val="none"/>
        </w:rPr>
        <w:t>并对之负法律责任。</w:t>
      </w:r>
    </w:p>
    <w:p>
      <w:pPr>
        <w:ind w:firstLine="568" w:firstLineChars="237"/>
        <w:rPr>
          <w:rFonts w:ascii="宋体" w:hAnsi="宋体" w:cs="宋体"/>
          <w:sz w:val="24"/>
          <w:highlight w:val="none"/>
        </w:rPr>
      </w:pPr>
      <w:r>
        <w:rPr>
          <w:rFonts w:hint="eastAsia" w:ascii="宋体" w:hAnsi="宋体" w:cs="宋体"/>
          <w:sz w:val="24"/>
          <w:highlight w:val="none"/>
        </w:rPr>
        <w:t>据此函，宣布同意如下：</w:t>
      </w:r>
    </w:p>
    <w:p>
      <w:pPr>
        <w:ind w:firstLine="480" w:firstLineChars="200"/>
        <w:rPr>
          <w:rFonts w:ascii="宋体" w:hAnsi="宋体" w:cs="宋体"/>
          <w:sz w:val="24"/>
          <w:highlight w:val="none"/>
        </w:rPr>
      </w:pPr>
      <w:r>
        <w:rPr>
          <w:rFonts w:hint="eastAsia" w:ascii="宋体" w:hAnsi="宋体" w:cs="宋体"/>
          <w:sz w:val="24"/>
          <w:highlight w:val="none"/>
        </w:rPr>
        <w:t>(1)我们完全理解贵方不一定要接受最低报价，并同意本文件规定的响应性文件有效期。</w:t>
      </w:r>
    </w:p>
    <w:p>
      <w:pPr>
        <w:ind w:firstLine="480" w:firstLineChars="200"/>
        <w:rPr>
          <w:rFonts w:ascii="宋体" w:hAnsi="宋体" w:cs="宋体"/>
          <w:sz w:val="24"/>
          <w:highlight w:val="none"/>
        </w:rPr>
      </w:pPr>
      <w:r>
        <w:rPr>
          <w:rFonts w:hint="eastAsia" w:ascii="宋体" w:hAnsi="宋体" w:cs="宋体"/>
          <w:sz w:val="24"/>
          <w:highlight w:val="none"/>
        </w:rPr>
        <w:t>(2)我们已详细审核全部竞争性磋商文件，我们知道必须放弃提出含糊不清或误解的问题的权利。</w:t>
      </w:r>
    </w:p>
    <w:p>
      <w:pPr>
        <w:numPr>
          <w:ilvl w:val="0"/>
          <w:numId w:val="6"/>
        </w:numPr>
        <w:ind w:firstLine="480" w:firstLineChars="200"/>
        <w:rPr>
          <w:rFonts w:ascii="宋体" w:hAnsi="宋体" w:cs="宋体"/>
          <w:sz w:val="24"/>
          <w:highlight w:val="none"/>
        </w:rPr>
      </w:pPr>
      <w:r>
        <w:rPr>
          <w:rFonts w:hint="eastAsia" w:ascii="宋体" w:hAnsi="宋体" w:cs="宋体"/>
          <w:sz w:val="24"/>
          <w:highlight w:val="none"/>
        </w:rPr>
        <w:t>同意向贵方提供贵方可能另外要求的与其竞争性磋商有关的任何证据和资料。</w:t>
      </w:r>
    </w:p>
    <w:p>
      <w:pPr>
        <w:ind w:firstLine="480" w:firstLineChars="200"/>
        <w:rPr>
          <w:rFonts w:ascii="宋体" w:hAnsi="宋体" w:cs="宋体"/>
          <w:sz w:val="24"/>
          <w:highlight w:val="none"/>
        </w:rPr>
      </w:pPr>
      <w:r>
        <w:rPr>
          <w:rFonts w:hint="eastAsia" w:ascii="宋体" w:hAnsi="宋体" w:cs="宋体"/>
          <w:sz w:val="24"/>
          <w:highlight w:val="none"/>
        </w:rPr>
        <w:t>(4)一旦我们成交，我们将严格履行合同责任和义务。</w:t>
      </w:r>
    </w:p>
    <w:p>
      <w:pPr>
        <w:ind w:firstLine="480" w:firstLineChars="200"/>
        <w:rPr>
          <w:rFonts w:ascii="宋体" w:hAnsi="宋体" w:cs="宋体"/>
          <w:sz w:val="24"/>
          <w:highlight w:val="none"/>
        </w:rPr>
      </w:pPr>
      <w:r>
        <w:rPr>
          <w:rFonts w:hint="eastAsia" w:ascii="宋体" w:hAnsi="宋体" w:cs="宋体"/>
          <w:sz w:val="24"/>
          <w:highlight w:val="none"/>
        </w:rPr>
        <w:t>(5)我们完全理解不向未成交人解释未成交理由的义务。</w:t>
      </w:r>
    </w:p>
    <w:p>
      <w:pPr>
        <w:ind w:firstLine="480" w:firstLineChars="200"/>
        <w:rPr>
          <w:rFonts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如果我们的谈判响应文件被接受，我们将履行谈判文件中规定的每一项要求，按期、按质、按量履行合同。</w:t>
      </w:r>
    </w:p>
    <w:p>
      <w:pPr>
        <w:ind w:firstLine="480" w:firstLineChars="200"/>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lang w:val="zh-CN"/>
        </w:rPr>
        <w:t>我方愿按《中华人民共和国民法典》履行我方的全部责任。</w:t>
      </w:r>
    </w:p>
    <w:p>
      <w:pPr>
        <w:ind w:firstLine="480" w:firstLineChars="200"/>
        <w:rPr>
          <w:rFonts w:ascii="宋体" w:hAnsi="宋体" w:cs="宋体"/>
          <w:sz w:val="24"/>
          <w:highlight w:val="none"/>
        </w:rPr>
      </w:pPr>
      <w:r>
        <w:rPr>
          <w:rFonts w:hint="eastAsia" w:ascii="宋体" w:hAnsi="宋体" w:cs="宋体"/>
          <w:sz w:val="24"/>
          <w:highlight w:val="none"/>
        </w:rPr>
        <w:t>(8)与本次竞争性磋商有关的正式通讯地址为：</w:t>
      </w:r>
    </w:p>
    <w:p>
      <w:pPr>
        <w:ind w:firstLine="480" w:firstLineChars="200"/>
        <w:rPr>
          <w:rFonts w:ascii="宋体" w:hAnsi="宋体" w:cs="宋体"/>
          <w:sz w:val="24"/>
          <w:highlight w:val="none"/>
        </w:rPr>
      </w:pPr>
      <w:r>
        <w:rPr>
          <w:rFonts w:hint="eastAsia" w:ascii="宋体" w:hAnsi="宋体" w:cs="宋体"/>
          <w:sz w:val="24"/>
          <w:highlight w:val="none"/>
        </w:rPr>
        <w:t>地 址：                  邮 编：</w:t>
      </w:r>
    </w:p>
    <w:p>
      <w:pPr>
        <w:ind w:firstLine="480" w:firstLineChars="200"/>
        <w:rPr>
          <w:rFonts w:ascii="宋体" w:hAnsi="宋体" w:cs="宋体"/>
          <w:sz w:val="24"/>
          <w:highlight w:val="none"/>
        </w:rPr>
      </w:pPr>
      <w:r>
        <w:rPr>
          <w:rFonts w:hint="eastAsia" w:ascii="宋体" w:hAnsi="宋体" w:cs="宋体"/>
          <w:sz w:val="24"/>
          <w:highlight w:val="none"/>
        </w:rPr>
        <w:t>电 话：                  电子信箱：</w:t>
      </w:r>
    </w:p>
    <w:p>
      <w:pPr>
        <w:ind w:firstLine="480" w:firstLineChars="200"/>
        <w:jc w:val="left"/>
        <w:rPr>
          <w:rFonts w:ascii="宋体" w:hAnsi="宋体" w:cs="宋体"/>
          <w:sz w:val="24"/>
          <w:highlight w:val="none"/>
        </w:rPr>
      </w:pPr>
      <w:r>
        <w:rPr>
          <w:rFonts w:hint="eastAsia" w:ascii="宋体" w:hAnsi="宋体" w:cs="宋体"/>
          <w:sz w:val="24"/>
          <w:highlight w:val="none"/>
        </w:rPr>
        <w:t>我们保证：</w:t>
      </w:r>
    </w:p>
    <w:p>
      <w:pPr>
        <w:ind w:firstLine="480" w:firstLineChars="200"/>
        <w:jc w:val="left"/>
        <w:rPr>
          <w:rFonts w:ascii="宋体" w:hAnsi="宋体" w:cs="宋体"/>
          <w:sz w:val="24"/>
          <w:highlight w:val="none"/>
        </w:rPr>
      </w:pPr>
      <w:r>
        <w:rPr>
          <w:rFonts w:hint="eastAsia" w:ascii="宋体" w:hAnsi="宋体" w:cs="宋体"/>
          <w:sz w:val="24"/>
          <w:highlight w:val="none"/>
        </w:rPr>
        <w:t>(1)不提供虚假材料谋取成交；</w:t>
      </w:r>
    </w:p>
    <w:p>
      <w:pPr>
        <w:ind w:firstLine="480" w:firstLineChars="200"/>
        <w:jc w:val="left"/>
        <w:rPr>
          <w:rFonts w:ascii="宋体" w:hAnsi="宋体" w:cs="宋体"/>
          <w:sz w:val="24"/>
          <w:highlight w:val="none"/>
        </w:rPr>
      </w:pPr>
      <w:r>
        <w:rPr>
          <w:rFonts w:hint="eastAsia" w:ascii="宋体" w:hAnsi="宋体" w:cs="宋体"/>
          <w:sz w:val="24"/>
          <w:highlight w:val="none"/>
        </w:rPr>
        <w:t>(2)不以不正当手段抵毁、排挤其他供应商；</w:t>
      </w:r>
    </w:p>
    <w:p>
      <w:pPr>
        <w:ind w:firstLine="480" w:firstLineChars="200"/>
        <w:jc w:val="left"/>
        <w:rPr>
          <w:rFonts w:ascii="宋体" w:hAnsi="宋体" w:cs="宋体"/>
          <w:sz w:val="24"/>
          <w:highlight w:val="none"/>
        </w:rPr>
      </w:pPr>
      <w:r>
        <w:rPr>
          <w:rFonts w:hint="eastAsia" w:ascii="宋体" w:hAnsi="宋体" w:cs="宋体"/>
          <w:sz w:val="24"/>
          <w:highlight w:val="none"/>
        </w:rPr>
        <w:t>(3)不与采购人和其它供应商恶意串通；</w:t>
      </w:r>
    </w:p>
    <w:p>
      <w:pPr>
        <w:ind w:firstLine="480" w:firstLineChars="200"/>
        <w:jc w:val="left"/>
        <w:rPr>
          <w:rFonts w:ascii="宋体" w:hAnsi="宋体" w:cs="宋体"/>
          <w:sz w:val="24"/>
          <w:highlight w:val="none"/>
        </w:rPr>
      </w:pPr>
      <w:r>
        <w:rPr>
          <w:rFonts w:hint="eastAsia" w:ascii="宋体" w:hAnsi="宋体" w:cs="宋体"/>
          <w:sz w:val="24"/>
          <w:highlight w:val="none"/>
        </w:rPr>
        <w:t>(4)不向采购人和采购代理机构提供不正当利益；</w:t>
      </w:r>
    </w:p>
    <w:p>
      <w:pPr>
        <w:ind w:firstLine="480" w:firstLineChars="200"/>
        <w:jc w:val="left"/>
        <w:rPr>
          <w:rFonts w:ascii="宋体" w:hAnsi="宋体" w:cs="宋体"/>
          <w:sz w:val="24"/>
          <w:highlight w:val="none"/>
        </w:rPr>
      </w:pPr>
      <w:r>
        <w:rPr>
          <w:rFonts w:hint="eastAsia" w:ascii="宋体" w:hAnsi="宋体" w:cs="宋体"/>
          <w:sz w:val="24"/>
          <w:highlight w:val="none"/>
        </w:rPr>
        <w:t>(5)不拒绝有关部门监督检查或提供虚假情况。</w:t>
      </w:r>
    </w:p>
    <w:p>
      <w:pPr>
        <w:spacing w:line="560" w:lineRule="exact"/>
        <w:jc w:val="left"/>
        <w:rPr>
          <w:rFonts w:ascii="宋体" w:hAnsi="宋体" w:cs="宋体"/>
          <w:sz w:val="24"/>
          <w:highlight w:val="none"/>
        </w:rPr>
      </w:pPr>
    </w:p>
    <w:p>
      <w:pPr>
        <w:spacing w:line="560" w:lineRule="exact"/>
        <w:jc w:val="left"/>
        <w:rPr>
          <w:rFonts w:ascii="宋体" w:hAnsi="宋体" w:cs="宋体"/>
          <w:sz w:val="24"/>
          <w:highlight w:val="none"/>
        </w:rPr>
      </w:pPr>
      <w:r>
        <w:rPr>
          <w:rFonts w:hint="eastAsia" w:ascii="宋体" w:hAnsi="宋体" w:cs="宋体"/>
          <w:sz w:val="24"/>
          <w:highlight w:val="none"/>
        </w:rPr>
        <w:t xml:space="preserve">     联系人：              联系电话：</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spacing w:line="360" w:lineRule="auto"/>
        <w:jc w:val="lef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格式4</w:t>
      </w:r>
    </w:p>
    <w:p>
      <w:pPr>
        <w:pStyle w:val="6"/>
        <w:jc w:val="center"/>
        <w:rPr>
          <w:rFonts w:ascii="宋体" w:hAnsi="宋体" w:cs="宋体"/>
          <w:b w:val="0"/>
          <w:sz w:val="24"/>
          <w:szCs w:val="24"/>
          <w:highlight w:val="none"/>
        </w:rPr>
      </w:pPr>
      <w:bookmarkStart w:id="34" w:name="_Toc197934561"/>
      <w:bookmarkStart w:id="35" w:name="_Toc495414231"/>
      <w:r>
        <w:rPr>
          <w:rFonts w:hint="eastAsia" w:ascii="宋体" w:hAnsi="宋体" w:cs="宋体"/>
          <w:b w:val="0"/>
          <w:sz w:val="24"/>
          <w:szCs w:val="24"/>
          <w:highlight w:val="none"/>
        </w:rPr>
        <w:t>一．报价一览表</w:t>
      </w:r>
      <w:bookmarkEnd w:id="34"/>
      <w:bookmarkEnd w:id="35"/>
    </w:p>
    <w:tbl>
      <w:tblPr>
        <w:tblStyle w:val="2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highlight w:val="none"/>
              </w:rPr>
            </w:pPr>
            <w:r>
              <w:rPr>
                <w:rFonts w:hint="eastAsia" w:ascii="宋体" w:hAnsi="宋体" w:cs="宋体"/>
                <w:sz w:val="24"/>
                <w:highlight w:val="none"/>
              </w:rPr>
              <w:t>投标人全称</w:t>
            </w:r>
          </w:p>
        </w:tc>
        <w:tc>
          <w:tcPr>
            <w:tcW w:w="6667" w:type="dxa"/>
            <w:tcBorders>
              <w:top w:val="nil"/>
            </w:tcBorders>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highlight w:val="none"/>
              </w:rPr>
            </w:pPr>
            <w:r>
              <w:rPr>
                <w:rFonts w:hint="eastAsia" w:ascii="宋体" w:hAnsi="宋体" w:cs="宋体"/>
                <w:sz w:val="24"/>
                <w:highlight w:val="none"/>
              </w:rPr>
              <w:t>最终投标报价（包：）</w:t>
            </w:r>
          </w:p>
          <w:p>
            <w:pPr>
              <w:spacing w:line="360" w:lineRule="exact"/>
              <w:jc w:val="center"/>
              <w:rPr>
                <w:rFonts w:ascii="宋体" w:hAnsi="宋体" w:cs="宋体"/>
                <w:sz w:val="24"/>
                <w:highlight w:val="none"/>
              </w:rPr>
            </w:pPr>
            <w:r>
              <w:rPr>
                <w:rFonts w:hint="eastAsia" w:ascii="宋体" w:hAnsi="宋体" w:cs="宋体"/>
                <w:sz w:val="24"/>
                <w:highlight w:val="none"/>
              </w:rPr>
              <w:t>（人民币）</w:t>
            </w:r>
          </w:p>
        </w:tc>
        <w:tc>
          <w:tcPr>
            <w:tcW w:w="6667" w:type="dxa"/>
            <w:tcBorders>
              <w:top w:val="nil"/>
            </w:tcBorders>
            <w:vAlign w:val="center"/>
          </w:tcPr>
          <w:p>
            <w:pPr>
              <w:spacing w:line="360" w:lineRule="auto"/>
              <w:ind w:right="-670"/>
              <w:rPr>
                <w:rFonts w:ascii="宋体" w:hAnsi="宋体" w:cs="宋体"/>
                <w:sz w:val="24"/>
                <w:highlight w:val="none"/>
              </w:rPr>
            </w:pPr>
            <w:r>
              <w:rPr>
                <w:rFonts w:hint="eastAsia" w:ascii="宋体" w:hAnsi="宋体" w:cs="宋体"/>
                <w:sz w:val="24"/>
                <w:highlight w:val="none"/>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备注</w:t>
            </w:r>
          </w:p>
        </w:tc>
        <w:tc>
          <w:tcPr>
            <w:tcW w:w="6667" w:type="dxa"/>
            <w:tcBorders>
              <w:top w:val="nil"/>
            </w:tcBorders>
            <w:vAlign w:val="center"/>
          </w:tcPr>
          <w:p>
            <w:pPr>
              <w:spacing w:line="360" w:lineRule="auto"/>
              <w:jc w:val="left"/>
              <w:rPr>
                <w:rFonts w:ascii="宋体" w:hAnsi="宋体" w:cs="宋体"/>
                <w:sz w:val="24"/>
                <w:highlight w:val="none"/>
              </w:rPr>
            </w:pPr>
          </w:p>
        </w:tc>
      </w:tr>
    </w:tbl>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rPr>
          <w:rFonts w:ascii="宋体" w:hAnsi="宋体" w:cs="宋体"/>
          <w:sz w:val="24"/>
          <w:highlight w:val="none"/>
        </w:rPr>
      </w:pPr>
      <w:r>
        <w:rPr>
          <w:rFonts w:hint="eastAsia" w:ascii="宋体" w:hAnsi="宋体" w:cs="宋体"/>
          <w:sz w:val="24"/>
          <w:highlight w:val="none"/>
        </w:rPr>
        <w:t>备注：</w:t>
      </w:r>
    </w:p>
    <w:p>
      <w:pPr>
        <w:spacing w:line="360" w:lineRule="auto"/>
        <w:rPr>
          <w:rFonts w:ascii="宋体" w:hAnsi="宋体" w:cs="宋体"/>
          <w:sz w:val="24"/>
          <w:highlight w:val="none"/>
        </w:rPr>
      </w:pPr>
      <w:r>
        <w:rPr>
          <w:rFonts w:hint="eastAsia" w:ascii="宋体" w:hAnsi="宋体" w:cs="宋体"/>
          <w:sz w:val="24"/>
          <w:highlight w:val="none"/>
        </w:rPr>
        <w:t>1、此表用于开标会唱标之用。</w:t>
      </w:r>
    </w:p>
    <w:p>
      <w:pPr>
        <w:spacing w:line="360" w:lineRule="auto"/>
        <w:rPr>
          <w:rFonts w:ascii="宋体" w:hAnsi="宋体" w:cs="宋体"/>
          <w:sz w:val="24"/>
          <w:highlight w:val="none"/>
        </w:rPr>
      </w:pPr>
      <w:r>
        <w:rPr>
          <w:rFonts w:hint="eastAsia" w:ascii="宋体" w:hAnsi="宋体" w:cs="宋体"/>
          <w:sz w:val="24"/>
          <w:highlight w:val="none"/>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cs="宋体"/>
          <w:sz w:val="24"/>
          <w:highlight w:val="none"/>
        </w:rPr>
      </w:pPr>
      <w:bookmarkStart w:id="36" w:name="_Toc220232409"/>
      <w:bookmarkStart w:id="37" w:name="_Toc495414234"/>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pStyle w:val="2"/>
        <w:ind w:firstLine="240"/>
        <w:rPr>
          <w:rFonts w:ascii="宋体" w:hAnsi="宋体" w:cs="宋体"/>
          <w:sz w:val="24"/>
          <w:highlight w:val="none"/>
        </w:rPr>
      </w:pP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格式5</w:t>
      </w:r>
    </w:p>
    <w:p>
      <w:pPr>
        <w:pStyle w:val="6"/>
        <w:jc w:val="center"/>
        <w:rPr>
          <w:rFonts w:ascii="宋体" w:hAnsi="宋体" w:cs="宋体"/>
          <w:b w:val="0"/>
          <w:sz w:val="24"/>
          <w:szCs w:val="24"/>
          <w:highlight w:val="none"/>
        </w:rPr>
      </w:pPr>
      <w:r>
        <w:rPr>
          <w:rFonts w:hint="eastAsia" w:ascii="宋体" w:hAnsi="宋体" w:cs="宋体"/>
          <w:b w:val="0"/>
          <w:sz w:val="24"/>
          <w:szCs w:val="24"/>
          <w:highlight w:val="none"/>
        </w:rPr>
        <w:t>投标分项报价表</w:t>
      </w:r>
      <w:bookmarkEnd w:id="36"/>
      <w:bookmarkEnd w:id="37"/>
    </w:p>
    <w:tbl>
      <w:tblPr>
        <w:tblStyle w:val="2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pPr>
              <w:pStyle w:val="60"/>
              <w:widowControl w:val="0"/>
              <w:spacing w:before="0" w:beforeAutospacing="0" w:after="0" w:afterAutospacing="0" w:line="340" w:lineRule="exact"/>
              <w:rPr>
                <w:rFonts w:cs="宋体"/>
                <w:b w:val="0"/>
                <w:bCs w:val="0"/>
                <w:kern w:val="2"/>
                <w:sz w:val="24"/>
                <w:szCs w:val="24"/>
                <w:highlight w:val="none"/>
              </w:rPr>
            </w:pPr>
            <w:r>
              <w:rPr>
                <w:rFonts w:hint="eastAsia" w:cs="宋体"/>
                <w:b w:val="0"/>
                <w:bCs w:val="0"/>
                <w:kern w:val="2"/>
                <w:sz w:val="24"/>
                <w:szCs w:val="24"/>
                <w:highlight w:val="none"/>
              </w:rPr>
              <w:t>序号</w:t>
            </w:r>
          </w:p>
        </w:tc>
        <w:tc>
          <w:tcPr>
            <w:tcW w:w="2205"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服务项目名称</w:t>
            </w:r>
          </w:p>
        </w:tc>
        <w:tc>
          <w:tcPr>
            <w:tcW w:w="957"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单位</w:t>
            </w:r>
          </w:p>
        </w:tc>
        <w:tc>
          <w:tcPr>
            <w:tcW w:w="840"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数量</w:t>
            </w:r>
          </w:p>
        </w:tc>
        <w:tc>
          <w:tcPr>
            <w:tcW w:w="1260"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单价</w:t>
            </w:r>
          </w:p>
        </w:tc>
        <w:tc>
          <w:tcPr>
            <w:tcW w:w="1340" w:type="dxa"/>
            <w:vAlign w:val="center"/>
          </w:tcPr>
          <w:p>
            <w:pPr>
              <w:spacing w:line="340" w:lineRule="exact"/>
              <w:jc w:val="center"/>
              <w:rPr>
                <w:rFonts w:ascii="宋体" w:hAnsi="宋体" w:cs="宋体"/>
                <w:sz w:val="24"/>
                <w:highlight w:val="none"/>
              </w:rPr>
            </w:pPr>
            <w:r>
              <w:rPr>
                <w:rFonts w:hint="eastAsia" w:ascii="宋体" w:hAnsi="宋体" w:cs="宋体"/>
                <w:bCs/>
                <w:sz w:val="24"/>
                <w:highlight w:val="none"/>
              </w:rPr>
              <w:t>小计</w:t>
            </w:r>
          </w:p>
        </w:tc>
        <w:tc>
          <w:tcPr>
            <w:tcW w:w="1347"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pPr>
              <w:spacing w:line="340" w:lineRule="exact"/>
              <w:jc w:val="center"/>
              <w:rPr>
                <w:rFonts w:ascii="宋体" w:hAnsi="宋体" w:cs="宋体"/>
                <w:sz w:val="24"/>
                <w:highlight w:val="none"/>
              </w:rPr>
            </w:pPr>
            <w:r>
              <w:rPr>
                <w:rFonts w:hint="eastAsia" w:ascii="宋体" w:hAnsi="宋体" w:cs="宋体"/>
                <w:sz w:val="24"/>
                <w:highlight w:val="none"/>
              </w:rPr>
              <w:t>1</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2</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3</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4</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5</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6</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7</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8</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9</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10</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11</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12</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13</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vAlign w:val="center"/>
          </w:tcPr>
          <w:p>
            <w:pPr>
              <w:pStyle w:val="61"/>
              <w:spacing w:line="340" w:lineRule="exact"/>
              <w:rPr>
                <w:rFonts w:ascii="宋体" w:hAnsi="宋体" w:cs="宋体"/>
                <w:szCs w:val="24"/>
                <w:highlight w:val="none"/>
              </w:rPr>
            </w:pPr>
            <w:r>
              <w:rPr>
                <w:rFonts w:hint="eastAsia" w:ascii="宋体" w:hAnsi="宋体" w:cs="宋体"/>
                <w:szCs w:val="24"/>
                <w:highlight w:val="none"/>
              </w:rPr>
              <w:t>其他费用</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tcPr>
          <w:p>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tcPr>
          <w:p>
            <w:pPr>
              <w:pStyle w:val="61"/>
              <w:spacing w:line="340" w:lineRule="exact"/>
              <w:rPr>
                <w:rFonts w:ascii="宋体" w:hAnsi="宋体" w:cs="宋体"/>
                <w:szCs w:val="24"/>
                <w:highlight w:val="none"/>
              </w:rPr>
            </w:pPr>
            <w:r>
              <w:rPr>
                <w:rFonts w:hint="eastAsia" w:ascii="宋体" w:hAnsi="宋体" w:cs="宋体"/>
                <w:szCs w:val="24"/>
                <w:highlight w:val="none"/>
              </w:rPr>
              <w:t>…</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tcPr>
          <w:p>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vAlign w:val="center"/>
          </w:tcPr>
          <w:p>
            <w:pPr>
              <w:pStyle w:val="61"/>
              <w:spacing w:line="340" w:lineRule="exact"/>
              <w:rPr>
                <w:rFonts w:ascii="宋体" w:hAnsi="宋体" w:cs="宋体"/>
                <w:szCs w:val="24"/>
                <w:highlight w:val="none"/>
              </w:rPr>
            </w:pPr>
            <w:r>
              <w:rPr>
                <w:rFonts w:hint="eastAsia" w:ascii="宋体" w:hAnsi="宋体" w:cs="宋体"/>
                <w:szCs w:val="24"/>
                <w:highlight w:val="none"/>
              </w:rPr>
              <w:t>合计</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bl>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备注：</w:t>
      </w:r>
    </w:p>
    <w:p>
      <w:pPr>
        <w:spacing w:line="360" w:lineRule="auto"/>
        <w:jc w:val="left"/>
        <w:rPr>
          <w:rFonts w:ascii="宋体" w:hAnsi="宋体" w:cs="宋体"/>
          <w:sz w:val="24"/>
          <w:highlight w:val="none"/>
        </w:rPr>
      </w:pPr>
      <w:r>
        <w:rPr>
          <w:rFonts w:hint="eastAsia" w:ascii="宋体" w:hAnsi="宋体" w:cs="宋体"/>
          <w:sz w:val="24"/>
          <w:highlight w:val="none"/>
        </w:rPr>
        <w:t>表中所列内容为对应本项目需求的全部要求。如有漏项或缺项，投标人承担全部责任。</w:t>
      </w: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pStyle w:val="2"/>
        <w:ind w:firstLine="241"/>
        <w:rPr>
          <w:rFonts w:ascii="宋体" w:hAnsi="宋体" w:cs="宋体"/>
          <w:b/>
          <w:sz w:val="24"/>
          <w:highlight w:val="none"/>
        </w:rPr>
      </w:pPr>
    </w:p>
    <w:p>
      <w:pPr>
        <w:pStyle w:val="2"/>
        <w:ind w:firstLine="241"/>
        <w:rPr>
          <w:rFonts w:ascii="宋体" w:hAnsi="宋体" w:cs="宋体"/>
          <w:b/>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 xml:space="preserve">格式6                     </w:t>
      </w:r>
      <w:r>
        <w:rPr>
          <w:rFonts w:hint="eastAsia" w:ascii="宋体" w:hAnsi="宋体" w:cs="宋体"/>
          <w:b/>
          <w:sz w:val="24"/>
          <w:highlight w:val="none"/>
        </w:rPr>
        <w:t>技术参数响应表</w:t>
      </w:r>
    </w:p>
    <w:p>
      <w:pPr>
        <w:rPr>
          <w:rFonts w:ascii="宋体" w:hAnsi="宋体" w:cs="宋体"/>
          <w:sz w:val="24"/>
          <w:highlight w:val="none"/>
        </w:rPr>
      </w:pPr>
    </w:p>
    <w:p>
      <w:pPr>
        <w:rPr>
          <w:rFonts w:ascii="宋体" w:hAnsi="宋体" w:cs="宋体"/>
          <w:sz w:val="24"/>
          <w:highlight w:val="none"/>
        </w:rPr>
      </w:pPr>
    </w:p>
    <w:tbl>
      <w:tblPr>
        <w:tblStyle w:val="29"/>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pPr>
              <w:pStyle w:val="16"/>
              <w:jc w:val="center"/>
              <w:rPr>
                <w:rFonts w:hAnsi="宋体" w:cs="宋体"/>
                <w:bCs/>
                <w:sz w:val="24"/>
                <w:szCs w:val="24"/>
                <w:highlight w:val="none"/>
              </w:rPr>
            </w:pPr>
            <w:r>
              <w:rPr>
                <w:rFonts w:hint="eastAsia" w:hAnsi="宋体" w:cs="宋体"/>
                <w:bCs/>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pPr>
              <w:pStyle w:val="16"/>
              <w:jc w:val="center"/>
              <w:rPr>
                <w:rFonts w:hAnsi="宋体" w:cs="宋体"/>
                <w:bCs/>
                <w:sz w:val="24"/>
                <w:szCs w:val="24"/>
                <w:highlight w:val="none"/>
              </w:rPr>
            </w:pPr>
            <w:r>
              <w:rPr>
                <w:rFonts w:hint="eastAsia" w:hAnsi="宋体" w:cs="宋体"/>
                <w:bCs/>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pPr>
              <w:pStyle w:val="16"/>
              <w:jc w:val="center"/>
              <w:rPr>
                <w:rFonts w:hAnsi="宋体" w:cs="宋体"/>
                <w:bCs/>
                <w:sz w:val="24"/>
                <w:szCs w:val="24"/>
                <w:highlight w:val="none"/>
              </w:rPr>
            </w:pPr>
            <w:r>
              <w:rPr>
                <w:rFonts w:hint="eastAsia" w:hAnsi="宋体" w:cs="宋体"/>
                <w:bCs/>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pPr>
              <w:pStyle w:val="16"/>
              <w:jc w:val="center"/>
              <w:rPr>
                <w:rFonts w:hAnsi="宋体" w:cs="宋体"/>
                <w:bCs/>
                <w:sz w:val="24"/>
                <w:szCs w:val="24"/>
                <w:highlight w:val="none"/>
              </w:rPr>
            </w:pPr>
            <w:r>
              <w:rPr>
                <w:rFonts w:hint="eastAsia" w:hAnsi="宋体" w:cs="宋体"/>
                <w:bCs/>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pPr>
              <w:pStyle w:val="16"/>
              <w:jc w:val="center"/>
              <w:rPr>
                <w:rFonts w:hAnsi="宋体" w:cs="宋体"/>
                <w:bCs/>
                <w:sz w:val="24"/>
                <w:szCs w:val="24"/>
                <w:highlight w:val="none"/>
              </w:rPr>
            </w:pPr>
            <w:r>
              <w:rPr>
                <w:rFonts w:hint="eastAsia" w:hAnsi="宋体" w:cs="宋体"/>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pPr>
              <w:pStyle w:val="16"/>
              <w:jc w:val="center"/>
              <w:rPr>
                <w:rFonts w:hAnsi="宋体" w:cs="宋体"/>
                <w:bCs/>
                <w:sz w:val="24"/>
                <w:szCs w:val="24"/>
                <w:highlight w:val="none"/>
              </w:rPr>
            </w:pPr>
            <w:r>
              <w:rPr>
                <w:rFonts w:hint="eastAsia" w:hAnsi="宋体" w:cs="宋体"/>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pPr>
              <w:pStyle w:val="16"/>
              <w:jc w:val="center"/>
              <w:rPr>
                <w:rFonts w:hAnsi="宋体" w:cs="宋体"/>
                <w:bCs/>
                <w:sz w:val="24"/>
                <w:szCs w:val="24"/>
                <w:highlight w:val="none"/>
              </w:rPr>
            </w:pPr>
            <w:r>
              <w:rPr>
                <w:rFonts w:hint="eastAsia" w:hAnsi="宋体" w:cs="宋体"/>
                <w:bCs/>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1</w:t>
            </w:r>
          </w:p>
        </w:tc>
        <w:tc>
          <w:tcPr>
            <w:tcW w:w="7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3490" w:type="dxa"/>
            <w:tcBorders>
              <w:top w:val="single" w:color="auto" w:sz="4" w:space="0"/>
              <w:left w:val="nil"/>
              <w:bottom w:val="single" w:color="auto" w:sz="4" w:space="0"/>
              <w:right w:val="single" w:color="auto" w:sz="4" w:space="0"/>
            </w:tcBorders>
          </w:tcPr>
          <w:p>
            <w:pPr>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tcPr>
          <w:p>
            <w:pPr>
              <w:widowControl/>
              <w:rPr>
                <w:rFonts w:ascii="宋体" w:hAnsi="宋体" w:cs="宋体"/>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2</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r>
              <w:rPr>
                <w:rFonts w:hint="eastAsia" w:ascii="宋体" w:hAnsi="宋体" w:cs="宋体"/>
                <w:sz w:val="24"/>
                <w:highlight w:val="none"/>
              </w:rPr>
              <w:t>.....</w:t>
            </w: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bl>
    <w:p>
      <w:pPr>
        <w:rPr>
          <w:rFonts w:ascii="宋体" w:hAnsi="宋体" w:cs="宋体"/>
          <w:sz w:val="24"/>
          <w:highlight w:val="none"/>
        </w:rPr>
      </w:pPr>
    </w:p>
    <w:p>
      <w:pPr>
        <w:rPr>
          <w:rFonts w:ascii="宋体" w:hAnsi="宋体" w:cs="宋体"/>
          <w:sz w:val="24"/>
          <w:highlight w:val="none"/>
        </w:rPr>
      </w:pPr>
      <w:r>
        <w:rPr>
          <w:rFonts w:hint="eastAsia" w:ascii="宋体" w:hAnsi="宋体" w:cs="宋体"/>
          <w:sz w:val="24"/>
          <w:highlight w:val="none"/>
        </w:rPr>
        <w:t>(可根据需求自行更改)</w:t>
      </w:r>
    </w:p>
    <w:p>
      <w:pPr>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格式7</w:t>
      </w:r>
    </w:p>
    <w:p>
      <w:pPr>
        <w:pStyle w:val="28"/>
        <w:ind w:firstLine="480"/>
        <w:rPr>
          <w:rFonts w:ascii="宋体" w:hAnsi="宋体" w:eastAsia="宋体" w:cs="宋体"/>
          <w:sz w:val="24"/>
          <w:highlight w:val="none"/>
        </w:rPr>
      </w:pPr>
    </w:p>
    <w:p>
      <w:pPr>
        <w:spacing w:line="380" w:lineRule="exact"/>
        <w:jc w:val="center"/>
        <w:rPr>
          <w:rFonts w:ascii="宋体" w:hAnsi="宋体" w:cs="宋体"/>
          <w:sz w:val="24"/>
          <w:highlight w:val="none"/>
        </w:rPr>
      </w:pPr>
      <w:r>
        <w:rPr>
          <w:rFonts w:hint="eastAsia" w:ascii="宋体" w:hAnsi="宋体" w:cs="宋体"/>
          <w:sz w:val="24"/>
          <w:highlight w:val="none"/>
        </w:rPr>
        <w:t>服务方案及服务承诺</w:t>
      </w:r>
    </w:p>
    <w:p>
      <w:pPr>
        <w:spacing w:line="380" w:lineRule="exact"/>
        <w:jc w:val="center"/>
        <w:rPr>
          <w:rFonts w:ascii="宋体" w:hAnsi="宋体" w:cs="宋体"/>
          <w:sz w:val="24"/>
          <w:highlight w:val="none"/>
        </w:rPr>
      </w:pPr>
    </w:p>
    <w:p>
      <w:pPr>
        <w:spacing w:line="380" w:lineRule="exact"/>
        <w:ind w:firstLine="360" w:firstLineChars="150"/>
        <w:rPr>
          <w:rFonts w:ascii="宋体" w:hAnsi="宋体" w:cs="宋体"/>
          <w:sz w:val="24"/>
          <w:highlight w:val="none"/>
        </w:rPr>
      </w:pPr>
    </w:p>
    <w:p>
      <w:pPr>
        <w:pStyle w:val="38"/>
        <w:rPr>
          <w:rFonts w:ascii="宋体" w:hAnsi="宋体" w:cs="宋体"/>
          <w:sz w:val="24"/>
          <w:szCs w:val="24"/>
          <w:highlight w:val="none"/>
        </w:rPr>
      </w:pPr>
    </w:p>
    <w:p>
      <w:pPr>
        <w:pStyle w:val="38"/>
        <w:rPr>
          <w:rFonts w:ascii="宋体" w:hAnsi="宋体" w:cs="宋体"/>
          <w:sz w:val="24"/>
          <w:szCs w:val="24"/>
          <w:highlight w:val="none"/>
        </w:rPr>
      </w:pPr>
    </w:p>
    <w:p>
      <w:pPr>
        <w:pStyle w:val="38"/>
        <w:rPr>
          <w:rFonts w:ascii="宋体" w:hAnsi="宋体" w:cs="宋体"/>
          <w:sz w:val="24"/>
          <w:szCs w:val="24"/>
          <w:highlight w:val="none"/>
        </w:rPr>
      </w:pPr>
    </w:p>
    <w:p>
      <w:pPr>
        <w:pStyle w:val="38"/>
        <w:rPr>
          <w:rFonts w:ascii="宋体" w:hAnsi="宋体" w:cs="宋体"/>
          <w:sz w:val="24"/>
          <w:szCs w:val="24"/>
          <w:highlight w:val="none"/>
        </w:rPr>
      </w:pPr>
    </w:p>
    <w:p>
      <w:pPr>
        <w:pStyle w:val="38"/>
        <w:rPr>
          <w:rFonts w:ascii="宋体" w:hAnsi="宋体" w:cs="宋体"/>
          <w:sz w:val="24"/>
          <w:szCs w:val="24"/>
          <w:highlight w:val="none"/>
        </w:rPr>
      </w:pPr>
    </w:p>
    <w:p>
      <w:pPr>
        <w:pStyle w:val="38"/>
        <w:rPr>
          <w:rFonts w:ascii="宋体" w:hAnsi="宋体" w:cs="宋体"/>
          <w:sz w:val="24"/>
          <w:szCs w:val="24"/>
          <w:highlight w:val="none"/>
        </w:rPr>
      </w:pPr>
    </w:p>
    <w:p>
      <w:pPr>
        <w:spacing w:line="380" w:lineRule="exact"/>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80" w:lineRule="exact"/>
        <w:ind w:right="640" w:firstLine="1560" w:firstLineChars="650"/>
        <w:rPr>
          <w:rFonts w:ascii="宋体" w:hAnsi="宋体" w:cs="宋体"/>
          <w:sz w:val="24"/>
          <w:highlight w:val="none"/>
        </w:rPr>
      </w:pPr>
    </w:p>
    <w:p>
      <w:pPr>
        <w:spacing w:line="380" w:lineRule="exact"/>
        <w:ind w:right="640" w:firstLine="4680" w:firstLineChars="1950"/>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ind w:firstLine="3600" w:firstLineChars="1500"/>
        <w:rPr>
          <w:rFonts w:ascii="宋体" w:hAnsi="宋体" w:cs="宋体"/>
          <w:sz w:val="24"/>
          <w:highlight w:val="none"/>
        </w:rPr>
      </w:pPr>
      <w:r>
        <w:rPr>
          <w:rFonts w:hint="eastAsia" w:ascii="宋体" w:hAnsi="宋体" w:cs="宋体"/>
          <w:sz w:val="24"/>
          <w:highlight w:val="none"/>
        </w:rPr>
        <w:t xml:space="preserve">      年   月    日</w:t>
      </w:r>
    </w:p>
    <w:p>
      <w:pPr>
        <w:spacing w:line="360" w:lineRule="auto"/>
        <w:jc w:val="center"/>
        <w:rPr>
          <w:rFonts w:ascii="宋体" w:hAnsi="宋体" w:cs="宋体"/>
          <w:b/>
          <w:bCs/>
          <w:sz w:val="24"/>
          <w:highlight w:val="none"/>
        </w:rPr>
      </w:pPr>
      <w:r>
        <w:rPr>
          <w:rFonts w:hint="eastAsia" w:ascii="宋体" w:hAnsi="宋体" w:cs="宋体"/>
          <w:b/>
          <w:bCs/>
          <w:sz w:val="24"/>
          <w:highlight w:val="none"/>
        </w:rPr>
        <w:br w:type="page"/>
      </w:r>
    </w:p>
    <w:p>
      <w:pPr>
        <w:spacing w:line="380" w:lineRule="exact"/>
        <w:jc w:val="center"/>
        <w:rPr>
          <w:rFonts w:ascii="宋体" w:hAnsi="宋体" w:cs="宋体"/>
          <w:sz w:val="24"/>
          <w:highlight w:val="none"/>
        </w:rPr>
      </w:pPr>
      <w:r>
        <w:rPr>
          <w:rFonts w:hint="eastAsia" w:ascii="宋体" w:hAnsi="宋体" w:cs="宋体"/>
          <w:sz w:val="24"/>
          <w:highlight w:val="none"/>
        </w:rPr>
        <w:t>格式8合格供应商的声明函和承诺书</w:t>
      </w:r>
    </w:p>
    <w:p>
      <w:pPr>
        <w:spacing w:line="360" w:lineRule="auto"/>
        <w:rPr>
          <w:rFonts w:ascii="宋体" w:hAnsi="宋体" w:cs="宋体"/>
          <w:sz w:val="24"/>
          <w:highlight w:val="none"/>
        </w:rPr>
      </w:pPr>
    </w:p>
    <w:p>
      <w:pPr>
        <w:spacing w:line="360" w:lineRule="auto"/>
        <w:jc w:val="center"/>
        <w:rPr>
          <w:rFonts w:ascii="宋体" w:hAnsi="宋体" w:cs="宋体"/>
          <w:b/>
          <w:bCs/>
          <w:sz w:val="24"/>
          <w:highlight w:val="none"/>
        </w:rPr>
      </w:pPr>
    </w:p>
    <w:p>
      <w:pPr>
        <w:pStyle w:val="38"/>
        <w:rPr>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80" w:lineRule="exact"/>
        <w:ind w:right="640" w:firstLine="1560" w:firstLineChars="650"/>
        <w:rPr>
          <w:rFonts w:ascii="宋体" w:hAnsi="宋体" w:cs="宋体"/>
          <w:sz w:val="24"/>
          <w:highlight w:val="none"/>
        </w:rPr>
      </w:pP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r>
        <w:rPr>
          <w:rFonts w:hint="eastAsia" w:ascii="宋体" w:hAnsi="宋体" w:cs="宋体"/>
          <w:sz w:val="24"/>
          <w:highlight w:val="none"/>
        </w:rPr>
        <w:t>格式9中小企业声明函（工程、服务）</w:t>
      </w:r>
    </w:p>
    <w:p>
      <w:pPr>
        <w:spacing w:line="360" w:lineRule="auto"/>
        <w:rPr>
          <w:b/>
          <w:bCs/>
          <w:sz w:val="32"/>
          <w:szCs w:val="32"/>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w:t>
      </w:r>
      <w:r>
        <w:rPr>
          <w:rFonts w:hint="eastAsia" w:ascii="宋体" w:hAnsi="宋体" w:cs="宋体"/>
          <w:sz w:val="24"/>
          <w:highlight w:val="none"/>
          <w:u w:val="single"/>
        </w:rPr>
        <w:t>（或者：服务全部由符合政策要求的中小企业承接）</w:t>
      </w:r>
      <w:r>
        <w:rPr>
          <w:rFonts w:hint="eastAsia" w:ascii="宋体" w:hAnsi="宋体" w:cs="宋体"/>
          <w:sz w:val="24"/>
          <w:highlight w:val="none"/>
        </w:rPr>
        <w:t>。相关企业</w:t>
      </w:r>
      <w:r>
        <w:rPr>
          <w:rFonts w:hint="eastAsia" w:ascii="宋体" w:hAnsi="宋体" w:cs="宋体"/>
          <w:sz w:val="24"/>
          <w:highlight w:val="none"/>
          <w:u w:val="single"/>
        </w:rPr>
        <w:t>（含联合 体中的中小企业、签订分包意向协议的中小企业）</w:t>
      </w:r>
      <w:r>
        <w:rPr>
          <w:rFonts w:hint="eastAsia" w:ascii="宋体" w:hAnsi="宋体" w:cs="宋体"/>
          <w:sz w:val="24"/>
          <w:highlight w:val="none"/>
        </w:rPr>
        <w:t>的具体情 况如下：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承建（承接）企业为（企业名称），从业人员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 xml:space="preserve">万元1，属于（中型企业、小型企业、微型企业）；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 小型企业、微型企业）</w:t>
      </w:r>
      <w:r>
        <w:rPr>
          <w:rFonts w:hint="eastAsia" w:ascii="宋体" w:hAnsi="宋体" w:cs="宋体"/>
          <w:sz w:val="24"/>
          <w:highlight w:val="none"/>
        </w:rPr>
        <w:t>；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 法承担相应责任。 </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企业名称（盖章）： </w:t>
      </w:r>
    </w:p>
    <w:p>
      <w:pPr>
        <w:spacing w:line="360" w:lineRule="auto"/>
        <w:ind w:firstLine="4800" w:firstLineChars="2000"/>
        <w:rPr>
          <w:rFonts w:ascii="宋体" w:hAnsi="宋体" w:cs="宋体"/>
          <w:sz w:val="24"/>
          <w:highlight w:val="none"/>
        </w:rPr>
      </w:pPr>
      <w:r>
        <w:rPr>
          <w:rFonts w:hint="eastAsia" w:ascii="宋体" w:hAnsi="宋体" w:cs="宋体"/>
          <w:sz w:val="24"/>
          <w:highlight w:val="none"/>
        </w:rPr>
        <w:t xml:space="preserve">日 期： </w:t>
      </w:r>
    </w:p>
    <w:p>
      <w:pPr>
        <w:pStyle w:val="38"/>
        <w:rPr>
          <w:rFonts w:ascii="宋体" w:hAnsi="宋体" w:cs="宋体"/>
          <w:sz w:val="24"/>
          <w:szCs w:val="24"/>
          <w:highlight w:val="none"/>
        </w:rPr>
      </w:pPr>
    </w:p>
    <w:p>
      <w:pPr>
        <w:pStyle w:val="7"/>
        <w:rPr>
          <w:rFonts w:ascii="宋体" w:hAnsi="宋体" w:eastAsia="宋体" w:cs="宋体"/>
          <w:sz w:val="24"/>
          <w:highlight w:val="none"/>
        </w:rPr>
      </w:pPr>
    </w:p>
    <w:p>
      <w:pPr>
        <w:rPr>
          <w:rFonts w:ascii="宋体" w:hAnsi="宋体" w:cs="宋体"/>
          <w:sz w:val="24"/>
          <w:highlight w:val="none"/>
        </w:rPr>
      </w:pPr>
    </w:p>
    <w:p>
      <w:pPr>
        <w:pStyle w:val="38"/>
        <w:rPr>
          <w:rFonts w:ascii="宋体" w:hAnsi="宋体" w:cs="宋体"/>
          <w:sz w:val="24"/>
          <w:szCs w:val="24"/>
          <w:highlight w:val="none"/>
        </w:rPr>
      </w:pPr>
    </w:p>
    <w:p>
      <w:pPr>
        <w:pStyle w:val="7"/>
        <w:rPr>
          <w:highlight w:val="none"/>
        </w:rPr>
      </w:pPr>
    </w:p>
    <w:p>
      <w:pPr>
        <w:spacing w:line="360" w:lineRule="auto"/>
        <w:ind w:firstLine="420" w:firstLineChars="200"/>
        <w:rPr>
          <w:highlight w:val="none"/>
        </w:rPr>
      </w:pPr>
      <w:r>
        <w:rPr>
          <w:rFonts w:hint="eastAsia"/>
          <w:highlight w:val="none"/>
        </w:rPr>
        <w:t>注：1.从业人员、营业收入、资产总额填报上一年度数据，无上一年度数据的新成立企业可不填报。</w:t>
      </w:r>
    </w:p>
    <w:p>
      <w:pPr>
        <w:spacing w:line="360" w:lineRule="auto"/>
        <w:ind w:firstLine="420" w:firstLineChars="200"/>
        <w:rPr>
          <w:highlight w:val="none"/>
        </w:rPr>
      </w:pPr>
      <w:r>
        <w:rPr>
          <w:rFonts w:hint="eastAsia"/>
          <w:highlight w:val="none"/>
        </w:rPr>
        <w:t>2.本项目如是只面向中小企业采购的应当必须提供。</w:t>
      </w:r>
    </w:p>
    <w:p>
      <w:pPr>
        <w:spacing w:line="360" w:lineRule="auto"/>
        <w:jc w:val="center"/>
        <w:rPr>
          <w:rFonts w:ascii="宋体" w:hAnsi="宋体" w:cs="宋体"/>
          <w:b/>
          <w:bCs/>
          <w:sz w:val="24"/>
          <w:highlight w:val="none"/>
        </w:rPr>
      </w:pPr>
    </w:p>
    <w:p>
      <w:pPr>
        <w:spacing w:line="360" w:lineRule="auto"/>
        <w:jc w:val="center"/>
        <w:rPr>
          <w:rFonts w:ascii="宋体" w:hAnsi="宋体" w:cs="宋体"/>
          <w:b/>
          <w:bCs/>
          <w:sz w:val="24"/>
          <w:highlight w:val="none"/>
        </w:rPr>
      </w:pPr>
    </w:p>
    <w:p>
      <w:pPr>
        <w:pStyle w:val="38"/>
        <w:rPr>
          <w:rFonts w:ascii="宋体" w:hAnsi="宋体" w:cs="宋体"/>
          <w:b/>
          <w:bCs/>
          <w:sz w:val="24"/>
          <w:highlight w:val="none"/>
        </w:rPr>
      </w:pPr>
    </w:p>
    <w:p>
      <w:pPr>
        <w:pStyle w:val="7"/>
        <w:rPr>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格式10其他资料</w:t>
      </w:r>
    </w:p>
    <w:p>
      <w:pPr>
        <w:spacing w:line="360" w:lineRule="auto"/>
        <w:rPr>
          <w:highlight w:val="none"/>
        </w:rPr>
      </w:pPr>
      <w:r>
        <w:rPr>
          <w:rFonts w:hint="eastAsia" w:ascii="宋体" w:hAnsi="宋体" w:cs="宋体"/>
          <w:sz w:val="24"/>
          <w:highlight w:val="none"/>
        </w:rPr>
        <w:t>格式11</w:t>
      </w:r>
    </w:p>
    <w:p>
      <w:pPr>
        <w:spacing w:line="380" w:lineRule="exact"/>
        <w:jc w:val="center"/>
        <w:rPr>
          <w:rStyle w:val="67"/>
          <w:rFonts w:ascii="宋体"/>
          <w:b/>
          <w:bCs/>
          <w:sz w:val="28"/>
          <w:szCs w:val="28"/>
          <w:highlight w:val="none"/>
        </w:rPr>
      </w:pPr>
      <w:r>
        <w:rPr>
          <w:rStyle w:val="67"/>
          <w:rFonts w:hint="eastAsia" w:ascii="宋体" w:hAnsi="宋体" w:cs="宋体"/>
          <w:b/>
          <w:bCs/>
          <w:sz w:val="28"/>
          <w:szCs w:val="28"/>
          <w:highlight w:val="none"/>
        </w:rPr>
        <w:t>政府采购供应商诚信承诺书</w:t>
      </w:r>
    </w:p>
    <w:p>
      <w:pPr>
        <w:spacing w:line="380" w:lineRule="exact"/>
        <w:jc w:val="center"/>
        <w:rPr>
          <w:rStyle w:val="67"/>
          <w:rFonts w:ascii="宋体"/>
          <w:b/>
          <w:bCs/>
          <w:sz w:val="24"/>
          <w:highlight w:val="none"/>
        </w:rPr>
      </w:pPr>
    </w:p>
    <w:p>
      <w:pPr>
        <w:spacing w:line="380" w:lineRule="exact"/>
        <w:ind w:firstLine="720" w:firstLineChars="300"/>
        <w:rPr>
          <w:rFonts w:ascii="宋体" w:hAnsi="宋体" w:cs="宋体"/>
          <w:sz w:val="24"/>
          <w:highlight w:val="none"/>
        </w:rPr>
      </w:pPr>
      <w:r>
        <w:rPr>
          <w:rFonts w:hint="eastAsia" w:ascii="宋体" w:hAnsi="宋体" w:cs="宋体"/>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sz w:val="24"/>
          <w:highlight w:val="none"/>
        </w:rPr>
      </w:pPr>
      <w:r>
        <w:rPr>
          <w:rFonts w:hint="eastAsia" w:ascii="宋体" w:hAnsi="宋体" w:cs="宋体"/>
          <w:sz w:val="24"/>
          <w:highlight w:val="none"/>
        </w:rPr>
        <w:t>（一）提供虚假材料谋取中标;</w:t>
      </w:r>
    </w:p>
    <w:p>
      <w:pPr>
        <w:spacing w:line="380" w:lineRule="exact"/>
        <w:rPr>
          <w:rFonts w:ascii="宋体" w:hAnsi="宋体" w:cs="宋体"/>
          <w:sz w:val="24"/>
          <w:highlight w:val="none"/>
        </w:rPr>
      </w:pPr>
      <w:r>
        <w:rPr>
          <w:rFonts w:hint="eastAsia" w:ascii="宋体" w:hAnsi="宋体" w:cs="宋体"/>
          <w:sz w:val="24"/>
          <w:highlight w:val="none"/>
        </w:rPr>
        <w:t>（二）采取不正当手段诋毁、排挤其他供应商;</w:t>
      </w:r>
    </w:p>
    <w:p>
      <w:pPr>
        <w:spacing w:line="380" w:lineRule="exact"/>
        <w:rPr>
          <w:rFonts w:ascii="宋体" w:hAnsi="宋体" w:cs="宋体"/>
          <w:sz w:val="24"/>
          <w:highlight w:val="none"/>
        </w:rPr>
      </w:pPr>
      <w:r>
        <w:rPr>
          <w:rFonts w:hint="eastAsia" w:ascii="宋体" w:hAnsi="宋体" w:cs="宋体"/>
          <w:sz w:val="24"/>
          <w:highlight w:val="none"/>
        </w:rPr>
        <w:t>（三）与招标采购单位、其他投标人恶意串通;</w:t>
      </w:r>
    </w:p>
    <w:p>
      <w:pPr>
        <w:spacing w:line="380" w:lineRule="exact"/>
        <w:rPr>
          <w:rFonts w:ascii="宋体" w:hAnsi="宋体" w:cs="宋体"/>
          <w:sz w:val="24"/>
          <w:highlight w:val="none"/>
        </w:rPr>
      </w:pPr>
      <w:r>
        <w:rPr>
          <w:rFonts w:hint="eastAsia" w:ascii="宋体" w:hAnsi="宋体" w:cs="宋体"/>
          <w:sz w:val="24"/>
          <w:highlight w:val="none"/>
        </w:rPr>
        <w:t>（四）向招标采购单位或提供其他不正当利益;</w:t>
      </w:r>
    </w:p>
    <w:p>
      <w:pPr>
        <w:spacing w:line="380" w:lineRule="exact"/>
        <w:rPr>
          <w:rFonts w:ascii="宋体" w:hAnsi="宋体" w:cs="宋体"/>
          <w:sz w:val="24"/>
          <w:highlight w:val="none"/>
        </w:rPr>
      </w:pPr>
      <w:r>
        <w:rPr>
          <w:rFonts w:hint="eastAsia" w:ascii="宋体" w:hAnsi="宋体" w:cs="宋体"/>
          <w:sz w:val="24"/>
          <w:highlight w:val="none"/>
        </w:rPr>
        <w:t>（五）在招标过程中与招标采购单位进行协商谈判、不按照招标文件和投标文件订立合同，或者与采购人另立背离合同实质性内容协议;</w:t>
      </w:r>
    </w:p>
    <w:p>
      <w:pPr>
        <w:spacing w:line="380" w:lineRule="exact"/>
        <w:rPr>
          <w:rFonts w:ascii="宋体" w:hAnsi="宋体" w:cs="宋体"/>
          <w:sz w:val="24"/>
          <w:highlight w:val="none"/>
        </w:rPr>
      </w:pPr>
      <w:r>
        <w:rPr>
          <w:rFonts w:hint="eastAsia" w:ascii="宋体" w:hAnsi="宋体" w:cs="宋体"/>
          <w:sz w:val="24"/>
          <w:highlight w:val="none"/>
        </w:rPr>
        <w:t>（六）开标后擅自撤销投标，影响招标继续进行的或领取招标文件纳投标保证金后不投标导致废标;</w:t>
      </w:r>
    </w:p>
    <w:p>
      <w:pPr>
        <w:spacing w:line="380" w:lineRule="exact"/>
        <w:rPr>
          <w:rFonts w:ascii="宋体" w:hAnsi="宋体" w:cs="宋体"/>
          <w:sz w:val="24"/>
          <w:highlight w:val="none"/>
        </w:rPr>
      </w:pPr>
      <w:r>
        <w:rPr>
          <w:rFonts w:hint="eastAsia" w:ascii="宋体" w:hAnsi="宋体" w:cs="宋体"/>
          <w:sz w:val="24"/>
          <w:highlight w:val="none"/>
        </w:rPr>
        <w:t>（七）中标后无正当理由，在规定时间内不与采购单位签订合同;</w:t>
      </w:r>
    </w:p>
    <w:p>
      <w:pPr>
        <w:spacing w:line="380" w:lineRule="exact"/>
        <w:rPr>
          <w:rFonts w:ascii="宋体" w:hAnsi="宋体" w:cs="宋体"/>
          <w:sz w:val="24"/>
          <w:highlight w:val="none"/>
        </w:rPr>
      </w:pPr>
      <w:r>
        <w:rPr>
          <w:rFonts w:hint="eastAsia" w:ascii="宋体" w:hAnsi="宋体" w:cs="宋体"/>
          <w:sz w:val="24"/>
          <w:highlight w:val="none"/>
        </w:rPr>
        <w:t>（八）将中标项目转让给他人或非法分包他人;</w:t>
      </w:r>
    </w:p>
    <w:p>
      <w:pPr>
        <w:spacing w:line="380" w:lineRule="exact"/>
        <w:rPr>
          <w:rFonts w:ascii="宋体" w:hAnsi="宋体" w:cs="宋体"/>
          <w:sz w:val="24"/>
          <w:highlight w:val="none"/>
        </w:rPr>
      </w:pPr>
      <w:r>
        <w:rPr>
          <w:rFonts w:hint="eastAsia" w:ascii="宋体" w:hAnsi="宋体" w:cs="宋体"/>
          <w:sz w:val="24"/>
          <w:highlight w:val="none"/>
        </w:rPr>
        <w:t>（九）无正当理由，拒绝履行合同义务;</w:t>
      </w:r>
    </w:p>
    <w:p>
      <w:pPr>
        <w:spacing w:line="380" w:lineRule="exact"/>
        <w:rPr>
          <w:rFonts w:ascii="宋体" w:hAnsi="宋体" w:cs="宋体"/>
          <w:sz w:val="24"/>
          <w:highlight w:val="none"/>
        </w:rPr>
      </w:pPr>
      <w:r>
        <w:rPr>
          <w:rFonts w:hint="eastAsia" w:ascii="宋体" w:hAnsi="宋体" w:cs="宋体"/>
          <w:sz w:val="24"/>
          <w:highlight w:val="none"/>
        </w:rPr>
        <w:t>（十）无正当理由放弃中标（成交）项目;</w:t>
      </w:r>
    </w:p>
    <w:p>
      <w:pPr>
        <w:spacing w:line="380" w:lineRule="exact"/>
        <w:rPr>
          <w:rFonts w:ascii="宋体" w:hAnsi="宋体" w:cs="宋体"/>
          <w:sz w:val="24"/>
          <w:highlight w:val="none"/>
        </w:rPr>
      </w:pPr>
      <w:r>
        <w:rPr>
          <w:rFonts w:hint="eastAsia" w:ascii="宋体" w:hAnsi="宋体" w:cs="宋体"/>
          <w:sz w:val="24"/>
          <w:highlight w:val="none"/>
        </w:rPr>
        <w:t>（十ー）撞自或与与采购人串通或接受采购人要求，在履约合同中通过减少货物数量，更换品牌、降低配置、技术要求、质量和服务标准等，却仍按原合同进行虚假验收或终止政府采购合同;</w:t>
      </w:r>
    </w:p>
    <w:p>
      <w:pPr>
        <w:spacing w:line="380" w:lineRule="exact"/>
        <w:rPr>
          <w:rFonts w:ascii="宋体" w:hAnsi="宋体" w:cs="宋体"/>
          <w:sz w:val="24"/>
          <w:highlight w:val="none"/>
        </w:rPr>
      </w:pPr>
      <w:r>
        <w:rPr>
          <w:rFonts w:hint="eastAsia" w:ascii="宋体" w:hAnsi="宋体" w:cs="宋体"/>
          <w:sz w:val="24"/>
          <w:highlight w:val="none"/>
        </w:rPr>
        <w:t>（十二）与采购人串通，对尚未履约完毕的采购项目出具虚假验收报告；</w:t>
      </w:r>
    </w:p>
    <w:p>
      <w:pPr>
        <w:spacing w:line="380" w:lineRule="exact"/>
        <w:rPr>
          <w:rFonts w:ascii="宋体" w:hAnsi="宋体" w:cs="宋体"/>
          <w:sz w:val="24"/>
          <w:highlight w:val="none"/>
        </w:rPr>
      </w:pPr>
      <w:r>
        <w:rPr>
          <w:rFonts w:hint="eastAsia" w:ascii="宋体" w:hAnsi="宋体" w:cs="宋体"/>
          <w:sz w:val="24"/>
          <w:highlight w:val="none"/>
        </w:rPr>
        <w:t>（十三）无不可抗力因素，拒绝提供售后服务、售后服务态度恶劣、故意提高维修配件价格（高于市场平均价）；</w:t>
      </w:r>
    </w:p>
    <w:p>
      <w:pPr>
        <w:spacing w:line="380" w:lineRule="exact"/>
        <w:rPr>
          <w:rFonts w:ascii="宋体" w:hAnsi="宋体" w:cs="宋体"/>
          <w:sz w:val="24"/>
          <w:highlight w:val="none"/>
        </w:rPr>
      </w:pPr>
      <w:r>
        <w:rPr>
          <w:rFonts w:hint="eastAsia" w:ascii="宋体" w:hAnsi="宋体" w:cs="宋体"/>
          <w:sz w:val="24"/>
          <w:highlight w:val="none"/>
        </w:rPr>
        <w:t>（十四）开标后对招标文件的相关内容再进行质疑；</w:t>
      </w:r>
    </w:p>
    <w:p>
      <w:pPr>
        <w:spacing w:line="380" w:lineRule="exact"/>
        <w:rPr>
          <w:rFonts w:ascii="宋体" w:hAnsi="宋体" w:cs="宋体"/>
          <w:sz w:val="24"/>
          <w:highlight w:val="none"/>
        </w:rPr>
      </w:pPr>
      <w:r>
        <w:rPr>
          <w:rFonts w:hint="eastAsia" w:ascii="宋体" w:hAnsi="宋体" w:cs="宋体"/>
          <w:sz w:val="24"/>
          <w:highlight w:val="none"/>
        </w:rPr>
        <w:t>（十五）恶意投诉的行为：投诉经查无实据的、捏造事实或者提供虚假设诉材料；</w:t>
      </w:r>
    </w:p>
    <w:p>
      <w:pPr>
        <w:spacing w:line="380" w:lineRule="exact"/>
        <w:rPr>
          <w:rFonts w:ascii="宋体" w:hAnsi="宋体" w:cs="宋体"/>
          <w:sz w:val="24"/>
          <w:highlight w:val="none"/>
        </w:rPr>
      </w:pPr>
      <w:r>
        <w:rPr>
          <w:rFonts w:hint="eastAsia" w:ascii="宋体" w:hAnsi="宋体" w:cs="宋体"/>
          <w:sz w:val="24"/>
          <w:highlight w:val="none"/>
        </w:rPr>
        <w:t>（十六）拒绝有关部门监督检查或者提供虚假情况；</w:t>
      </w:r>
    </w:p>
    <w:p>
      <w:pPr>
        <w:spacing w:line="380" w:lineRule="exact"/>
        <w:rPr>
          <w:rFonts w:ascii="宋体" w:hAnsi="宋体" w:cs="宋体"/>
          <w:sz w:val="24"/>
          <w:highlight w:val="none"/>
        </w:rPr>
      </w:pPr>
      <w:r>
        <w:rPr>
          <w:rFonts w:hint="eastAsia" w:ascii="宋体" w:hAnsi="宋体" w:cs="宋体"/>
          <w:sz w:val="24"/>
          <w:highlight w:val="none"/>
        </w:rPr>
        <w:t>（十七）政府采购监管部门认定的其他政府采购活动中的不诚信行为。</w:t>
      </w:r>
    </w:p>
    <w:p>
      <w:pPr>
        <w:spacing w:line="380" w:lineRule="exact"/>
        <w:ind w:firstLine="3360" w:firstLineChars="1400"/>
        <w:rPr>
          <w:rFonts w:ascii="宋体" w:hAnsi="宋体" w:cs="宋体"/>
          <w:sz w:val="24"/>
          <w:highlight w:val="none"/>
        </w:rPr>
      </w:pPr>
    </w:p>
    <w:p>
      <w:pPr>
        <w:spacing w:line="380" w:lineRule="exact"/>
        <w:ind w:firstLine="3360" w:firstLineChars="1400"/>
        <w:rPr>
          <w:rFonts w:ascii="宋体" w:hAnsi="宋体" w:cs="宋体"/>
          <w:sz w:val="24"/>
          <w:highlight w:val="none"/>
        </w:rPr>
      </w:pPr>
      <w:r>
        <w:rPr>
          <w:rFonts w:hint="eastAsia" w:ascii="宋体" w:hAnsi="宋体" w:cs="宋体"/>
          <w:sz w:val="24"/>
          <w:highlight w:val="none"/>
        </w:rPr>
        <w:t>供应商名称：（盖章）</w:t>
      </w:r>
    </w:p>
    <w:p>
      <w:pPr>
        <w:spacing w:line="380" w:lineRule="exact"/>
        <w:ind w:firstLine="3360" w:firstLineChars="1400"/>
        <w:rPr>
          <w:rFonts w:ascii="宋体" w:hAnsi="宋体" w:cs="宋体"/>
          <w:sz w:val="24"/>
          <w:highlight w:val="none"/>
        </w:rPr>
      </w:pPr>
      <w:r>
        <w:rPr>
          <w:rFonts w:hint="eastAsia" w:ascii="宋体" w:hAnsi="宋体" w:cs="宋体"/>
          <w:sz w:val="24"/>
          <w:highlight w:val="none"/>
        </w:rPr>
        <w:t>法定代表人：（签字）</w:t>
      </w:r>
    </w:p>
    <w:p>
      <w:pPr>
        <w:spacing w:line="380" w:lineRule="exact"/>
        <w:ind w:firstLine="3360" w:firstLineChars="1400"/>
        <w:rPr>
          <w:rFonts w:ascii="宋体" w:hAnsi="宋体" w:cs="宋体"/>
          <w:sz w:val="24"/>
          <w:highlight w:val="none"/>
        </w:rPr>
      </w:pPr>
    </w:p>
    <w:p>
      <w:pPr>
        <w:spacing w:line="380" w:lineRule="exact"/>
        <w:ind w:firstLine="3360" w:firstLineChars="1400"/>
        <w:rPr>
          <w:rFonts w:ascii="宋体" w:hAnsi="宋体" w:cs="宋体"/>
          <w:b/>
          <w:sz w:val="24"/>
          <w:highlight w:val="none"/>
        </w:rPr>
      </w:pPr>
      <w:r>
        <w:rPr>
          <w:rFonts w:hint="eastAsia" w:ascii="宋体" w:hAnsi="宋体" w:cs="宋体"/>
          <w:sz w:val="24"/>
          <w:highlight w:val="none"/>
        </w:rPr>
        <w:t>日期：年月日</w:t>
      </w:r>
    </w:p>
    <w:p>
      <w:pPr>
        <w:pStyle w:val="2"/>
        <w:ind w:firstLine="0" w:firstLineChars="0"/>
        <w:rPr>
          <w:rFonts w:ascii="宋体" w:hAnsi="宋体" w:cs="宋体"/>
          <w:b/>
          <w:sz w:val="24"/>
          <w:highlight w:val="none"/>
        </w:rPr>
      </w:pPr>
    </w:p>
    <w:p>
      <w:pPr>
        <w:spacing w:line="360" w:lineRule="auto"/>
        <w:rPr>
          <w:rFonts w:ascii="宋体" w:hAnsi="宋体" w:cs="宋体"/>
          <w:b/>
          <w:bCs/>
          <w:sz w:val="24"/>
          <w:highlight w:val="none"/>
        </w:rPr>
      </w:pPr>
    </w:p>
    <w:p>
      <w:pPr>
        <w:pStyle w:val="5"/>
        <w:spacing w:line="500" w:lineRule="exact"/>
        <w:rPr>
          <w:rFonts w:ascii="宋体" w:hAnsi="宋体" w:cs="宋体"/>
          <w:b/>
          <w:sz w:val="32"/>
          <w:szCs w:val="32"/>
          <w:highlight w:val="none"/>
        </w:rPr>
      </w:pPr>
      <w:r>
        <w:rPr>
          <w:rFonts w:hint="eastAsia" w:ascii="宋体" w:hAnsi="宋体" w:cs="宋体"/>
          <w:b/>
          <w:sz w:val="32"/>
          <w:szCs w:val="32"/>
          <w:highlight w:val="none"/>
        </w:rPr>
        <w:t xml:space="preserve">第五章  </w:t>
      </w:r>
      <w:r>
        <w:rPr>
          <w:rFonts w:hint="eastAsia" w:ascii="宋体" w:hAnsi="宋体" w:cs="宋体"/>
          <w:b/>
          <w:w w:val="92"/>
          <w:sz w:val="32"/>
          <w:szCs w:val="32"/>
          <w:highlight w:val="none"/>
        </w:rPr>
        <w:t>周口市</w:t>
      </w:r>
      <w:r>
        <w:rPr>
          <w:rFonts w:hint="eastAsia" w:ascii="宋体" w:hAnsi="宋体" w:cs="宋体"/>
          <w:b/>
          <w:sz w:val="32"/>
          <w:szCs w:val="32"/>
          <w:highlight w:val="none"/>
        </w:rPr>
        <w:t>政府采购合同（服务类）标准文本</w:t>
      </w:r>
    </w:p>
    <w:p>
      <w:pPr>
        <w:ind w:firstLine="640" w:firstLineChars="200"/>
        <w:rPr>
          <w:rFonts w:ascii="宋体" w:hAnsi="宋体" w:cs="宋体"/>
          <w:sz w:val="32"/>
          <w:szCs w:val="32"/>
          <w:highlight w:val="none"/>
        </w:rPr>
      </w:pPr>
    </w:p>
    <w:p>
      <w:pPr>
        <w:pStyle w:val="80"/>
        <w:spacing w:beforeLines="0" w:afterLines="0"/>
        <w:ind w:left="0" w:firstLine="640" w:firstLineChars="200"/>
        <w:rPr>
          <w:rFonts w:ascii="宋体" w:hAnsi="宋体" w:cs="宋体"/>
          <w:sz w:val="32"/>
          <w:szCs w:val="32"/>
          <w:highlight w:val="none"/>
        </w:rPr>
      </w:pPr>
    </w:p>
    <w:p>
      <w:pPr>
        <w:pStyle w:val="80"/>
        <w:spacing w:beforeLines="0" w:afterLines="0"/>
        <w:ind w:left="0" w:firstLine="640" w:firstLineChars="200"/>
        <w:rPr>
          <w:rFonts w:ascii="宋体" w:hAnsi="宋体" w:cs="宋体"/>
          <w:sz w:val="32"/>
          <w:szCs w:val="32"/>
          <w:highlight w:val="none"/>
        </w:rPr>
      </w:pPr>
    </w:p>
    <w:p>
      <w:pPr>
        <w:pStyle w:val="80"/>
        <w:spacing w:beforeLines="0" w:afterLines="0"/>
        <w:ind w:left="0" w:firstLine="600" w:firstLineChars="200"/>
        <w:rPr>
          <w:rFonts w:ascii="宋体" w:hAnsi="宋体" w:cs="宋体"/>
          <w:sz w:val="30"/>
          <w:szCs w:val="30"/>
          <w:highlight w:val="none"/>
        </w:rPr>
      </w:pPr>
    </w:p>
    <w:p>
      <w:pPr>
        <w:pStyle w:val="80"/>
        <w:spacing w:beforeLines="0" w:afterLines="0"/>
        <w:ind w:left="0" w:firstLine="600" w:firstLineChars="200"/>
        <w:rPr>
          <w:rFonts w:ascii="宋体" w:hAnsi="宋体" w:cs="宋体"/>
          <w:sz w:val="30"/>
          <w:szCs w:val="30"/>
          <w:highlight w:val="none"/>
        </w:rPr>
      </w:pPr>
    </w:p>
    <w:p>
      <w:pPr>
        <w:pStyle w:val="80"/>
        <w:spacing w:beforeLines="0" w:afterLines="0"/>
        <w:ind w:left="0" w:firstLine="600" w:firstLineChars="200"/>
        <w:rPr>
          <w:rFonts w:ascii="宋体" w:hAnsi="宋体" w:cs="宋体"/>
          <w:sz w:val="30"/>
          <w:szCs w:val="30"/>
          <w:highlight w:val="none"/>
        </w:rPr>
      </w:pPr>
    </w:p>
    <w:p>
      <w:pPr>
        <w:pStyle w:val="80"/>
        <w:spacing w:beforeLines="0" w:afterLines="0"/>
        <w:ind w:left="0" w:firstLine="600" w:firstLineChars="200"/>
        <w:rPr>
          <w:rFonts w:ascii="宋体" w:hAnsi="宋体" w:cs="宋体"/>
          <w:sz w:val="30"/>
          <w:szCs w:val="30"/>
          <w:highlight w:val="none"/>
        </w:rPr>
      </w:pPr>
    </w:p>
    <w:p>
      <w:pPr>
        <w:pStyle w:val="80"/>
        <w:spacing w:beforeLines="0" w:afterLines="0"/>
        <w:ind w:left="0" w:firstLine="600" w:firstLineChars="200"/>
        <w:rPr>
          <w:rFonts w:ascii="宋体" w:hAnsi="宋体" w:cs="宋体"/>
          <w:sz w:val="30"/>
          <w:szCs w:val="30"/>
          <w:highlight w:val="none"/>
        </w:rPr>
      </w:pPr>
    </w:p>
    <w:p>
      <w:pPr>
        <w:pStyle w:val="80"/>
        <w:spacing w:beforeLines="0" w:afterLines="0"/>
        <w:ind w:left="0" w:firstLine="600" w:firstLineChars="200"/>
        <w:rPr>
          <w:rFonts w:ascii="宋体" w:hAnsi="宋体" w:cs="宋体"/>
          <w:sz w:val="30"/>
          <w:szCs w:val="30"/>
          <w:highlight w:val="none"/>
        </w:rPr>
      </w:pPr>
    </w:p>
    <w:p>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政府采购项目名称：</w:t>
      </w:r>
    </w:p>
    <w:p>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政府采购项目编号：</w:t>
      </w:r>
    </w:p>
    <w:p>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采      购    人：</w:t>
      </w:r>
    </w:p>
    <w:p>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供      应    商：</w:t>
      </w:r>
    </w:p>
    <w:p>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 订 地：</w:t>
      </w:r>
    </w:p>
    <w:p>
      <w:pPr>
        <w:pStyle w:val="80"/>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签订 时 间：</w:t>
      </w:r>
    </w:p>
    <w:p>
      <w:pPr>
        <w:pStyle w:val="80"/>
        <w:spacing w:beforeLines="0" w:afterLines="0"/>
        <w:ind w:left="0" w:firstLine="600" w:firstLineChars="200"/>
        <w:rPr>
          <w:rFonts w:ascii="宋体" w:hAnsi="宋体" w:cs="宋体"/>
          <w:sz w:val="30"/>
          <w:szCs w:val="30"/>
          <w:highlight w:val="none"/>
        </w:rPr>
      </w:pPr>
    </w:p>
    <w:p>
      <w:pPr>
        <w:pStyle w:val="80"/>
        <w:spacing w:beforeLines="0" w:afterLines="0"/>
        <w:ind w:left="0" w:firstLine="600" w:firstLineChars="200"/>
        <w:rPr>
          <w:rFonts w:ascii="宋体" w:hAnsi="宋体" w:cs="宋体"/>
          <w:sz w:val="30"/>
          <w:szCs w:val="30"/>
          <w:highlight w:val="none"/>
        </w:rPr>
      </w:pPr>
    </w:p>
    <w:p>
      <w:pPr>
        <w:pStyle w:val="80"/>
        <w:spacing w:beforeLines="0" w:afterLines="0"/>
        <w:ind w:left="0" w:firstLine="600" w:firstLineChars="200"/>
        <w:rPr>
          <w:rFonts w:ascii="宋体" w:hAnsi="宋体" w:cs="宋体"/>
          <w:sz w:val="30"/>
          <w:szCs w:val="30"/>
          <w:highlight w:val="none"/>
        </w:rPr>
      </w:pPr>
    </w:p>
    <w:p>
      <w:pPr>
        <w:pStyle w:val="80"/>
        <w:spacing w:beforeLines="0" w:afterLines="0"/>
        <w:ind w:left="0" w:firstLine="600" w:firstLineChars="200"/>
        <w:rPr>
          <w:rFonts w:ascii="宋体" w:hAnsi="宋体" w:cs="宋体"/>
          <w:sz w:val="30"/>
          <w:szCs w:val="30"/>
          <w:highlight w:val="none"/>
        </w:rPr>
      </w:pPr>
    </w:p>
    <w:p>
      <w:pPr>
        <w:pStyle w:val="80"/>
        <w:spacing w:beforeLines="0" w:afterLines="0"/>
        <w:ind w:left="0" w:firstLine="600" w:firstLineChars="200"/>
        <w:rPr>
          <w:rFonts w:ascii="宋体" w:hAnsi="宋体" w:cs="宋体"/>
          <w:sz w:val="30"/>
          <w:szCs w:val="30"/>
          <w:highlight w:val="none"/>
        </w:rPr>
      </w:pPr>
    </w:p>
    <w:p>
      <w:pPr>
        <w:pStyle w:val="80"/>
        <w:spacing w:beforeLines="0" w:afterLines="0"/>
        <w:ind w:left="0" w:firstLine="600" w:firstLineChars="200"/>
        <w:rPr>
          <w:rFonts w:ascii="宋体" w:hAnsi="宋体" w:cs="宋体"/>
          <w:sz w:val="30"/>
          <w:szCs w:val="30"/>
          <w:highlight w:val="none"/>
        </w:rPr>
      </w:pPr>
    </w:p>
    <w:p>
      <w:pPr>
        <w:pStyle w:val="80"/>
        <w:spacing w:beforeLines="0" w:afterLines="0" w:line="440" w:lineRule="exact"/>
        <w:ind w:left="0"/>
        <w:jc w:val="center"/>
        <w:rPr>
          <w:rFonts w:ascii="宋体" w:hAnsi="宋体" w:cs="宋体"/>
          <w:sz w:val="32"/>
          <w:szCs w:val="32"/>
          <w:highlight w:val="none"/>
        </w:rPr>
      </w:pPr>
      <w:r>
        <w:rPr>
          <w:rFonts w:hint="eastAsia" w:ascii="宋体" w:hAnsi="宋体" w:cs="宋体"/>
          <w:sz w:val="32"/>
          <w:szCs w:val="32"/>
          <w:highlight w:val="none"/>
        </w:rPr>
        <w:t>合同签订指引</w:t>
      </w:r>
    </w:p>
    <w:p>
      <w:pPr>
        <w:pStyle w:val="80"/>
        <w:spacing w:beforeLines="0" w:afterLines="0" w:line="440" w:lineRule="exact"/>
        <w:ind w:left="0"/>
        <w:rPr>
          <w:rFonts w:ascii="宋体" w:hAnsi="宋体" w:cs="宋体"/>
          <w:sz w:val="30"/>
          <w:szCs w:val="30"/>
          <w:highlight w:val="none"/>
        </w:rPr>
      </w:pP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一、采购人在签订合同时应提供的资料：</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1、该政府采购项目的招标采购文件（以网上发布内容为准）；</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2、该政府采购项目招标文件的澄清和修改内容（公告内容）；</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3、该政府采购项目评审报告；</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4、采购单位法人授权委托书（法人到场并签字的除外）；</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5、采购单位被授权人身份证件（法人到场并签字的除外）；</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6、采购人和中标供应商（或服务商，下同）约定的其它内容（不得超出招标采购文件实质性内容）。</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二、供应商在签订合同时应提供的资料：</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1、该政府采购项目的投标文件（纸质或DPF格式的电子投标文件）；</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2、针对该项目评审时评审委员会提出的质询答复（纸质并签章）；</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3、该政府采购项目中标通知书；</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4、供应商法人授权委托书（法人到场并签字的除外）；</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5、供应商被授权人身份证件（法人到场并签字的除外）；</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6、供应商和采购人约定的其它内容（不得超出招标采购文件实质性内容）。</w:t>
      </w:r>
    </w:p>
    <w:p>
      <w:pPr>
        <w:pStyle w:val="80"/>
        <w:spacing w:beforeLines="0" w:afterLines="0" w:line="440" w:lineRule="exact"/>
        <w:ind w:left="0" w:firstLine="420" w:firstLineChars="200"/>
        <w:rPr>
          <w:rFonts w:ascii="宋体" w:hAnsi="宋体" w:cs="宋体"/>
          <w:sz w:val="30"/>
          <w:szCs w:val="30"/>
          <w:highlight w:val="none"/>
        </w:rPr>
      </w:pPr>
      <w:r>
        <w:rPr>
          <w:rFonts w:hint="eastAsia" w:ascii="宋体" w:hAnsi="宋体" w:cs="宋体"/>
          <w:szCs w:val="21"/>
          <w:highlight w:val="none"/>
        </w:rPr>
        <w:t>三、本合同签订后二个工作日内有采购人在“周口市政府采购网”上进行合同公示。</w:t>
      </w:r>
    </w:p>
    <w:p>
      <w:pPr>
        <w:pStyle w:val="80"/>
        <w:spacing w:beforeLines="0" w:afterLines="0" w:line="440" w:lineRule="exact"/>
        <w:ind w:left="0"/>
        <w:jc w:val="center"/>
        <w:rPr>
          <w:rFonts w:ascii="宋体" w:hAnsi="宋体" w:cs="宋体"/>
          <w:bCs/>
          <w:sz w:val="32"/>
          <w:szCs w:val="32"/>
          <w:highlight w:val="none"/>
        </w:rPr>
      </w:pPr>
    </w:p>
    <w:p>
      <w:pPr>
        <w:pStyle w:val="80"/>
        <w:spacing w:beforeLines="0" w:afterLines="0" w:line="440" w:lineRule="exact"/>
        <w:ind w:left="0"/>
        <w:jc w:val="center"/>
        <w:rPr>
          <w:rFonts w:ascii="宋体" w:hAnsi="宋体" w:cs="宋体"/>
          <w:sz w:val="32"/>
          <w:szCs w:val="32"/>
          <w:highlight w:val="none"/>
        </w:rPr>
      </w:pPr>
      <w:r>
        <w:rPr>
          <w:rFonts w:hint="eastAsia" w:ascii="宋体" w:hAnsi="宋体" w:cs="宋体"/>
          <w:bCs/>
          <w:sz w:val="32"/>
          <w:szCs w:val="32"/>
          <w:highlight w:val="none"/>
        </w:rPr>
        <w:t>供应商履约验收指引</w:t>
      </w:r>
    </w:p>
    <w:p>
      <w:pPr>
        <w:pStyle w:val="80"/>
        <w:spacing w:beforeLines="0" w:afterLines="0" w:line="440" w:lineRule="exact"/>
        <w:ind w:left="0" w:firstLine="420" w:firstLineChars="200"/>
        <w:rPr>
          <w:rFonts w:ascii="宋体" w:hAnsi="宋体" w:cs="宋体"/>
          <w:szCs w:val="27"/>
          <w:highlight w:val="none"/>
        </w:rPr>
      </w:pPr>
      <w:r>
        <w:rPr>
          <w:rFonts w:hint="eastAsia" w:ascii="宋体" w:hAnsi="宋体" w:cs="宋体"/>
          <w:szCs w:val="21"/>
          <w:highlight w:val="none"/>
        </w:rPr>
        <w:t>1、供应商不得擅自变更合同标的服务内容；</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2、不得以次充优，随意降低服务标准和水平；</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3、对因客观上采购人采购需求发生变化造成的，应提供采、供双方的纸质备忘录材料；</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4、在满足验收条件5个工作日内通知采购人组织验收；</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5、供应商应提供需验收服务的清单、标准、达到的水平等量化资料；</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6、采、供双方约定的验收机构及相关人员组成情况。</w:t>
      </w:r>
    </w:p>
    <w:p>
      <w:pPr>
        <w:pStyle w:val="80"/>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7、督促采购人在项目验收结束并达到相关要求后一个工作日内，在“周口市政府采购网”上进行“履约验收”公示。</w:t>
      </w:r>
    </w:p>
    <w:p>
      <w:pPr>
        <w:pStyle w:val="5"/>
        <w:spacing w:line="500" w:lineRule="exact"/>
        <w:jc w:val="both"/>
        <w:rPr>
          <w:rFonts w:ascii="宋体" w:hAnsi="宋体" w:cs="宋体"/>
          <w:sz w:val="21"/>
          <w:szCs w:val="21"/>
          <w:highlight w:val="none"/>
        </w:rPr>
      </w:pPr>
    </w:p>
    <w:p>
      <w:pPr>
        <w:rPr>
          <w:rFonts w:ascii="宋体" w:hAnsi="宋体" w:cs="宋体"/>
          <w:sz w:val="21"/>
          <w:szCs w:val="21"/>
          <w:highlight w:val="none"/>
        </w:rPr>
      </w:pPr>
    </w:p>
    <w:p>
      <w:pPr>
        <w:pStyle w:val="2"/>
        <w:rPr>
          <w:highlight w:val="none"/>
        </w:rPr>
      </w:pPr>
    </w:p>
    <w:p>
      <w:pPr>
        <w:pStyle w:val="5"/>
        <w:spacing w:line="500" w:lineRule="exact"/>
        <w:rPr>
          <w:rFonts w:ascii="宋体" w:hAnsi="宋体" w:cs="宋体"/>
          <w:sz w:val="44"/>
          <w:szCs w:val="44"/>
          <w:highlight w:val="none"/>
        </w:rPr>
      </w:pPr>
      <w:r>
        <w:rPr>
          <w:rFonts w:hint="eastAsia" w:ascii="宋体" w:hAnsi="宋体" w:cs="宋体"/>
          <w:sz w:val="44"/>
          <w:szCs w:val="44"/>
          <w:highlight w:val="none"/>
        </w:rPr>
        <w:t>服务合同内容</w:t>
      </w:r>
    </w:p>
    <w:p>
      <w:pPr>
        <w:spacing w:line="360" w:lineRule="auto"/>
        <w:ind w:firstLine="420" w:firstLineChars="200"/>
        <w:rPr>
          <w:rFonts w:ascii="宋体" w:hAnsi="宋体" w:cs="宋体"/>
          <w:szCs w:val="27"/>
          <w:highlight w:val="none"/>
        </w:rPr>
      </w:pP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 xml:space="preserve">采购人（甲方）： </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供应商（乙方）：</w:t>
      </w: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签订地点：</w:t>
      </w: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项目名称：</w:t>
      </w: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项目编号：</w:t>
      </w:r>
    </w:p>
    <w:p>
      <w:pPr>
        <w:spacing w:line="360" w:lineRule="auto"/>
        <w:ind w:firstLine="420" w:firstLineChars="200"/>
        <w:rPr>
          <w:rFonts w:ascii="宋体" w:hAnsi="宋体" w:cs="宋体"/>
          <w:highlight w:val="none"/>
        </w:rPr>
      </w:pPr>
      <w:r>
        <w:rPr>
          <w:rFonts w:hint="eastAsia" w:ascii="宋体" w:hAnsi="宋体" w:cs="宋体"/>
          <w:szCs w:val="27"/>
          <w:highlight w:val="none"/>
        </w:rPr>
        <w:t>财政委托号：</w:t>
      </w:r>
      <w:r>
        <w:rPr>
          <w:rFonts w:hint="eastAsia" w:ascii="宋体" w:hAnsi="宋体" w:cs="宋体"/>
          <w:szCs w:val="27"/>
          <w:highlight w:val="none"/>
          <w:u w:val="single"/>
        </w:rPr>
        <w:t xml:space="preserve">      </w:t>
      </w:r>
      <w:r>
        <w:rPr>
          <w:rFonts w:hint="eastAsia" w:ascii="宋体" w:hAnsi="宋体" w:cs="宋体"/>
          <w:szCs w:val="27"/>
          <w:highlight w:val="none"/>
        </w:rPr>
        <w:t>(财政资金项目必须填写)</w:t>
      </w:r>
    </w:p>
    <w:p>
      <w:pPr>
        <w:spacing w:line="360" w:lineRule="auto"/>
        <w:ind w:firstLine="420" w:firstLineChars="200"/>
        <w:rPr>
          <w:rFonts w:ascii="宋体" w:hAnsi="宋体" w:cs="宋体"/>
          <w:highlight w:val="none"/>
        </w:rPr>
      </w:pPr>
      <w:r>
        <w:rPr>
          <w:rFonts w:hint="eastAsia" w:ascii="宋体" w:hAnsi="宋体" w:cs="宋体"/>
          <w:szCs w:val="27"/>
          <w:highlight w:val="none"/>
        </w:rPr>
        <w:t>本项目经批准采用</w:t>
      </w:r>
      <w:r>
        <w:rPr>
          <w:rFonts w:hint="eastAsia" w:ascii="宋体" w:hAnsi="宋体" w:cs="宋体"/>
          <w:szCs w:val="27"/>
          <w:highlight w:val="none"/>
          <w:u w:val="single"/>
        </w:rPr>
        <w:t xml:space="preserve">           </w:t>
      </w:r>
      <w:r>
        <w:rPr>
          <w:rFonts w:hint="eastAsia" w:ascii="宋体" w:hAnsi="宋体" w:cs="宋体"/>
          <w:szCs w:val="27"/>
          <w:highlight w:val="none"/>
        </w:rPr>
        <w:t>采购方式，经本项目评审委员会认真评审，决定将采购合同授予乙方。为进一步明确双方的责任，确保合同的顺利履行，根据《中华人民共和国采购法》、《</w:t>
      </w:r>
      <w:r>
        <w:rPr>
          <w:rFonts w:hint="eastAsia" w:ascii="宋体" w:hAnsi="宋体" w:cs="宋体"/>
          <w:szCs w:val="27"/>
          <w:highlight w:val="none"/>
          <w:lang w:eastAsia="zh-CN"/>
        </w:rPr>
        <w:t>中华人民共和国民法典</w:t>
      </w:r>
      <w:r>
        <w:rPr>
          <w:rFonts w:hint="eastAsia" w:ascii="宋体" w:hAnsi="宋体" w:cs="宋体"/>
          <w:szCs w:val="27"/>
          <w:highlight w:val="none"/>
        </w:rPr>
        <w:t>》之规定，经甲乙双方充分协商，特订立本合同，以便共同遵守。</w:t>
      </w:r>
    </w:p>
    <w:p>
      <w:pPr>
        <w:spacing w:line="360" w:lineRule="auto"/>
        <w:ind w:firstLine="422" w:firstLineChars="200"/>
        <w:rPr>
          <w:rFonts w:ascii="宋体" w:hAnsi="宋体" w:cs="宋体"/>
          <w:highlight w:val="none"/>
          <w:u w:val="single"/>
        </w:rPr>
      </w:pPr>
      <w:r>
        <w:rPr>
          <w:rFonts w:hint="eastAsia" w:ascii="宋体" w:hAnsi="宋体" w:cs="宋体"/>
          <w:b/>
          <w:bCs/>
          <w:szCs w:val="27"/>
          <w:highlight w:val="none"/>
        </w:rPr>
        <w:t>第一条</w:t>
      </w:r>
      <w:r>
        <w:rPr>
          <w:rFonts w:hint="eastAsia" w:ascii="宋体" w:hAnsi="宋体" w:cs="宋体"/>
          <w:szCs w:val="27"/>
          <w:highlight w:val="none"/>
        </w:rPr>
        <w:t>   服务的内容、标准、数量和价格：（若服务项目过多则见附表，如有附表则必须加盖印章）</w:t>
      </w:r>
    </w:p>
    <w:tbl>
      <w:tblPr>
        <w:tblStyle w:val="2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r>
              <w:rPr>
                <w:rFonts w:hint="eastAsia" w:ascii="宋体" w:hAnsi="宋体" w:cs="宋体"/>
                <w:highlight w:val="none"/>
              </w:rPr>
              <w:t>服务内容</w:t>
            </w:r>
          </w:p>
        </w:tc>
        <w:tc>
          <w:tcPr>
            <w:tcW w:w="1623" w:type="dxa"/>
          </w:tcPr>
          <w:p>
            <w:pPr>
              <w:spacing w:line="360" w:lineRule="auto"/>
              <w:ind w:firstLine="420" w:firstLineChars="200"/>
              <w:rPr>
                <w:rFonts w:ascii="宋体" w:hAnsi="宋体" w:cs="宋体"/>
                <w:highlight w:val="none"/>
              </w:rPr>
            </w:pPr>
            <w:r>
              <w:rPr>
                <w:rFonts w:hint="eastAsia" w:ascii="宋体" w:hAnsi="宋体" w:cs="宋体"/>
                <w:highlight w:val="none"/>
              </w:rPr>
              <w:t>标准水平</w:t>
            </w:r>
          </w:p>
        </w:tc>
        <w:tc>
          <w:tcPr>
            <w:tcW w:w="902" w:type="dxa"/>
          </w:tcPr>
          <w:p>
            <w:pPr>
              <w:spacing w:line="360" w:lineRule="auto"/>
              <w:rPr>
                <w:rFonts w:ascii="宋体" w:hAnsi="宋体" w:cs="宋体"/>
                <w:highlight w:val="none"/>
              </w:rPr>
            </w:pPr>
            <w:r>
              <w:rPr>
                <w:rFonts w:hint="eastAsia" w:ascii="宋体" w:hAnsi="宋体" w:cs="宋体"/>
                <w:highlight w:val="none"/>
              </w:rPr>
              <w:t>单位</w:t>
            </w:r>
          </w:p>
        </w:tc>
        <w:tc>
          <w:tcPr>
            <w:tcW w:w="902" w:type="dxa"/>
          </w:tcPr>
          <w:p>
            <w:pPr>
              <w:spacing w:line="360" w:lineRule="auto"/>
              <w:rPr>
                <w:rFonts w:ascii="宋体" w:hAnsi="宋体" w:cs="宋体"/>
                <w:highlight w:val="none"/>
              </w:rPr>
            </w:pPr>
            <w:r>
              <w:rPr>
                <w:rFonts w:hint="eastAsia" w:ascii="宋体" w:hAnsi="宋体" w:cs="宋体"/>
                <w:highlight w:val="none"/>
              </w:rPr>
              <w:t>数量</w:t>
            </w:r>
          </w:p>
        </w:tc>
        <w:tc>
          <w:tcPr>
            <w:tcW w:w="1071" w:type="dxa"/>
          </w:tcPr>
          <w:p>
            <w:pPr>
              <w:spacing w:line="360" w:lineRule="auto"/>
              <w:ind w:firstLine="420" w:firstLineChars="200"/>
              <w:rPr>
                <w:rFonts w:ascii="宋体" w:hAnsi="宋体" w:cs="宋体"/>
                <w:highlight w:val="none"/>
              </w:rPr>
            </w:pPr>
            <w:r>
              <w:rPr>
                <w:rFonts w:hint="eastAsia" w:ascii="宋体" w:hAnsi="宋体" w:cs="宋体"/>
                <w:highlight w:val="none"/>
              </w:rPr>
              <w:t>单价</w:t>
            </w:r>
          </w:p>
        </w:tc>
        <w:tc>
          <w:tcPr>
            <w:tcW w:w="1250" w:type="dxa"/>
          </w:tcPr>
          <w:p>
            <w:pPr>
              <w:spacing w:line="360" w:lineRule="auto"/>
              <w:ind w:firstLine="420" w:firstLineChars="200"/>
              <w:rPr>
                <w:rFonts w:ascii="宋体" w:hAnsi="宋体" w:cs="宋体"/>
                <w:highlight w:val="none"/>
              </w:rPr>
            </w:pPr>
            <w:r>
              <w:rPr>
                <w:rFonts w:hint="eastAsia" w:ascii="宋体" w:hAnsi="宋体" w:cs="宋体"/>
                <w:highlight w:val="none"/>
              </w:rPr>
              <w:t>小计</w:t>
            </w:r>
          </w:p>
        </w:tc>
        <w:tc>
          <w:tcPr>
            <w:tcW w:w="1106" w:type="dxa"/>
          </w:tcPr>
          <w:p>
            <w:pPr>
              <w:spacing w:line="360" w:lineRule="auto"/>
              <w:ind w:firstLine="420" w:firstLineChars="200"/>
              <w:rPr>
                <w:rFonts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p>
        </w:tc>
        <w:tc>
          <w:tcPr>
            <w:tcW w:w="1623"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1071" w:type="dxa"/>
          </w:tcPr>
          <w:p>
            <w:pPr>
              <w:spacing w:line="360" w:lineRule="auto"/>
              <w:ind w:firstLine="420" w:firstLineChars="200"/>
              <w:rPr>
                <w:rFonts w:ascii="宋体" w:hAnsi="宋体" w:cs="宋体"/>
                <w:highlight w:val="none"/>
              </w:rPr>
            </w:pPr>
          </w:p>
        </w:tc>
        <w:tc>
          <w:tcPr>
            <w:tcW w:w="1250" w:type="dxa"/>
          </w:tcPr>
          <w:p>
            <w:pPr>
              <w:spacing w:line="360" w:lineRule="auto"/>
              <w:ind w:firstLine="420" w:firstLineChars="200"/>
              <w:rPr>
                <w:rFonts w:ascii="宋体" w:hAnsi="宋体" w:cs="宋体"/>
                <w:highlight w:val="none"/>
              </w:rPr>
            </w:pPr>
          </w:p>
        </w:tc>
        <w:tc>
          <w:tcPr>
            <w:tcW w:w="1106" w:type="dxa"/>
          </w:tcPr>
          <w:p>
            <w:pPr>
              <w:spacing w:line="360" w:lineRule="auto"/>
              <w:ind w:firstLine="420" w:firstLineChars="20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p>
        </w:tc>
        <w:tc>
          <w:tcPr>
            <w:tcW w:w="1623"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1071" w:type="dxa"/>
          </w:tcPr>
          <w:p>
            <w:pPr>
              <w:spacing w:line="360" w:lineRule="auto"/>
              <w:ind w:firstLine="420" w:firstLineChars="200"/>
              <w:rPr>
                <w:rFonts w:ascii="宋体" w:hAnsi="宋体" w:cs="宋体"/>
                <w:highlight w:val="none"/>
              </w:rPr>
            </w:pPr>
          </w:p>
        </w:tc>
        <w:tc>
          <w:tcPr>
            <w:tcW w:w="1250" w:type="dxa"/>
          </w:tcPr>
          <w:p>
            <w:pPr>
              <w:spacing w:line="360" w:lineRule="auto"/>
              <w:ind w:firstLine="420" w:firstLineChars="200"/>
              <w:rPr>
                <w:rFonts w:ascii="宋体" w:hAnsi="宋体" w:cs="宋体"/>
                <w:highlight w:val="none"/>
              </w:rPr>
            </w:pPr>
          </w:p>
        </w:tc>
        <w:tc>
          <w:tcPr>
            <w:tcW w:w="1106" w:type="dxa"/>
          </w:tcPr>
          <w:p>
            <w:pPr>
              <w:spacing w:line="360" w:lineRule="auto"/>
              <w:ind w:firstLine="420" w:firstLineChars="20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p>
        </w:tc>
        <w:tc>
          <w:tcPr>
            <w:tcW w:w="1623"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1071" w:type="dxa"/>
          </w:tcPr>
          <w:p>
            <w:pPr>
              <w:spacing w:line="360" w:lineRule="auto"/>
              <w:ind w:firstLine="420" w:firstLineChars="200"/>
              <w:rPr>
                <w:rFonts w:ascii="宋体" w:hAnsi="宋体" w:cs="宋体"/>
                <w:highlight w:val="none"/>
              </w:rPr>
            </w:pPr>
          </w:p>
        </w:tc>
        <w:tc>
          <w:tcPr>
            <w:tcW w:w="1250" w:type="dxa"/>
          </w:tcPr>
          <w:p>
            <w:pPr>
              <w:spacing w:line="360" w:lineRule="auto"/>
              <w:ind w:firstLine="420" w:firstLineChars="200"/>
              <w:rPr>
                <w:rFonts w:ascii="宋体" w:hAnsi="宋体" w:cs="宋体"/>
                <w:highlight w:val="none"/>
              </w:rPr>
            </w:pPr>
          </w:p>
        </w:tc>
        <w:tc>
          <w:tcPr>
            <w:tcW w:w="1106" w:type="dxa"/>
          </w:tcPr>
          <w:p>
            <w:pPr>
              <w:spacing w:line="360" w:lineRule="auto"/>
              <w:ind w:firstLine="420" w:firstLineChars="20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20" w:firstLineChars="200"/>
              <w:rPr>
                <w:rFonts w:ascii="宋体" w:hAnsi="宋体" w:cs="宋体"/>
                <w:highlight w:val="none"/>
              </w:rPr>
            </w:pPr>
            <w:r>
              <w:rPr>
                <w:rFonts w:hint="eastAsia" w:ascii="宋体" w:hAnsi="宋体" w:cs="宋体"/>
                <w:highlight w:val="none"/>
              </w:rPr>
              <w:t>合同总价款（大小写）：</w:t>
            </w:r>
          </w:p>
          <w:p>
            <w:pPr>
              <w:spacing w:line="360" w:lineRule="auto"/>
              <w:ind w:firstLine="420" w:firstLineChars="200"/>
              <w:rPr>
                <w:rFonts w:ascii="宋体" w:hAnsi="宋体" w:cs="宋体"/>
                <w:highlight w:val="none"/>
              </w:rPr>
            </w:pPr>
            <w:r>
              <w:rPr>
                <w:rFonts w:hint="eastAsia" w:ascii="宋体" w:hAnsi="宋体" w:cs="宋体"/>
                <w:szCs w:val="28"/>
                <w:highlight w:val="none"/>
              </w:rPr>
              <w:t>备注：上述服务包含相关设备购置、人员工资及售后服务、税金、劳保基金、人员培训等费用。</w:t>
            </w:r>
          </w:p>
        </w:tc>
      </w:tr>
    </w:tbl>
    <w:p>
      <w:pPr>
        <w:spacing w:line="360" w:lineRule="auto"/>
        <w:ind w:firstLine="422" w:firstLineChars="200"/>
        <w:rPr>
          <w:rFonts w:ascii="宋体" w:hAnsi="宋体" w:cs="宋体"/>
          <w:highlight w:val="none"/>
        </w:rPr>
      </w:pPr>
      <w:r>
        <w:rPr>
          <w:rFonts w:hint="eastAsia" w:ascii="宋体" w:hAnsi="宋体" w:cs="宋体"/>
          <w:b/>
          <w:bCs/>
          <w:szCs w:val="27"/>
          <w:highlight w:val="none"/>
        </w:rPr>
        <w:t xml:space="preserve">第二条  </w:t>
      </w:r>
      <w:r>
        <w:rPr>
          <w:rFonts w:hint="eastAsia" w:ascii="宋体" w:hAnsi="宋体" w:cs="宋体"/>
          <w:szCs w:val="27"/>
          <w:highlight w:val="none"/>
        </w:rPr>
        <w:t>服务标准（包括达到的水平要求），按下列第（ ）项执行：</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①按国家标准执行；②按部颁标准执行；③若无以上标准，则应不低于同行业服务标准；④有特殊要求的，按甲乙双方在合同中商定的要求执行；</w:t>
      </w:r>
    </w:p>
    <w:p>
      <w:pPr>
        <w:spacing w:line="360" w:lineRule="auto"/>
        <w:ind w:firstLine="420" w:firstLineChars="200"/>
        <w:rPr>
          <w:rFonts w:ascii="宋体" w:hAnsi="宋体" w:cs="宋体"/>
          <w:szCs w:val="27"/>
          <w:highlight w:val="none"/>
          <w:u w:val="single"/>
        </w:rPr>
      </w:pPr>
      <w:r>
        <w:rPr>
          <w:rFonts w:hint="eastAsia" w:ascii="宋体" w:hAnsi="宋体" w:cs="宋体"/>
          <w:highlight w:val="none"/>
        </w:rPr>
        <w:t>乙方提供的服务标准和水平应与招标采购文件规定的标准和水平相一致。</w:t>
      </w:r>
    </w:p>
    <w:p>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第三条  </w:t>
      </w:r>
      <w:r>
        <w:rPr>
          <w:rFonts w:hint="eastAsia" w:ascii="宋体" w:hAnsi="宋体" w:cs="宋体"/>
          <w:szCs w:val="27"/>
          <w:highlight w:val="none"/>
        </w:rPr>
        <w:t>服务的方式、方法、、地点和期限</w:t>
      </w:r>
    </w:p>
    <w:p>
      <w:pPr>
        <w:spacing w:line="360" w:lineRule="auto"/>
        <w:ind w:firstLine="420" w:firstLineChars="200"/>
        <w:rPr>
          <w:rFonts w:ascii="宋体" w:hAnsi="宋体" w:cs="宋体"/>
          <w:highlight w:val="none"/>
        </w:rPr>
      </w:pPr>
      <w:r>
        <w:rPr>
          <w:rFonts w:hint="eastAsia" w:ascii="宋体" w:hAnsi="宋体" w:cs="宋体"/>
          <w:szCs w:val="27"/>
          <w:highlight w:val="none"/>
        </w:rPr>
        <w:t>1、服务方式：</w:t>
      </w:r>
    </w:p>
    <w:p>
      <w:pPr>
        <w:spacing w:line="360" w:lineRule="auto"/>
        <w:ind w:firstLine="420" w:firstLineChars="200"/>
        <w:rPr>
          <w:rFonts w:ascii="宋体" w:hAnsi="宋体" w:cs="宋体"/>
          <w:highlight w:val="none"/>
        </w:rPr>
      </w:pPr>
      <w:r>
        <w:rPr>
          <w:rFonts w:hint="eastAsia" w:ascii="宋体" w:hAnsi="宋体" w:cs="宋体"/>
          <w:highlight w:val="none"/>
        </w:rPr>
        <w:t>2、服务方法：</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2、服务地点：</w:t>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3、服务期限：</w:t>
      </w:r>
    </w:p>
    <w:p>
      <w:pPr>
        <w:spacing w:line="360" w:lineRule="auto"/>
        <w:ind w:firstLine="420" w:firstLineChars="200"/>
        <w:rPr>
          <w:rFonts w:ascii="宋体" w:hAnsi="宋体" w:cs="宋体"/>
          <w:highlight w:val="none"/>
        </w:rPr>
      </w:pPr>
      <w:r>
        <w:rPr>
          <w:rFonts w:hint="eastAsia" w:ascii="宋体" w:hAnsi="宋体" w:cs="宋体"/>
          <w:highlight w:val="none"/>
        </w:rPr>
        <w:t>第四条  费用及支付方式</w:t>
      </w:r>
    </w:p>
    <w:p>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(一)本项目费用有以下组成：</w:t>
      </w:r>
    </w:p>
    <w:p>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 xml:space="preserve"> 1、XX 万元；</w:t>
      </w:r>
    </w:p>
    <w:p>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 万元；</w:t>
      </w:r>
    </w:p>
    <w:p>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w:t>
      </w:r>
    </w:p>
    <w:p>
      <w:pPr>
        <w:pStyle w:val="11"/>
        <w:kinsoku w:val="0"/>
        <w:overflowPunct w:val="0"/>
        <w:ind w:firstLine="422" w:firstLineChars="200"/>
        <w:rPr>
          <w:rFonts w:ascii="宋体" w:hAnsi="宋体" w:cs="宋体"/>
          <w:b/>
          <w:highlight w:val="none"/>
        </w:rPr>
      </w:pPr>
      <w:r>
        <w:rPr>
          <w:rFonts w:hint="eastAsia" w:ascii="宋体" w:hAnsi="宋体" w:cs="宋体"/>
          <w:b/>
          <w:highlight w:val="none"/>
        </w:rPr>
        <w:t>(二)费用支付方式：</w:t>
      </w:r>
    </w:p>
    <w:p>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1、XXXX；</w:t>
      </w:r>
    </w:p>
    <w:p>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2、XXXX ；</w:t>
      </w:r>
    </w:p>
    <w:p>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3、在支付前甲方对乙方的服务进行考核或验收，合格的支付相应款 项。乙方须向甲方出具合法有效完整的完税发票及凭证资料进行支付结算。</w:t>
      </w:r>
    </w:p>
    <w:p>
      <w:pPr>
        <w:pStyle w:val="11"/>
        <w:kinsoku w:val="0"/>
        <w:overflowPunct w:val="0"/>
        <w:ind w:firstLine="422" w:firstLineChars="200"/>
        <w:rPr>
          <w:rFonts w:ascii="宋体" w:hAnsi="宋体" w:cs="宋体"/>
          <w:highlight w:val="none"/>
        </w:rPr>
      </w:pPr>
      <w:r>
        <w:rPr>
          <w:rFonts w:hint="eastAsia" w:ascii="宋体" w:hAnsi="宋体" w:cs="宋体"/>
          <w:b/>
          <w:highlight w:val="none"/>
        </w:rPr>
        <w:t xml:space="preserve">第五条  付款条件   </w:t>
      </w:r>
      <w:r>
        <w:rPr>
          <w:rFonts w:hint="eastAsia" w:ascii="宋体" w:hAnsi="宋体" w:cs="宋体"/>
          <w:highlight w:val="none"/>
        </w:rPr>
        <w:t xml:space="preserve">               </w:t>
      </w:r>
    </w:p>
    <w:p>
      <w:pPr>
        <w:spacing w:line="360" w:lineRule="auto"/>
        <w:ind w:firstLine="420" w:firstLineChars="200"/>
        <w:rPr>
          <w:rFonts w:ascii="宋体" w:hAnsi="宋体" w:cs="宋体"/>
          <w:highlight w:val="none"/>
        </w:rPr>
      </w:pPr>
      <w:r>
        <w:rPr>
          <w:rFonts w:hint="eastAsia" w:ascii="宋体" w:hAnsi="宋体" w:cs="宋体"/>
          <w:highlight w:val="none"/>
        </w:rPr>
        <w:t>本合同以人民币付款。</w:t>
      </w:r>
    </w:p>
    <w:p>
      <w:pPr>
        <w:spacing w:line="360" w:lineRule="auto"/>
        <w:ind w:firstLine="420" w:firstLineChars="200"/>
        <w:rPr>
          <w:rFonts w:ascii="宋体" w:hAnsi="宋体" w:cs="宋体"/>
          <w:highlight w:val="none"/>
        </w:rPr>
      </w:pPr>
      <w:r>
        <w:rPr>
          <w:rFonts w:hint="eastAsia" w:ascii="宋体" w:hAnsi="宋体" w:cs="宋体"/>
          <w:highlight w:val="none"/>
        </w:rPr>
        <w:t>该项目是否实行预付款：</w:t>
      </w:r>
    </w:p>
    <w:p>
      <w:pPr>
        <w:spacing w:line="360" w:lineRule="auto"/>
        <w:ind w:firstLine="420" w:firstLineChars="200"/>
        <w:rPr>
          <w:rFonts w:ascii="宋体" w:hAnsi="宋体" w:cs="宋体"/>
          <w:highlight w:val="none"/>
        </w:rPr>
      </w:pPr>
      <w:r>
        <w:rPr>
          <w:rFonts w:hint="eastAsia" w:ascii="宋体" w:hAnsi="宋体" w:cs="宋体"/>
          <w:highlight w:val="none"/>
        </w:rPr>
        <w:t>实行预付款的条件和比例：</w:t>
      </w:r>
    </w:p>
    <w:p>
      <w:pPr>
        <w:spacing w:line="360" w:lineRule="auto"/>
        <w:ind w:firstLine="420" w:firstLineChars="200"/>
        <w:rPr>
          <w:rFonts w:ascii="宋体" w:hAnsi="宋体" w:cs="宋体"/>
          <w:highlight w:val="none"/>
        </w:rPr>
      </w:pPr>
      <w:r>
        <w:rPr>
          <w:rFonts w:hint="eastAsia" w:ascii="宋体" w:hAnsi="宋体" w:cs="宋体"/>
          <w:highlight w:val="none"/>
        </w:rPr>
        <w:t xml:space="preserve">合同款项结算方式和支付比例：   </w:t>
      </w:r>
    </w:p>
    <w:p>
      <w:pPr>
        <w:spacing w:line="360" w:lineRule="auto"/>
        <w:ind w:firstLine="420" w:firstLineChars="200"/>
        <w:rPr>
          <w:rFonts w:ascii="宋体" w:hAnsi="宋体" w:cs="宋体"/>
          <w:highlight w:val="none"/>
          <w:u w:val="single"/>
        </w:rPr>
      </w:pPr>
      <w:r>
        <w:rPr>
          <w:rFonts w:hint="eastAsia" w:ascii="宋体" w:hAnsi="宋体" w:cs="宋体"/>
          <w:highlight w:val="none"/>
        </w:rPr>
        <w:t>(具体付款方式</w:t>
      </w:r>
      <w:r>
        <w:rPr>
          <w:rFonts w:hint="eastAsia" w:ascii="宋体" w:hAnsi="宋体" w:cs="宋体"/>
          <w:highlight w:val="none"/>
          <w:u w:val="single"/>
        </w:rPr>
        <w:t>按投标人须知前附表以及采、购双方的具体约定</w:t>
      </w:r>
    </w:p>
    <w:p>
      <w:pPr>
        <w:pStyle w:val="11"/>
        <w:kinsoku w:val="0"/>
        <w:overflowPunct w:val="0"/>
        <w:spacing w:line="364" w:lineRule="auto"/>
        <w:ind w:firstLine="422" w:firstLineChars="200"/>
        <w:rPr>
          <w:rFonts w:hint="eastAsia" w:ascii="宋体" w:hAnsi="宋体" w:eastAsia="宋体" w:cs="宋体"/>
          <w:b/>
          <w:highlight w:val="none"/>
        </w:rPr>
      </w:pPr>
      <w:r>
        <w:rPr>
          <w:rFonts w:hint="eastAsia" w:ascii="宋体" w:hAnsi="宋体" w:eastAsia="宋体" w:cs="宋体"/>
          <w:b/>
          <w:highlight w:val="none"/>
        </w:rPr>
        <w:t>第六条  验收方法</w:t>
      </w:r>
    </w:p>
    <w:p>
      <w:pPr>
        <w:spacing w:line="360" w:lineRule="auto"/>
        <w:ind w:firstLine="420" w:firstLineChars="200"/>
        <w:rPr>
          <w:rFonts w:ascii="宋体" w:hAnsi="宋体" w:cs="宋体"/>
          <w:highlight w:val="none"/>
        </w:rPr>
      </w:pPr>
      <w:r>
        <w:rPr>
          <w:rFonts w:hint="eastAsia" w:ascii="宋体" w:hAnsi="宋体" w:cs="宋体"/>
          <w:highlight w:val="none"/>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20" w:firstLineChars="200"/>
        <w:rPr>
          <w:rFonts w:ascii="宋体" w:hAnsi="宋体" w:cs="宋体"/>
          <w:highlight w:val="none"/>
        </w:rPr>
      </w:pPr>
      <w:r>
        <w:rPr>
          <w:rFonts w:hint="eastAsia" w:ascii="宋体" w:hAnsi="宋体" w:cs="宋体"/>
          <w:highlight w:val="none"/>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rFonts w:ascii="宋体" w:hAnsi="宋体" w:cs="宋体"/>
          <w:highlight w:val="none"/>
        </w:rPr>
      </w:pPr>
      <w:r>
        <w:rPr>
          <w:rFonts w:hint="eastAsia" w:ascii="宋体" w:hAnsi="宋体" w:cs="宋体"/>
          <w:highlight w:val="none"/>
        </w:rPr>
        <w:t>3、甲方视情况可以邀请参加本项目的其他投标人或者第三方机构参与验收，参与验收的投标人或者第三方机构的意见作为验收书的参考资料一并存档。</w:t>
      </w:r>
    </w:p>
    <w:p>
      <w:pPr>
        <w:spacing w:line="360" w:lineRule="auto"/>
        <w:ind w:firstLine="420" w:firstLineChars="200"/>
        <w:rPr>
          <w:rFonts w:ascii="宋体" w:hAnsi="宋体" w:cs="宋体"/>
          <w:highlight w:val="none"/>
        </w:rPr>
      </w:pPr>
      <w:r>
        <w:rPr>
          <w:rFonts w:hint="eastAsia" w:ascii="宋体" w:hAnsi="宋体" w:cs="宋体"/>
          <w:highlight w:val="none"/>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20" w:firstLineChars="200"/>
        <w:rPr>
          <w:rFonts w:ascii="宋体" w:hAnsi="宋体" w:cs="宋体"/>
          <w:highlight w:val="none"/>
        </w:rPr>
      </w:pPr>
      <w:r>
        <w:rPr>
          <w:rFonts w:hint="eastAsia" w:ascii="宋体" w:hAnsi="宋体" w:cs="宋体"/>
          <w:highlight w:val="none"/>
        </w:rPr>
        <w:t>检测、验收费用承担方式：</w:t>
      </w:r>
    </w:p>
    <w:p>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第七条 知识产权</w:t>
      </w:r>
    </w:p>
    <w:p>
      <w:pPr>
        <w:pStyle w:val="11"/>
        <w:kinsoku w:val="0"/>
        <w:overflowPunct w:val="0"/>
        <w:spacing w:line="364" w:lineRule="auto"/>
        <w:rPr>
          <w:rFonts w:hint="eastAsia" w:ascii="宋体" w:hAnsi="宋体" w:cs="宋体"/>
          <w:highlight w:val="none"/>
        </w:rPr>
      </w:pPr>
      <w:r>
        <w:rPr>
          <w:rFonts w:hint="eastAsia" w:ascii="宋体" w:hAnsi="宋体" w:cs="宋体"/>
          <w:highlight w:val="none"/>
        </w:rPr>
        <w:t>乙方应保证所提供的服务或其任何一部分均不会侵犯任何第三方的专利权、商标权或著作权。</w:t>
      </w:r>
    </w:p>
    <w:p>
      <w:pPr>
        <w:pStyle w:val="11"/>
        <w:kinsoku w:val="0"/>
        <w:overflowPunct w:val="0"/>
        <w:spacing w:line="364" w:lineRule="auto"/>
        <w:ind w:firstLine="422" w:firstLineChars="200"/>
        <w:rPr>
          <w:rFonts w:hint="eastAsia" w:ascii="宋体" w:hAnsi="宋体" w:eastAsia="宋体" w:cs="宋体"/>
          <w:b/>
          <w:highlight w:val="none"/>
        </w:rPr>
      </w:pPr>
      <w:r>
        <w:rPr>
          <w:rFonts w:hint="eastAsia" w:ascii="宋体" w:hAnsi="宋体" w:eastAsia="宋体" w:cs="宋体"/>
          <w:b/>
          <w:highlight w:val="none"/>
        </w:rPr>
        <w:t>第八条 无产权瑕疵条款</w:t>
      </w:r>
    </w:p>
    <w:p>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乙方保证所提供的服务的所有权完全属于乙方且无任何抵押、查封等产权瑕疵。如有产权瑕疵的，视为乙方违约。乙方应负担由此而产生的一切损失。</w:t>
      </w:r>
    </w:p>
    <w:p>
      <w:pPr>
        <w:pStyle w:val="11"/>
        <w:kinsoku w:val="0"/>
        <w:overflowPunct w:val="0"/>
        <w:spacing w:line="364" w:lineRule="auto"/>
        <w:ind w:firstLine="422" w:firstLineChars="200"/>
        <w:rPr>
          <w:rFonts w:hint="eastAsia" w:ascii="宋体" w:hAnsi="宋体" w:eastAsia="宋体" w:cs="宋体"/>
          <w:b/>
          <w:highlight w:val="none"/>
        </w:rPr>
      </w:pPr>
      <w:r>
        <w:rPr>
          <w:rFonts w:hint="eastAsia" w:ascii="宋体" w:hAnsi="宋体" w:eastAsia="宋体" w:cs="宋体"/>
          <w:b/>
          <w:highlight w:val="none"/>
        </w:rPr>
        <w:t>第九条  履约（或质量）保证金</w:t>
      </w:r>
    </w:p>
    <w:p>
      <w:pPr>
        <w:spacing w:line="360" w:lineRule="auto"/>
        <w:ind w:firstLine="420" w:firstLineChars="200"/>
        <w:rPr>
          <w:rFonts w:ascii="宋体" w:hAnsi="宋体" w:cs="宋体"/>
          <w:highlight w:val="none"/>
        </w:rPr>
      </w:pPr>
      <w:r>
        <w:rPr>
          <w:rFonts w:hint="eastAsia" w:ascii="宋体" w:hAnsi="宋体" w:cs="宋体"/>
          <w:highlight w:val="none"/>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20" w:firstLineChars="200"/>
        <w:rPr>
          <w:rFonts w:ascii="宋体" w:hAnsi="宋体" w:cs="宋体"/>
          <w:highlight w:val="none"/>
        </w:rPr>
      </w:pPr>
      <w:r>
        <w:rPr>
          <w:rFonts w:hint="eastAsia" w:ascii="宋体" w:hAnsi="宋体" w:cs="宋体"/>
          <w:highlight w:val="none"/>
        </w:rPr>
        <w:t>2.若确需质量保证金的，质量保证金不得超过合同总价款的5%</w:t>
      </w:r>
    </w:p>
    <w:p>
      <w:pPr>
        <w:spacing w:line="360" w:lineRule="auto"/>
        <w:ind w:firstLine="420" w:firstLineChars="200"/>
        <w:rPr>
          <w:rFonts w:ascii="宋体" w:hAnsi="宋体" w:cs="宋体"/>
          <w:highlight w:val="none"/>
        </w:rPr>
      </w:pPr>
      <w:r>
        <w:rPr>
          <w:rFonts w:hint="eastAsia" w:ascii="宋体" w:hAnsi="宋体" w:cs="宋体"/>
          <w:highlight w:val="none"/>
        </w:rPr>
        <w:t>3.如乙方未能履行其合同规定的任何义务，甲方有权从履约保证金中取得补偿。</w:t>
      </w:r>
    </w:p>
    <w:p>
      <w:pPr>
        <w:pStyle w:val="11"/>
        <w:kinsoku w:val="0"/>
        <w:overflowPunct w:val="0"/>
        <w:spacing w:line="364" w:lineRule="auto"/>
        <w:ind w:firstLine="422" w:firstLineChars="200"/>
        <w:rPr>
          <w:rFonts w:hint="eastAsia" w:ascii="宋体" w:hAnsi="宋体" w:eastAsia="宋体" w:cs="宋体"/>
          <w:b/>
          <w:highlight w:val="none"/>
        </w:rPr>
      </w:pPr>
      <w:r>
        <w:rPr>
          <w:rFonts w:hint="eastAsia" w:ascii="宋体" w:hAnsi="宋体" w:eastAsia="宋体" w:cs="宋体"/>
          <w:b/>
          <w:highlight w:val="none"/>
        </w:rPr>
        <w:t>第十条 甲方的权利和义务</w:t>
      </w:r>
    </w:p>
    <w:p>
      <w:pPr>
        <w:spacing w:line="360" w:lineRule="auto"/>
        <w:ind w:firstLine="420" w:firstLineChars="200"/>
        <w:rPr>
          <w:rFonts w:ascii="宋体" w:hAnsi="宋体" w:cs="宋体"/>
          <w:highlight w:val="none"/>
        </w:rPr>
      </w:pPr>
      <w:r>
        <w:rPr>
          <w:rFonts w:hint="eastAsia" w:ascii="宋体" w:hAnsi="宋体" w:cs="宋体"/>
          <w:highlight w:val="none"/>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ascii="宋体" w:hAnsi="宋体" w:cs="宋体"/>
          <w:highlight w:val="none"/>
        </w:rPr>
      </w:pPr>
      <w:r>
        <w:rPr>
          <w:rFonts w:hint="eastAsia" w:ascii="宋体" w:hAnsi="宋体" w:cs="宋体"/>
          <w:highlight w:val="none"/>
        </w:rPr>
        <w:t>2、甲方有权依据双方签订的考评办法对乙方提供的服务进行定期考评。当考评结果未达到标准时，有权依据考评办法约定的数额扣除履约保证金。</w:t>
      </w:r>
    </w:p>
    <w:p>
      <w:pPr>
        <w:spacing w:line="360" w:lineRule="auto"/>
        <w:ind w:firstLine="420" w:firstLineChars="200"/>
        <w:rPr>
          <w:rFonts w:ascii="宋体" w:hAnsi="宋体" w:cs="宋体"/>
          <w:highlight w:val="none"/>
        </w:rPr>
      </w:pPr>
      <w:r>
        <w:rPr>
          <w:rFonts w:hint="eastAsia" w:ascii="宋体" w:hAnsi="宋体" w:cs="宋体"/>
          <w:highlight w:val="none"/>
        </w:rPr>
        <w:t>3、负责检查监督乙方管理工作的实施及制度的执行情况。</w:t>
      </w:r>
    </w:p>
    <w:p>
      <w:pPr>
        <w:spacing w:line="360" w:lineRule="auto"/>
        <w:ind w:firstLine="420" w:firstLineChars="200"/>
        <w:rPr>
          <w:rFonts w:ascii="宋体" w:hAnsi="宋体" w:cs="宋体"/>
          <w:highlight w:val="none"/>
        </w:rPr>
      </w:pPr>
      <w:r>
        <w:rPr>
          <w:rFonts w:hint="eastAsia" w:ascii="宋体" w:hAnsi="宋体" w:cs="宋体"/>
          <w:highlight w:val="none"/>
        </w:rPr>
        <w:t>4、根据本合同规定，按时向乙方支付应付服务费用。</w:t>
      </w:r>
    </w:p>
    <w:p>
      <w:pPr>
        <w:spacing w:line="360" w:lineRule="auto"/>
        <w:ind w:firstLine="420" w:firstLineChars="200"/>
        <w:rPr>
          <w:rFonts w:ascii="宋体" w:hAnsi="宋体" w:cs="宋体"/>
          <w:highlight w:val="none"/>
        </w:rPr>
      </w:pPr>
      <w:r>
        <w:rPr>
          <w:rFonts w:hint="eastAsia" w:ascii="宋体" w:hAnsi="宋体" w:cs="宋体"/>
          <w:highlight w:val="none"/>
        </w:rPr>
        <w:t xml:space="preserve">5、国家法律、法规所规定由甲方承担的其他责任               </w:t>
      </w:r>
    </w:p>
    <w:p>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第十一条 乙方的权利和义务</w:t>
      </w:r>
    </w:p>
    <w:p>
      <w:pPr>
        <w:spacing w:line="360" w:lineRule="auto"/>
        <w:ind w:firstLine="420" w:firstLineChars="200"/>
        <w:rPr>
          <w:rFonts w:ascii="宋体" w:hAnsi="宋体" w:cs="宋体"/>
          <w:highlight w:val="none"/>
        </w:rPr>
      </w:pPr>
      <w:r>
        <w:rPr>
          <w:rFonts w:hint="eastAsia" w:ascii="宋体" w:hAnsi="宋体" w:cs="宋体"/>
          <w:highlight w:val="none"/>
        </w:rPr>
        <w:t>1、对本合同规定的委托服务范围内的项目享有管理权及服务义务。</w:t>
      </w:r>
    </w:p>
    <w:p>
      <w:pPr>
        <w:spacing w:line="360" w:lineRule="auto"/>
        <w:ind w:firstLine="420" w:firstLineChars="200"/>
        <w:rPr>
          <w:rFonts w:ascii="宋体" w:hAnsi="宋体" w:cs="宋体"/>
          <w:highlight w:val="none"/>
        </w:rPr>
      </w:pPr>
      <w:r>
        <w:rPr>
          <w:rFonts w:hint="eastAsia" w:ascii="宋体" w:hAnsi="宋体" w:cs="宋体"/>
          <w:highlight w:val="none"/>
        </w:rPr>
        <w:t>2、根据本合同的规定向甲方收取相关服务费用，并有权在本项目管理范围内管理及合理使用。</w:t>
      </w:r>
    </w:p>
    <w:p>
      <w:pPr>
        <w:spacing w:line="360" w:lineRule="auto"/>
        <w:ind w:firstLine="420" w:firstLineChars="200"/>
        <w:rPr>
          <w:rFonts w:ascii="宋体" w:hAnsi="宋体" w:cs="宋体"/>
          <w:highlight w:val="none"/>
        </w:rPr>
      </w:pPr>
      <w:r>
        <w:rPr>
          <w:rFonts w:hint="eastAsia" w:ascii="宋体" w:hAnsi="宋体" w:cs="宋体"/>
          <w:highlight w:val="none"/>
        </w:rPr>
        <w:t>3、及时向甲方通告本项目服务范围内有关服务的重大事项，及时配合处理投诉。</w:t>
      </w:r>
    </w:p>
    <w:p>
      <w:pPr>
        <w:spacing w:line="360" w:lineRule="auto"/>
        <w:ind w:firstLine="420" w:firstLineChars="200"/>
        <w:rPr>
          <w:rFonts w:ascii="宋体" w:hAnsi="宋体" w:cs="宋体"/>
          <w:highlight w:val="none"/>
        </w:rPr>
      </w:pPr>
      <w:r>
        <w:rPr>
          <w:rFonts w:hint="eastAsia" w:ascii="宋体" w:hAnsi="宋体" w:cs="宋体"/>
          <w:highlight w:val="none"/>
        </w:rPr>
        <w:t>4、接受项目行业管理部门及政府有关部门的指导，接受甲方的监督。</w:t>
      </w:r>
    </w:p>
    <w:p>
      <w:pPr>
        <w:spacing w:line="360" w:lineRule="auto"/>
        <w:ind w:firstLine="420" w:firstLineChars="200"/>
        <w:rPr>
          <w:rFonts w:ascii="宋体" w:hAnsi="宋体" w:cs="宋体"/>
          <w:highlight w:val="none"/>
        </w:rPr>
      </w:pPr>
      <w:r>
        <w:rPr>
          <w:rFonts w:hint="eastAsia" w:ascii="宋体" w:hAnsi="宋体" w:cs="宋体"/>
          <w:highlight w:val="none"/>
        </w:rPr>
        <w:t>5、国家法律、法规所规定由乙方承担的其它责任。</w:t>
      </w:r>
    </w:p>
    <w:p>
      <w:pPr>
        <w:pStyle w:val="11"/>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第十二条 违约责任</w:t>
      </w:r>
    </w:p>
    <w:p>
      <w:pPr>
        <w:pStyle w:val="11"/>
        <w:kinsoku w:val="0"/>
        <w:overflowPunct w:val="0"/>
        <w:ind w:firstLine="420" w:firstLineChars="200"/>
        <w:rPr>
          <w:rFonts w:ascii="宋体" w:hAnsi="宋体" w:cs="宋体"/>
          <w:highlight w:val="none"/>
        </w:rPr>
      </w:pPr>
      <w:r>
        <w:rPr>
          <w:rFonts w:hint="eastAsia" w:ascii="宋体" w:hAnsi="宋体" w:cs="宋体"/>
          <w:highlight w:val="none"/>
        </w:rPr>
        <w:t>1、甲乙双方必须遵守本合同并执行合同中的各项规定，保证本合同的正常履行。</w:t>
      </w:r>
    </w:p>
    <w:p>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2、甲方逾期付款的，除应及时付足款项外，应向乙方偿付欠款总额万分之 /天的违约金；逾期付款超过 天的，乙方有权终止合同。</w:t>
      </w:r>
    </w:p>
    <w:p>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11"/>
        <w:kinsoku w:val="0"/>
        <w:overflowPunct w:val="0"/>
        <w:spacing w:line="364" w:lineRule="auto"/>
        <w:ind w:firstLine="420" w:firstLineChars="200"/>
        <w:rPr>
          <w:rFonts w:ascii="宋体" w:hAnsi="宋体" w:cs="宋体"/>
          <w:highlight w:val="none"/>
        </w:rPr>
      </w:pPr>
      <w:r>
        <w:rPr>
          <w:rFonts w:hint="eastAsia" w:ascii="宋体" w:hAnsi="宋体" w:cs="宋体"/>
          <w:highlight w:val="none"/>
        </w:rPr>
        <w:t>4、变更、中止或者终止合同，有过错的一方应当承担赔偿责任，双方都有过错的，各自承担相应的责任。</w:t>
      </w:r>
    </w:p>
    <w:p>
      <w:pPr>
        <w:pStyle w:val="11"/>
        <w:kinsoku w:val="0"/>
        <w:overflowPunct w:val="0"/>
        <w:spacing w:line="364" w:lineRule="auto"/>
        <w:ind w:firstLine="422" w:firstLineChars="200"/>
        <w:rPr>
          <w:rFonts w:hint="eastAsia" w:ascii="宋体" w:hAnsi="宋体" w:eastAsia="宋体" w:cs="宋体"/>
          <w:b/>
          <w:highlight w:val="none"/>
        </w:rPr>
      </w:pPr>
      <w:r>
        <w:rPr>
          <w:rFonts w:hint="eastAsia" w:ascii="宋体" w:hAnsi="宋体" w:eastAsia="宋体" w:cs="宋体"/>
          <w:b/>
          <w:highlight w:val="none"/>
        </w:rPr>
        <w:t>第十三条 转让与分包</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除甲方事先书面同意外，乙方不得部分转让或全部转让其应履行的合同义务。</w:t>
      </w:r>
    </w:p>
    <w:p>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rFonts w:ascii="宋体" w:hAnsi="宋体" w:cs="宋体"/>
          <w:b/>
          <w:highlight w:val="none"/>
        </w:rPr>
      </w:pPr>
      <w:r>
        <w:rPr>
          <w:rFonts w:hint="eastAsia" w:ascii="宋体" w:hAnsi="宋体" w:cs="宋体"/>
          <w:b/>
          <w:bCs/>
          <w:szCs w:val="27"/>
          <w:highlight w:val="none"/>
        </w:rPr>
        <w:t xml:space="preserve">第十四条 </w:t>
      </w:r>
      <w:r>
        <w:rPr>
          <w:rFonts w:hint="eastAsia" w:ascii="宋体" w:hAnsi="宋体" w:cs="宋体"/>
          <w:bCs/>
          <w:highlight w:val="none"/>
        </w:rPr>
        <w:t>合同文件及资料的使用</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乙方在未经甲方同意的情况下，不得将合同、合同中的规定、有关计划、图纸、样本或甲方为上述内容向乙方提供的资料透露给任何人。</w:t>
      </w:r>
    </w:p>
    <w:p>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除非执行合同需要，在事先未得到甲方同意的情况下，乙方不得使用前款所列的任何文件和资料。</w:t>
      </w:r>
    </w:p>
    <w:p>
      <w:pPr>
        <w:pStyle w:val="11"/>
        <w:kinsoku w:val="0"/>
        <w:overflowPunct w:val="0"/>
        <w:spacing w:line="364" w:lineRule="auto"/>
        <w:ind w:firstLine="422" w:firstLineChars="200"/>
        <w:rPr>
          <w:rFonts w:hint="eastAsia" w:ascii="宋体" w:hAnsi="宋体" w:eastAsia="宋体" w:cs="宋体"/>
          <w:b/>
          <w:highlight w:val="none"/>
        </w:rPr>
      </w:pPr>
      <w:r>
        <w:rPr>
          <w:rFonts w:hint="eastAsia" w:ascii="宋体" w:hAnsi="宋体" w:eastAsia="宋体" w:cs="宋体"/>
          <w:b/>
          <w:highlight w:val="none"/>
        </w:rPr>
        <w:t>第十五条 不可抗力事件处理</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11"/>
        <w:kinsoku w:val="0"/>
        <w:overflowPunct w:val="0"/>
        <w:spacing w:line="364" w:lineRule="auto"/>
        <w:ind w:firstLine="422" w:firstLineChars="200"/>
        <w:rPr>
          <w:rFonts w:hint="eastAsia" w:ascii="宋体" w:hAnsi="宋体" w:eastAsia="宋体" w:cs="宋体"/>
          <w:b/>
          <w:highlight w:val="none"/>
        </w:rPr>
      </w:pPr>
      <w:r>
        <w:rPr>
          <w:rFonts w:hint="eastAsia" w:ascii="宋体" w:hAnsi="宋体" w:eastAsia="宋体" w:cs="宋体"/>
          <w:b/>
          <w:highlight w:val="none"/>
        </w:rPr>
        <w:t>第十六条 合同纠纷调处</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highlight w:val="none"/>
          <w:u w:val="single"/>
        </w:rPr>
        <w:t>周口仲裁委员会</w:t>
      </w:r>
      <w:r>
        <w:rPr>
          <w:rFonts w:hint="eastAsia" w:ascii="宋体" w:hAnsi="宋体" w:cs="宋体"/>
          <w:szCs w:val="27"/>
          <w:highlight w:val="none"/>
        </w:rPr>
        <w:t>申请仲裁。②向</w:t>
      </w:r>
      <w:r>
        <w:rPr>
          <w:rFonts w:hint="eastAsia" w:ascii="宋体" w:hAnsi="宋体" w:cs="宋体"/>
          <w:highlight w:val="none"/>
        </w:rPr>
        <w:t>合同签订地有级别管辖权的</w:t>
      </w:r>
      <w:r>
        <w:rPr>
          <w:rFonts w:hint="eastAsia" w:ascii="宋体" w:hAnsi="宋体" w:cs="宋体"/>
          <w:szCs w:val="27"/>
          <w:highlight w:val="none"/>
        </w:rPr>
        <w:t>人民法院起诉。</w:t>
      </w:r>
    </w:p>
    <w:p>
      <w:pPr>
        <w:pStyle w:val="4"/>
        <w:kinsoku w:val="0"/>
        <w:overflowPunct w:val="0"/>
        <w:ind w:firstLine="420" w:firstLineChars="200"/>
        <w:rPr>
          <w:rFonts w:ascii="宋体" w:hAnsi="宋体" w:cs="宋体"/>
          <w:b w:val="0"/>
          <w:bCs w:val="0"/>
          <w:kern w:val="2"/>
          <w:sz w:val="21"/>
          <w:szCs w:val="27"/>
          <w:highlight w:val="none"/>
        </w:rPr>
      </w:pPr>
      <w:r>
        <w:rPr>
          <w:rFonts w:hint="eastAsia" w:ascii="宋体" w:hAnsi="宋体" w:cs="宋体"/>
          <w:b w:val="0"/>
          <w:bCs w:val="0"/>
          <w:kern w:val="2"/>
          <w:sz w:val="21"/>
          <w:szCs w:val="27"/>
          <w:highlight w:val="none"/>
        </w:rPr>
        <w:t>3、甲、乙双方均有权利向本项目具有监管职能的政府采购监督管理部门举报反映对方在合同履约中的违法违纪行为。</w:t>
      </w:r>
    </w:p>
    <w:p>
      <w:pPr>
        <w:pStyle w:val="11"/>
        <w:kinsoku w:val="0"/>
        <w:overflowPunct w:val="0"/>
        <w:spacing w:line="364" w:lineRule="auto"/>
        <w:ind w:firstLine="422" w:firstLineChars="200"/>
        <w:rPr>
          <w:rFonts w:hint="eastAsia" w:ascii="宋体" w:hAnsi="宋体" w:eastAsia="宋体" w:cs="宋体"/>
          <w:b/>
          <w:highlight w:val="none"/>
        </w:rPr>
      </w:pPr>
      <w:r>
        <w:rPr>
          <w:rFonts w:hint="eastAsia" w:ascii="宋体" w:hAnsi="宋体" w:eastAsia="宋体" w:cs="宋体"/>
          <w:b/>
          <w:highlight w:val="none"/>
        </w:rPr>
        <w:t>第十七条 其他</w:t>
      </w:r>
    </w:p>
    <w:p>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 </w:t>
      </w:r>
      <w:r>
        <w:rPr>
          <w:rFonts w:hint="eastAsia" w:ascii="宋体" w:hAnsi="宋体" w:cs="宋体"/>
          <w:szCs w:val="27"/>
          <w:highlight w:val="none"/>
        </w:rPr>
        <w:t>下列关于周口市公共资源交易中心政府采购代理机构名称</w:t>
      </w:r>
      <w:r>
        <w:rPr>
          <w:rFonts w:hint="eastAsia" w:ascii="宋体" w:hAnsi="宋体" w:cs="宋体"/>
          <w:szCs w:val="27"/>
          <w:highlight w:val="none"/>
          <w:u w:val="single"/>
        </w:rPr>
        <w:t>某项目（项目编号：某编号）</w:t>
      </w:r>
      <w:r>
        <w:rPr>
          <w:rFonts w:hint="eastAsia" w:ascii="宋体" w:hAnsi="宋体" w:cs="宋体"/>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    </w:t>
      </w:r>
      <w:r>
        <w:rPr>
          <w:rFonts w:hint="eastAsia" w:ascii="宋体" w:hAnsi="宋体" w:cs="宋体"/>
          <w:highlight w:val="none"/>
        </w:rPr>
        <w:t>本合同一式</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rPr>
        <w:t>份，甲乙双方各执</w:t>
      </w:r>
      <w:r>
        <w:rPr>
          <w:rFonts w:hint="eastAsia" w:ascii="宋体" w:hAnsi="宋体" w:cs="宋体"/>
          <w:highlight w:val="none"/>
          <w:u w:val="single"/>
        </w:rPr>
        <w:t xml:space="preserve">   </w:t>
      </w:r>
      <w:r>
        <w:rPr>
          <w:rFonts w:hint="eastAsia" w:ascii="宋体" w:hAnsi="宋体" w:cs="宋体"/>
          <w:highlight w:val="none"/>
        </w:rPr>
        <w:t>份，自双方当事人签字盖章之日起生效。</w:t>
      </w:r>
    </w:p>
    <w:p>
      <w:pPr>
        <w:pStyle w:val="2"/>
        <w:ind w:firstLine="210"/>
        <w:rPr>
          <w:rFonts w:ascii="宋体" w:hAnsi="宋体" w:cs="宋体"/>
          <w:highlight w:val="none"/>
        </w:rPr>
      </w:pP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采购人（甲方）：    （公章）           供货人（乙方）：     （公章）  </w:t>
      </w:r>
    </w:p>
    <w:p>
      <w:pPr>
        <w:spacing w:line="360" w:lineRule="auto"/>
        <w:ind w:firstLine="420" w:firstLineChars="200"/>
        <w:rPr>
          <w:rFonts w:ascii="宋体" w:hAnsi="宋体" w:cs="宋体"/>
          <w:highlight w:val="none"/>
        </w:rPr>
      </w:pPr>
      <w:r>
        <w:rPr>
          <w:rFonts w:hint="eastAsia" w:ascii="宋体" w:hAnsi="宋体" w:cs="宋体"/>
          <w:szCs w:val="27"/>
          <w:highlight w:val="none"/>
        </w:rPr>
        <w:t>地址：                               地址：</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法定代表人：                         法定代表人：</w:t>
      </w:r>
    </w:p>
    <w:p>
      <w:pPr>
        <w:spacing w:line="360" w:lineRule="auto"/>
        <w:ind w:firstLine="420" w:firstLineChars="200"/>
        <w:rPr>
          <w:rFonts w:ascii="宋体" w:hAnsi="宋体" w:cs="宋体"/>
          <w:highlight w:val="none"/>
          <w:u w:val="single"/>
        </w:rPr>
      </w:pPr>
      <w:r>
        <w:rPr>
          <w:rFonts w:hint="eastAsia" w:ascii="宋体" w:hAnsi="宋体" w:cs="宋体"/>
          <w:szCs w:val="27"/>
          <w:highlight w:val="none"/>
        </w:rPr>
        <w:t>委托代理人：                         委托代理人：</w:t>
      </w:r>
    </w:p>
    <w:p>
      <w:pPr>
        <w:spacing w:line="360" w:lineRule="auto"/>
        <w:ind w:firstLine="420" w:firstLineChars="200"/>
        <w:rPr>
          <w:rFonts w:ascii="宋体" w:hAnsi="宋体" w:cs="宋体"/>
          <w:highlight w:val="none"/>
        </w:rPr>
      </w:pPr>
      <w:r>
        <w:rPr>
          <w:rFonts w:hint="eastAsia" w:ascii="宋体" w:hAnsi="宋体" w:cs="宋体"/>
          <w:highlight w:val="none"/>
        </w:rPr>
        <w:t>电话：                               电话：</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开户银行：                           开户银行：</w:t>
      </w:r>
    </w:p>
    <w:p>
      <w:pPr>
        <w:spacing w:line="360" w:lineRule="auto"/>
        <w:ind w:firstLine="420" w:firstLineChars="200"/>
        <w:rPr>
          <w:rFonts w:ascii="宋体" w:hAnsi="宋体" w:cs="宋体"/>
          <w:highlight w:val="none"/>
        </w:rPr>
      </w:pPr>
      <w:r>
        <w:rPr>
          <w:rFonts w:hint="eastAsia" w:ascii="宋体" w:hAnsi="宋体" w:cs="宋体"/>
          <w:szCs w:val="27"/>
          <w:highlight w:val="none"/>
        </w:rPr>
        <w:t>账号：                               账号：</w:t>
      </w:r>
    </w:p>
    <w:p>
      <w:pPr>
        <w:spacing w:line="640" w:lineRule="exact"/>
        <w:ind w:firstLine="420" w:firstLineChars="200"/>
        <w:rPr>
          <w:rFonts w:ascii="宋体" w:hAnsi="宋体" w:cs="宋体"/>
          <w:szCs w:val="27"/>
          <w:highlight w:val="none"/>
          <w:u w:val="single"/>
        </w:rPr>
      </w:pPr>
    </w:p>
    <w:p>
      <w:pPr>
        <w:pStyle w:val="2"/>
        <w:ind w:firstLine="210"/>
        <w:jc w:val="both"/>
        <w:rPr>
          <w:b/>
          <w:sz w:val="32"/>
          <w:szCs w:val="32"/>
          <w:highlight w:val="none"/>
        </w:rPr>
      </w:pPr>
      <w:r>
        <w:rPr>
          <w:rFonts w:hint="eastAsia" w:ascii="宋体" w:hAnsi="宋体" w:cs="宋体"/>
          <w:szCs w:val="27"/>
          <w:highlight w:val="none"/>
          <w:u w:val="single"/>
        </w:rPr>
        <w:t>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 xml:space="preserve">日       </w:t>
      </w:r>
      <w:r>
        <w:rPr>
          <w:rFonts w:hint="eastAsia" w:ascii="宋体" w:hAnsi="宋体" w:cs="宋体"/>
          <w:szCs w:val="27"/>
          <w:highlight w:val="none"/>
          <w:lang w:val="en-US" w:eastAsia="zh-CN"/>
        </w:rPr>
        <w:t xml:space="preserve">   </w:t>
      </w:r>
      <w:r>
        <w:rPr>
          <w:rFonts w:hint="eastAsia" w:ascii="宋体" w:hAnsi="宋体" w:cs="宋体"/>
          <w:szCs w:val="27"/>
          <w:highlight w:val="none"/>
        </w:rPr>
        <w:t xml:space="preserve">   </w:t>
      </w:r>
      <w:r>
        <w:rPr>
          <w:rFonts w:hint="eastAsia" w:ascii="宋体" w:hAnsi="宋体" w:cs="宋体"/>
          <w:szCs w:val="27"/>
          <w:highlight w:val="none"/>
          <w:u w:val="single"/>
        </w:rPr>
        <w:t xml:space="preserve">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w:t>
      </w:r>
      <w:r>
        <w:rPr>
          <w:rFonts w:hint="eastAsia" w:ascii="宋体" w:hAnsi="宋体" w:cs="宋体"/>
          <w:szCs w:val="27"/>
          <w:highlight w:val="none"/>
          <w:u w:val="single"/>
          <w:lang w:val="en-US" w:eastAsia="zh-CN"/>
        </w:rPr>
        <w:t xml:space="preserve">   </w:t>
      </w:r>
      <w:r>
        <w:rPr>
          <w:rFonts w:hint="eastAsia" w:ascii="宋体" w:hAnsi="宋体" w:cs="宋体"/>
          <w:szCs w:val="27"/>
          <w:highlight w:val="none"/>
          <w:u w:val="single"/>
        </w:rPr>
        <w:t xml:space="preserve"> </w:t>
      </w:r>
      <w:r>
        <w:rPr>
          <w:rFonts w:hint="eastAsia" w:ascii="宋体" w:hAnsi="宋体" w:cs="宋体"/>
          <w:szCs w:val="27"/>
          <w:highlight w:val="none"/>
          <w:u w:val="single"/>
          <w:lang w:val="en-US" w:eastAsia="zh-CN"/>
        </w:rPr>
        <w:t xml:space="preserve"> </w:t>
      </w:r>
      <w:r>
        <w:rPr>
          <w:rFonts w:hint="eastAsia" w:ascii="宋体" w:hAnsi="宋体" w:cs="宋体"/>
          <w:szCs w:val="27"/>
          <w:highlight w:val="none"/>
        </w:rPr>
        <w:t>日</w:t>
      </w:r>
    </w:p>
    <w:p>
      <w:pPr>
        <w:pStyle w:val="2"/>
        <w:ind w:firstLine="321"/>
        <w:jc w:val="center"/>
        <w:rPr>
          <w:b/>
          <w:sz w:val="32"/>
          <w:szCs w:val="32"/>
          <w:highlight w:val="none"/>
        </w:rPr>
      </w:pPr>
    </w:p>
    <w:p>
      <w:pPr>
        <w:pStyle w:val="2"/>
        <w:ind w:firstLine="321"/>
        <w:jc w:val="center"/>
        <w:rPr>
          <w:b/>
          <w:sz w:val="32"/>
          <w:szCs w:val="32"/>
          <w:highlight w:val="none"/>
        </w:rPr>
      </w:pPr>
    </w:p>
    <w:p>
      <w:pPr>
        <w:pStyle w:val="2"/>
        <w:ind w:firstLine="321"/>
        <w:jc w:val="center"/>
        <w:rPr>
          <w:b/>
          <w:sz w:val="32"/>
          <w:szCs w:val="32"/>
          <w:highlight w:val="none"/>
        </w:rPr>
      </w:pPr>
    </w:p>
    <w:p>
      <w:pPr>
        <w:pStyle w:val="2"/>
        <w:ind w:firstLine="321"/>
        <w:jc w:val="center"/>
        <w:rPr>
          <w:b/>
          <w:sz w:val="32"/>
          <w:szCs w:val="32"/>
          <w:highlight w:val="none"/>
        </w:rPr>
      </w:pPr>
    </w:p>
    <w:p>
      <w:pPr>
        <w:pStyle w:val="2"/>
        <w:ind w:firstLine="321"/>
        <w:jc w:val="center"/>
        <w:rPr>
          <w:b/>
          <w:sz w:val="32"/>
          <w:szCs w:val="32"/>
          <w:highlight w:val="none"/>
        </w:rPr>
      </w:pPr>
      <w:r>
        <w:rPr>
          <w:rFonts w:hint="eastAsia"/>
          <w:b/>
          <w:sz w:val="32"/>
          <w:szCs w:val="32"/>
          <w:highlight w:val="none"/>
        </w:rPr>
        <w:t>周口市政府采购合同融资政策告知函</w:t>
      </w:r>
    </w:p>
    <w:p>
      <w:pPr>
        <w:pStyle w:val="2"/>
        <w:ind w:firstLine="240"/>
        <w:rPr>
          <w:rFonts w:asciiTheme="minorEastAsia" w:hAnsiTheme="minorEastAsia" w:eastAsiaTheme="minorEastAsia"/>
          <w:sz w:val="24"/>
          <w:highlight w:val="none"/>
        </w:rPr>
      </w:pPr>
    </w:p>
    <w:p>
      <w:pPr>
        <w:pStyle w:val="2"/>
        <w:ind w:firstLine="240"/>
        <w:rPr>
          <w:rFonts w:asciiTheme="minorEastAsia" w:hAnsiTheme="minorEastAsia" w:eastAsiaTheme="minorEastAsia"/>
          <w:sz w:val="24"/>
          <w:highlight w:val="none"/>
        </w:rPr>
      </w:pPr>
    </w:p>
    <w:p>
      <w:pPr>
        <w:pStyle w:val="2"/>
        <w:ind w:firstLine="240"/>
        <w:rPr>
          <w:rFonts w:asciiTheme="minorEastAsia" w:hAnsiTheme="minorEastAsia" w:eastAsiaTheme="minorEastAsia"/>
          <w:sz w:val="24"/>
          <w:highlight w:val="none"/>
        </w:rPr>
      </w:pPr>
    </w:p>
    <w:p>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6"/>
        <w:spacing w:before="0" w:beforeAutospacing="0" w:after="0" w:afterAutospacing="0" w:line="330" w:lineRule="atLeast"/>
        <w:rPr>
          <w:rFonts w:cs="仿宋_GB2312"/>
          <w:b/>
          <w:bCs/>
          <w:color w:val="0000FF"/>
          <w:sz w:val="21"/>
          <w:szCs w:val="21"/>
          <w:highlight w:val="none"/>
        </w:rPr>
      </w:pPr>
    </w:p>
    <w:p>
      <w:pPr>
        <w:pStyle w:val="2"/>
        <w:ind w:firstLine="210"/>
        <w:rPr>
          <w:highlight w:val="none"/>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spacing w:line="160" w:lineRule="atLeast"/>
      <w:jc w:val="both"/>
      <w:rPr>
        <w:rFonts w:hint="eastAsia"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DDBCD"/>
    <w:multiLevelType w:val="singleLevel"/>
    <w:tmpl w:val="FD8DDBCD"/>
    <w:lvl w:ilvl="0" w:tentative="0">
      <w:start w:val="2"/>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4C2604"/>
    <w:multiLevelType w:val="singleLevel"/>
    <w:tmpl w:val="144C2604"/>
    <w:lvl w:ilvl="0" w:tentative="0">
      <w:start w:val="3"/>
      <w:numFmt w:val="chineseCounting"/>
      <w:suff w:val="space"/>
      <w:lvlText w:val="第%1章"/>
      <w:lvlJc w:val="left"/>
      <w:rPr>
        <w:rFonts w:hint="eastAsia"/>
      </w:rPr>
    </w:lvl>
  </w:abstractNum>
  <w:abstractNum w:abstractNumId="5">
    <w:nsid w:val="1A07DFA7"/>
    <w:multiLevelType w:val="singleLevel"/>
    <w:tmpl w:val="1A07DFA7"/>
    <w:lvl w:ilvl="0" w:tentative="0">
      <w:start w:val="1"/>
      <w:numFmt w:val="chineseCounting"/>
      <w:suff w:val="space"/>
      <w:lvlText w:val="第%1章"/>
      <w:lvlJc w:val="left"/>
      <w:rPr>
        <w:rFonts w:hint="eastAsia"/>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I1ZTI5OWQ4NDQ5ZWE1OGEyZGYyMmUxNGJiZTRhOW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4AE1"/>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645F8"/>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0D427B"/>
    <w:rsid w:val="012B64AF"/>
    <w:rsid w:val="01697C6D"/>
    <w:rsid w:val="017C3055"/>
    <w:rsid w:val="02044C7F"/>
    <w:rsid w:val="02A14C7A"/>
    <w:rsid w:val="02B07FF7"/>
    <w:rsid w:val="02EE1D94"/>
    <w:rsid w:val="030A0A85"/>
    <w:rsid w:val="03125B78"/>
    <w:rsid w:val="03166D5E"/>
    <w:rsid w:val="03733BDF"/>
    <w:rsid w:val="03912F41"/>
    <w:rsid w:val="039A118A"/>
    <w:rsid w:val="039A36A3"/>
    <w:rsid w:val="039D57BB"/>
    <w:rsid w:val="03A308DC"/>
    <w:rsid w:val="03B31109"/>
    <w:rsid w:val="03CF75C5"/>
    <w:rsid w:val="040532BA"/>
    <w:rsid w:val="04176582"/>
    <w:rsid w:val="0422101C"/>
    <w:rsid w:val="04245B63"/>
    <w:rsid w:val="04F24628"/>
    <w:rsid w:val="051259ED"/>
    <w:rsid w:val="05173E06"/>
    <w:rsid w:val="05772978"/>
    <w:rsid w:val="05BD626F"/>
    <w:rsid w:val="063C3AB1"/>
    <w:rsid w:val="064A73D7"/>
    <w:rsid w:val="067B1C86"/>
    <w:rsid w:val="06C158EB"/>
    <w:rsid w:val="07041580"/>
    <w:rsid w:val="074D7F9D"/>
    <w:rsid w:val="07932A4C"/>
    <w:rsid w:val="07C54FE7"/>
    <w:rsid w:val="08674270"/>
    <w:rsid w:val="08684CE0"/>
    <w:rsid w:val="08DB1CFF"/>
    <w:rsid w:val="09442803"/>
    <w:rsid w:val="094654D0"/>
    <w:rsid w:val="09CB4CD3"/>
    <w:rsid w:val="09F61D50"/>
    <w:rsid w:val="0A110938"/>
    <w:rsid w:val="0A614AF3"/>
    <w:rsid w:val="0A8C6210"/>
    <w:rsid w:val="0A951569"/>
    <w:rsid w:val="0A9E30AD"/>
    <w:rsid w:val="0AA417AC"/>
    <w:rsid w:val="0AC17045"/>
    <w:rsid w:val="0B1F0E32"/>
    <w:rsid w:val="0B330D82"/>
    <w:rsid w:val="0B4C599F"/>
    <w:rsid w:val="0BB755DC"/>
    <w:rsid w:val="0BEB3B44"/>
    <w:rsid w:val="0C0644C0"/>
    <w:rsid w:val="0CD02BA2"/>
    <w:rsid w:val="0D5F73F3"/>
    <w:rsid w:val="0D660F9A"/>
    <w:rsid w:val="0DC83A03"/>
    <w:rsid w:val="0DCF2F9A"/>
    <w:rsid w:val="0DFA16E3"/>
    <w:rsid w:val="0DFB758E"/>
    <w:rsid w:val="0E5B6625"/>
    <w:rsid w:val="0EA224A6"/>
    <w:rsid w:val="0ED22074"/>
    <w:rsid w:val="0ED5188C"/>
    <w:rsid w:val="0EF93080"/>
    <w:rsid w:val="0EFB3964"/>
    <w:rsid w:val="0F1210E4"/>
    <w:rsid w:val="0F5C575C"/>
    <w:rsid w:val="0F663CA6"/>
    <w:rsid w:val="0F6A2898"/>
    <w:rsid w:val="0F9B2C15"/>
    <w:rsid w:val="0FAB4813"/>
    <w:rsid w:val="0FDA17CC"/>
    <w:rsid w:val="10596B94"/>
    <w:rsid w:val="10615A49"/>
    <w:rsid w:val="10B45C74"/>
    <w:rsid w:val="10D62AA4"/>
    <w:rsid w:val="11554013"/>
    <w:rsid w:val="117F2E0D"/>
    <w:rsid w:val="11C444E1"/>
    <w:rsid w:val="11F56D91"/>
    <w:rsid w:val="11FE14E8"/>
    <w:rsid w:val="12BA2CA3"/>
    <w:rsid w:val="12EF18A5"/>
    <w:rsid w:val="12F17558"/>
    <w:rsid w:val="12F26E2C"/>
    <w:rsid w:val="13552B79"/>
    <w:rsid w:val="13793DF7"/>
    <w:rsid w:val="13B55464"/>
    <w:rsid w:val="13E52A91"/>
    <w:rsid w:val="13FD0ED0"/>
    <w:rsid w:val="141C4A83"/>
    <w:rsid w:val="14333BA0"/>
    <w:rsid w:val="14354A58"/>
    <w:rsid w:val="14677422"/>
    <w:rsid w:val="14A53E9C"/>
    <w:rsid w:val="14DE3B0C"/>
    <w:rsid w:val="14FB5517"/>
    <w:rsid w:val="150D257F"/>
    <w:rsid w:val="152E6B10"/>
    <w:rsid w:val="153B1DB4"/>
    <w:rsid w:val="1548367B"/>
    <w:rsid w:val="159E5735"/>
    <w:rsid w:val="15A5462A"/>
    <w:rsid w:val="15BF1042"/>
    <w:rsid w:val="15F61910"/>
    <w:rsid w:val="16297009"/>
    <w:rsid w:val="1656732A"/>
    <w:rsid w:val="167D7355"/>
    <w:rsid w:val="17C4348D"/>
    <w:rsid w:val="17D15BAA"/>
    <w:rsid w:val="17F555C0"/>
    <w:rsid w:val="1803137F"/>
    <w:rsid w:val="181939B9"/>
    <w:rsid w:val="186662F2"/>
    <w:rsid w:val="189F10C5"/>
    <w:rsid w:val="18D74DC1"/>
    <w:rsid w:val="19996254"/>
    <w:rsid w:val="1A044015"/>
    <w:rsid w:val="1A1104E0"/>
    <w:rsid w:val="1AB70AF4"/>
    <w:rsid w:val="1AED58EF"/>
    <w:rsid w:val="1B155132"/>
    <w:rsid w:val="1B6E4546"/>
    <w:rsid w:val="1B8D410D"/>
    <w:rsid w:val="1BDE207F"/>
    <w:rsid w:val="1C1E0C92"/>
    <w:rsid w:val="1C2C1601"/>
    <w:rsid w:val="1CCF5E36"/>
    <w:rsid w:val="1D232A04"/>
    <w:rsid w:val="1D385D84"/>
    <w:rsid w:val="1DCD471E"/>
    <w:rsid w:val="1E002D45"/>
    <w:rsid w:val="1E2A4E6B"/>
    <w:rsid w:val="1E4116A8"/>
    <w:rsid w:val="1E5E181A"/>
    <w:rsid w:val="1EAD7F21"/>
    <w:rsid w:val="1F397F3B"/>
    <w:rsid w:val="1F3A0BB5"/>
    <w:rsid w:val="1F3B03AF"/>
    <w:rsid w:val="1F5C3FAB"/>
    <w:rsid w:val="1FA92FCB"/>
    <w:rsid w:val="1FDE3E4D"/>
    <w:rsid w:val="20031B05"/>
    <w:rsid w:val="20193BC8"/>
    <w:rsid w:val="207E43F5"/>
    <w:rsid w:val="20B44934"/>
    <w:rsid w:val="20C067BC"/>
    <w:rsid w:val="20C53DD2"/>
    <w:rsid w:val="214C62A1"/>
    <w:rsid w:val="217C26E3"/>
    <w:rsid w:val="218477E9"/>
    <w:rsid w:val="21974C34"/>
    <w:rsid w:val="21BA6164"/>
    <w:rsid w:val="21D62AEB"/>
    <w:rsid w:val="21F36C2E"/>
    <w:rsid w:val="220152DE"/>
    <w:rsid w:val="220D398C"/>
    <w:rsid w:val="2301566F"/>
    <w:rsid w:val="235D6544"/>
    <w:rsid w:val="23867849"/>
    <w:rsid w:val="23957430"/>
    <w:rsid w:val="24165293"/>
    <w:rsid w:val="2482721D"/>
    <w:rsid w:val="249B7324"/>
    <w:rsid w:val="24A10BF5"/>
    <w:rsid w:val="24D70B68"/>
    <w:rsid w:val="25401C79"/>
    <w:rsid w:val="25640408"/>
    <w:rsid w:val="260E1D77"/>
    <w:rsid w:val="26176E7E"/>
    <w:rsid w:val="262275D1"/>
    <w:rsid w:val="265D1C24"/>
    <w:rsid w:val="26AB07CC"/>
    <w:rsid w:val="26F60AAA"/>
    <w:rsid w:val="270513CC"/>
    <w:rsid w:val="27271343"/>
    <w:rsid w:val="27577C10"/>
    <w:rsid w:val="27857866"/>
    <w:rsid w:val="287405B8"/>
    <w:rsid w:val="287B63A6"/>
    <w:rsid w:val="28F363AB"/>
    <w:rsid w:val="29613C02"/>
    <w:rsid w:val="29982084"/>
    <w:rsid w:val="299C71A4"/>
    <w:rsid w:val="2A0239A1"/>
    <w:rsid w:val="2A050A91"/>
    <w:rsid w:val="2A397C18"/>
    <w:rsid w:val="2A5015D5"/>
    <w:rsid w:val="2A8A2314"/>
    <w:rsid w:val="2ACB2735"/>
    <w:rsid w:val="2AE042A1"/>
    <w:rsid w:val="2AF63392"/>
    <w:rsid w:val="2B2F07C6"/>
    <w:rsid w:val="2B34402E"/>
    <w:rsid w:val="2B7E6F24"/>
    <w:rsid w:val="2BA67492"/>
    <w:rsid w:val="2BAA609E"/>
    <w:rsid w:val="2BE55328"/>
    <w:rsid w:val="2C004D5A"/>
    <w:rsid w:val="2C37319A"/>
    <w:rsid w:val="2C5A7AC4"/>
    <w:rsid w:val="2C66791C"/>
    <w:rsid w:val="2C7E172C"/>
    <w:rsid w:val="2C9D13B6"/>
    <w:rsid w:val="2CB371D5"/>
    <w:rsid w:val="2CC3566A"/>
    <w:rsid w:val="2D221D01"/>
    <w:rsid w:val="2D676A80"/>
    <w:rsid w:val="2D7A3266"/>
    <w:rsid w:val="2D820DFF"/>
    <w:rsid w:val="2E110657"/>
    <w:rsid w:val="2E443194"/>
    <w:rsid w:val="2EB7798C"/>
    <w:rsid w:val="2F1C5505"/>
    <w:rsid w:val="2F4D1B62"/>
    <w:rsid w:val="2F5F2B72"/>
    <w:rsid w:val="2FC7668E"/>
    <w:rsid w:val="2FDE08BB"/>
    <w:rsid w:val="30041A89"/>
    <w:rsid w:val="300E12F2"/>
    <w:rsid w:val="30BA3228"/>
    <w:rsid w:val="30EE1C38"/>
    <w:rsid w:val="312513B2"/>
    <w:rsid w:val="313703D4"/>
    <w:rsid w:val="31B042BF"/>
    <w:rsid w:val="31BD45C7"/>
    <w:rsid w:val="31E16592"/>
    <w:rsid w:val="31F12401"/>
    <w:rsid w:val="31FF5F72"/>
    <w:rsid w:val="32035D60"/>
    <w:rsid w:val="326E6953"/>
    <w:rsid w:val="32D81743"/>
    <w:rsid w:val="334A0F9A"/>
    <w:rsid w:val="334F5BA1"/>
    <w:rsid w:val="33523A32"/>
    <w:rsid w:val="33E32A95"/>
    <w:rsid w:val="343825C5"/>
    <w:rsid w:val="34402563"/>
    <w:rsid w:val="34886F48"/>
    <w:rsid w:val="34B524C1"/>
    <w:rsid w:val="34BA1A48"/>
    <w:rsid w:val="35414D4C"/>
    <w:rsid w:val="35727C2D"/>
    <w:rsid w:val="35AD6EB7"/>
    <w:rsid w:val="365461BB"/>
    <w:rsid w:val="36681030"/>
    <w:rsid w:val="36D23A94"/>
    <w:rsid w:val="36D73248"/>
    <w:rsid w:val="37294B19"/>
    <w:rsid w:val="374B6474"/>
    <w:rsid w:val="376940D0"/>
    <w:rsid w:val="377A6C26"/>
    <w:rsid w:val="37F91B66"/>
    <w:rsid w:val="38163EE1"/>
    <w:rsid w:val="38204506"/>
    <w:rsid w:val="382F5543"/>
    <w:rsid w:val="385E26EA"/>
    <w:rsid w:val="38797524"/>
    <w:rsid w:val="390C65EA"/>
    <w:rsid w:val="39321D68"/>
    <w:rsid w:val="395B4E7C"/>
    <w:rsid w:val="398759F6"/>
    <w:rsid w:val="39AD199D"/>
    <w:rsid w:val="3A1C0AAF"/>
    <w:rsid w:val="3A5B3EC4"/>
    <w:rsid w:val="3A744026"/>
    <w:rsid w:val="3AA56BF4"/>
    <w:rsid w:val="3AAC1E33"/>
    <w:rsid w:val="3AB02FA5"/>
    <w:rsid w:val="3AFE1F63"/>
    <w:rsid w:val="3B7F30A4"/>
    <w:rsid w:val="3B8E32E7"/>
    <w:rsid w:val="3BAE6CD9"/>
    <w:rsid w:val="3C023A48"/>
    <w:rsid w:val="3C3000ED"/>
    <w:rsid w:val="3C5255AE"/>
    <w:rsid w:val="3CBC3EC8"/>
    <w:rsid w:val="3CE05DC4"/>
    <w:rsid w:val="3CFE26EE"/>
    <w:rsid w:val="3D031AB2"/>
    <w:rsid w:val="3D232399"/>
    <w:rsid w:val="3D2E2D19"/>
    <w:rsid w:val="3D31181A"/>
    <w:rsid w:val="3D3B124C"/>
    <w:rsid w:val="3D3B749E"/>
    <w:rsid w:val="3D6E33D0"/>
    <w:rsid w:val="3DC87CB2"/>
    <w:rsid w:val="3F087854"/>
    <w:rsid w:val="3F1749BD"/>
    <w:rsid w:val="3F2B709E"/>
    <w:rsid w:val="3F4F365B"/>
    <w:rsid w:val="3F854A01"/>
    <w:rsid w:val="3F9A5B70"/>
    <w:rsid w:val="3FF102E8"/>
    <w:rsid w:val="40302BBE"/>
    <w:rsid w:val="405C0E8C"/>
    <w:rsid w:val="40EA1F44"/>
    <w:rsid w:val="41093759"/>
    <w:rsid w:val="411057B1"/>
    <w:rsid w:val="41200FD8"/>
    <w:rsid w:val="41380196"/>
    <w:rsid w:val="41415EFF"/>
    <w:rsid w:val="415B1EBD"/>
    <w:rsid w:val="41AE5FD7"/>
    <w:rsid w:val="41D026B4"/>
    <w:rsid w:val="41F560D9"/>
    <w:rsid w:val="42A67168"/>
    <w:rsid w:val="42BC2E2F"/>
    <w:rsid w:val="43176673"/>
    <w:rsid w:val="441E4F74"/>
    <w:rsid w:val="4484172B"/>
    <w:rsid w:val="452567EA"/>
    <w:rsid w:val="45787D17"/>
    <w:rsid w:val="45C550EA"/>
    <w:rsid w:val="45D71D2E"/>
    <w:rsid w:val="45EE77A4"/>
    <w:rsid w:val="46861DC9"/>
    <w:rsid w:val="46886BA6"/>
    <w:rsid w:val="46D9157A"/>
    <w:rsid w:val="46E07EEA"/>
    <w:rsid w:val="46E2098A"/>
    <w:rsid w:val="46F012F9"/>
    <w:rsid w:val="470B1C8F"/>
    <w:rsid w:val="47543990"/>
    <w:rsid w:val="4770243A"/>
    <w:rsid w:val="47A76297"/>
    <w:rsid w:val="47E07536"/>
    <w:rsid w:val="48524AAD"/>
    <w:rsid w:val="48783354"/>
    <w:rsid w:val="48A018E9"/>
    <w:rsid w:val="48CC544E"/>
    <w:rsid w:val="490552AA"/>
    <w:rsid w:val="496B2EB9"/>
    <w:rsid w:val="4A4E7CFD"/>
    <w:rsid w:val="4B7A4CDC"/>
    <w:rsid w:val="4C6F2E33"/>
    <w:rsid w:val="4C997D3D"/>
    <w:rsid w:val="4D1D44CA"/>
    <w:rsid w:val="4E3B5550"/>
    <w:rsid w:val="4E9D675B"/>
    <w:rsid w:val="4EA6122D"/>
    <w:rsid w:val="4ED432AF"/>
    <w:rsid w:val="4F5155E8"/>
    <w:rsid w:val="4F6B59C1"/>
    <w:rsid w:val="4FAB2D34"/>
    <w:rsid w:val="4FFA680C"/>
    <w:rsid w:val="506348EA"/>
    <w:rsid w:val="50981A4B"/>
    <w:rsid w:val="50B97C94"/>
    <w:rsid w:val="50F10148"/>
    <w:rsid w:val="51CE0489"/>
    <w:rsid w:val="51D21245"/>
    <w:rsid w:val="51EB3DE3"/>
    <w:rsid w:val="5209326F"/>
    <w:rsid w:val="520C6D3A"/>
    <w:rsid w:val="52390069"/>
    <w:rsid w:val="525C5A95"/>
    <w:rsid w:val="528172AA"/>
    <w:rsid w:val="528D1696"/>
    <w:rsid w:val="52CB2821"/>
    <w:rsid w:val="52F119C8"/>
    <w:rsid w:val="53862387"/>
    <w:rsid w:val="53917ACC"/>
    <w:rsid w:val="53935A5F"/>
    <w:rsid w:val="539D0113"/>
    <w:rsid w:val="53B55A60"/>
    <w:rsid w:val="53F80E6C"/>
    <w:rsid w:val="541F6D7A"/>
    <w:rsid w:val="54212AF2"/>
    <w:rsid w:val="542F765C"/>
    <w:rsid w:val="54415C74"/>
    <w:rsid w:val="54631B76"/>
    <w:rsid w:val="54914939"/>
    <w:rsid w:val="5495703C"/>
    <w:rsid w:val="54C55B73"/>
    <w:rsid w:val="54DC110F"/>
    <w:rsid w:val="54E405A7"/>
    <w:rsid w:val="54EB5EC1"/>
    <w:rsid w:val="550E0B88"/>
    <w:rsid w:val="55124B31"/>
    <w:rsid w:val="554D13F6"/>
    <w:rsid w:val="55E069DD"/>
    <w:rsid w:val="5632548A"/>
    <w:rsid w:val="56C87B9D"/>
    <w:rsid w:val="57120E18"/>
    <w:rsid w:val="572C44D0"/>
    <w:rsid w:val="57580486"/>
    <w:rsid w:val="579932E7"/>
    <w:rsid w:val="57B72F56"/>
    <w:rsid w:val="57DC750F"/>
    <w:rsid w:val="57F30C49"/>
    <w:rsid w:val="58737694"/>
    <w:rsid w:val="58810003"/>
    <w:rsid w:val="58904C8A"/>
    <w:rsid w:val="597114A7"/>
    <w:rsid w:val="599B48CE"/>
    <w:rsid w:val="59DA41E0"/>
    <w:rsid w:val="5A2424B3"/>
    <w:rsid w:val="5A3906A0"/>
    <w:rsid w:val="5A9919E3"/>
    <w:rsid w:val="5AC10B8B"/>
    <w:rsid w:val="5AC661A1"/>
    <w:rsid w:val="5AD65895"/>
    <w:rsid w:val="5B2A7B0A"/>
    <w:rsid w:val="5B417B6B"/>
    <w:rsid w:val="5B54373E"/>
    <w:rsid w:val="5B7763B9"/>
    <w:rsid w:val="5B871DD5"/>
    <w:rsid w:val="5BC745F2"/>
    <w:rsid w:val="5BDF66CD"/>
    <w:rsid w:val="5BF62AB6"/>
    <w:rsid w:val="5C661155"/>
    <w:rsid w:val="5C796835"/>
    <w:rsid w:val="5C860D6F"/>
    <w:rsid w:val="5CA161B2"/>
    <w:rsid w:val="5CE2128D"/>
    <w:rsid w:val="5CF74EA3"/>
    <w:rsid w:val="5D355860"/>
    <w:rsid w:val="5D5201C0"/>
    <w:rsid w:val="5E4044BD"/>
    <w:rsid w:val="5E7303EE"/>
    <w:rsid w:val="5ED74E21"/>
    <w:rsid w:val="5EE21916"/>
    <w:rsid w:val="5F4417E0"/>
    <w:rsid w:val="5F88669E"/>
    <w:rsid w:val="5FA345E7"/>
    <w:rsid w:val="5FBB17AB"/>
    <w:rsid w:val="5FFC4413"/>
    <w:rsid w:val="60DF620F"/>
    <w:rsid w:val="61251748"/>
    <w:rsid w:val="61483DB4"/>
    <w:rsid w:val="61502C69"/>
    <w:rsid w:val="61B52ACC"/>
    <w:rsid w:val="622F04A1"/>
    <w:rsid w:val="62707B3A"/>
    <w:rsid w:val="627C183B"/>
    <w:rsid w:val="6280015B"/>
    <w:rsid w:val="62CA1C4E"/>
    <w:rsid w:val="62F85378"/>
    <w:rsid w:val="62FB09B2"/>
    <w:rsid w:val="63145E3E"/>
    <w:rsid w:val="632B573B"/>
    <w:rsid w:val="64241F01"/>
    <w:rsid w:val="64276F94"/>
    <w:rsid w:val="645962D8"/>
    <w:rsid w:val="645C0879"/>
    <w:rsid w:val="64741C1C"/>
    <w:rsid w:val="648C064A"/>
    <w:rsid w:val="650A498B"/>
    <w:rsid w:val="653F126A"/>
    <w:rsid w:val="654F4FE5"/>
    <w:rsid w:val="656B3097"/>
    <w:rsid w:val="65B27CD8"/>
    <w:rsid w:val="65F938CF"/>
    <w:rsid w:val="66187E6C"/>
    <w:rsid w:val="66AB4942"/>
    <w:rsid w:val="66FB5317"/>
    <w:rsid w:val="670A5668"/>
    <w:rsid w:val="67572ED0"/>
    <w:rsid w:val="687951D6"/>
    <w:rsid w:val="687E630D"/>
    <w:rsid w:val="68AB69AF"/>
    <w:rsid w:val="68D653C8"/>
    <w:rsid w:val="68D85250"/>
    <w:rsid w:val="68F640F6"/>
    <w:rsid w:val="692947A1"/>
    <w:rsid w:val="696E51CE"/>
    <w:rsid w:val="6970190C"/>
    <w:rsid w:val="698D4180"/>
    <w:rsid w:val="69B813AB"/>
    <w:rsid w:val="69F820EF"/>
    <w:rsid w:val="6A8B2F63"/>
    <w:rsid w:val="6A98638F"/>
    <w:rsid w:val="6AB75B07"/>
    <w:rsid w:val="6AC10733"/>
    <w:rsid w:val="6B306F2E"/>
    <w:rsid w:val="6B4D1FC7"/>
    <w:rsid w:val="6B555ED8"/>
    <w:rsid w:val="6B7E5284"/>
    <w:rsid w:val="6BFC1AEE"/>
    <w:rsid w:val="6C1256EA"/>
    <w:rsid w:val="6C285B7D"/>
    <w:rsid w:val="6C9A748E"/>
    <w:rsid w:val="6CBA368C"/>
    <w:rsid w:val="6CDC1854"/>
    <w:rsid w:val="6CDC3602"/>
    <w:rsid w:val="6D0F7711"/>
    <w:rsid w:val="6D1F0B58"/>
    <w:rsid w:val="6D2048F6"/>
    <w:rsid w:val="6D3654A5"/>
    <w:rsid w:val="6D6B4986"/>
    <w:rsid w:val="6DB30807"/>
    <w:rsid w:val="6DBC5F7C"/>
    <w:rsid w:val="6DEE183F"/>
    <w:rsid w:val="6E4E01BB"/>
    <w:rsid w:val="6E556E0A"/>
    <w:rsid w:val="6E814AF3"/>
    <w:rsid w:val="6E9D1B01"/>
    <w:rsid w:val="6EB24C26"/>
    <w:rsid w:val="6EE42C42"/>
    <w:rsid w:val="6F0D2199"/>
    <w:rsid w:val="6F466928"/>
    <w:rsid w:val="6F4A6F49"/>
    <w:rsid w:val="6FDC1B6B"/>
    <w:rsid w:val="70390D6C"/>
    <w:rsid w:val="71291B28"/>
    <w:rsid w:val="715D01DB"/>
    <w:rsid w:val="718F158B"/>
    <w:rsid w:val="71D36528"/>
    <w:rsid w:val="71E80C9B"/>
    <w:rsid w:val="72161365"/>
    <w:rsid w:val="729606F7"/>
    <w:rsid w:val="72BE61D3"/>
    <w:rsid w:val="72E61ADD"/>
    <w:rsid w:val="735441C8"/>
    <w:rsid w:val="740A4EF9"/>
    <w:rsid w:val="74170E85"/>
    <w:rsid w:val="74243B78"/>
    <w:rsid w:val="74CA5841"/>
    <w:rsid w:val="74DD43BC"/>
    <w:rsid w:val="750E6C6B"/>
    <w:rsid w:val="752E4C17"/>
    <w:rsid w:val="75344B0C"/>
    <w:rsid w:val="758E3908"/>
    <w:rsid w:val="75DC35E9"/>
    <w:rsid w:val="762B1F05"/>
    <w:rsid w:val="763B3A90"/>
    <w:rsid w:val="76B3017A"/>
    <w:rsid w:val="76CA524D"/>
    <w:rsid w:val="772067E2"/>
    <w:rsid w:val="778156B2"/>
    <w:rsid w:val="77CA303F"/>
    <w:rsid w:val="77FA11D3"/>
    <w:rsid w:val="78264F05"/>
    <w:rsid w:val="7855070D"/>
    <w:rsid w:val="7875446D"/>
    <w:rsid w:val="789E6834"/>
    <w:rsid w:val="78B83176"/>
    <w:rsid w:val="78D36201"/>
    <w:rsid w:val="78E63D5F"/>
    <w:rsid w:val="791B54B2"/>
    <w:rsid w:val="79314475"/>
    <w:rsid w:val="798E18C9"/>
    <w:rsid w:val="79DD67E6"/>
    <w:rsid w:val="7A546ECE"/>
    <w:rsid w:val="7A856975"/>
    <w:rsid w:val="7AB70452"/>
    <w:rsid w:val="7ABD2CC5"/>
    <w:rsid w:val="7B964626"/>
    <w:rsid w:val="7BCF79D9"/>
    <w:rsid w:val="7C1A4C7A"/>
    <w:rsid w:val="7C444892"/>
    <w:rsid w:val="7C686C61"/>
    <w:rsid w:val="7C6D584B"/>
    <w:rsid w:val="7CAE7448"/>
    <w:rsid w:val="7CBF4CEA"/>
    <w:rsid w:val="7D2124A7"/>
    <w:rsid w:val="7D827CD7"/>
    <w:rsid w:val="7D943A85"/>
    <w:rsid w:val="7DE62533"/>
    <w:rsid w:val="7DF36BF7"/>
    <w:rsid w:val="7E2272E3"/>
    <w:rsid w:val="7E5131B9"/>
    <w:rsid w:val="7E543E84"/>
    <w:rsid w:val="7E8568A3"/>
    <w:rsid w:val="7E956EBF"/>
    <w:rsid w:val="7EA877E8"/>
    <w:rsid w:val="7EC90255"/>
    <w:rsid w:val="7ED22AB7"/>
    <w:rsid w:val="7F2F2894"/>
    <w:rsid w:val="7F402117"/>
    <w:rsid w:val="7FD60385"/>
    <w:rsid w:val="7FE50BE8"/>
    <w:rsid w:val="7FE67798"/>
    <w:rsid w:val="7FF413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spacing w:line="0" w:lineRule="atLeast"/>
      <w:jc w:val="center"/>
      <w:outlineLvl w:val="1"/>
    </w:pPr>
    <w:rPr>
      <w:kern w:val="0"/>
      <w:sz w:val="28"/>
    </w:rPr>
  </w:style>
  <w:style w:type="paragraph" w:styleId="6">
    <w:name w:val="heading 3"/>
    <w:basedOn w:val="1"/>
    <w:next w:val="1"/>
    <w:link w:val="39"/>
    <w:autoRedefine/>
    <w:qFormat/>
    <w:uiPriority w:val="0"/>
    <w:pPr>
      <w:keepNext/>
      <w:keepLines/>
      <w:spacing w:before="260" w:after="260" w:line="416" w:lineRule="auto"/>
      <w:outlineLvl w:val="2"/>
    </w:pPr>
    <w:rPr>
      <w:b/>
      <w:bCs/>
      <w:sz w:val="32"/>
      <w:szCs w:val="32"/>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autoRedefine/>
    <w:qFormat/>
    <w:uiPriority w:val="99"/>
    <w:pPr>
      <w:spacing w:after="120"/>
    </w:pPr>
  </w:style>
  <w:style w:type="paragraph" w:styleId="7">
    <w:name w:val="caption"/>
    <w:basedOn w:val="1"/>
    <w:next w:val="1"/>
    <w:autoRedefine/>
    <w:qFormat/>
    <w:uiPriority w:val="0"/>
    <w:rPr>
      <w:rFonts w:ascii="Cambria" w:hAnsi="Cambria" w:eastAsia="黑体"/>
      <w:sz w:val="20"/>
    </w:rPr>
  </w:style>
  <w:style w:type="paragraph" w:styleId="8">
    <w:name w:val="Document Map"/>
    <w:basedOn w:val="1"/>
    <w:link w:val="47"/>
    <w:autoRedefine/>
    <w:qFormat/>
    <w:uiPriority w:val="0"/>
    <w:rPr>
      <w:rFonts w:ascii="宋体"/>
      <w:sz w:val="18"/>
      <w:szCs w:val="18"/>
    </w:rPr>
  </w:style>
  <w:style w:type="paragraph" w:styleId="9">
    <w:name w:val="annotation text"/>
    <w:basedOn w:val="1"/>
    <w:link w:val="46"/>
    <w:autoRedefine/>
    <w:qFormat/>
    <w:uiPriority w:val="0"/>
    <w:pPr>
      <w:jc w:val="left"/>
    </w:pPr>
  </w:style>
  <w:style w:type="paragraph" w:styleId="10">
    <w:name w:val="Body Text 3"/>
    <w:basedOn w:val="1"/>
    <w:autoRedefine/>
    <w:qFormat/>
    <w:uiPriority w:val="0"/>
    <w:pPr>
      <w:spacing w:after="120"/>
    </w:pPr>
    <w:rPr>
      <w:sz w:val="16"/>
      <w:szCs w:val="16"/>
    </w:rPr>
  </w:style>
  <w:style w:type="paragraph" w:styleId="11">
    <w:name w:val="Body Text"/>
    <w:basedOn w:val="1"/>
    <w:next w:val="12"/>
    <w:link w:val="44"/>
    <w:autoRedefine/>
    <w:qFormat/>
    <w:uiPriority w:val="99"/>
    <w:pPr>
      <w:spacing w:after="120"/>
    </w:pPr>
  </w:style>
  <w:style w:type="paragraph" w:customStyle="1" w:styleId="12">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3">
    <w:name w:val="Body Text Indent"/>
    <w:basedOn w:val="1"/>
    <w:next w:val="14"/>
    <w:autoRedefine/>
    <w:qFormat/>
    <w:uiPriority w:val="0"/>
    <w:pPr>
      <w:ind w:firstLine="632" w:firstLineChars="200"/>
    </w:pPr>
    <w:rPr>
      <w:rFonts w:ascii="仿宋_GB2312" w:hAnsi="华文楷体" w:eastAsia="仿宋_GB2312"/>
      <w:sz w:val="32"/>
    </w:rPr>
  </w:style>
  <w:style w:type="paragraph" w:styleId="14">
    <w:name w:val="envelope return"/>
    <w:basedOn w:val="1"/>
    <w:autoRedefine/>
    <w:qFormat/>
    <w:uiPriority w:val="99"/>
    <w:pPr>
      <w:snapToGrid w:val="0"/>
    </w:pPr>
    <w:rPr>
      <w:rFonts w:ascii="Arial" w:hAnsi="Arial"/>
    </w:rPr>
  </w:style>
  <w:style w:type="paragraph" w:styleId="15">
    <w:name w:val="List 2"/>
    <w:basedOn w:val="1"/>
    <w:autoRedefine/>
    <w:qFormat/>
    <w:uiPriority w:val="0"/>
    <w:pPr>
      <w:ind w:left="400" w:leftChars="200" w:hanging="200" w:hangingChars="200"/>
    </w:pPr>
  </w:style>
  <w:style w:type="paragraph" w:styleId="16">
    <w:name w:val="Plain Text"/>
    <w:basedOn w:val="1"/>
    <w:link w:val="52"/>
    <w:autoRedefine/>
    <w:qFormat/>
    <w:uiPriority w:val="99"/>
    <w:rPr>
      <w:rFonts w:ascii="宋体" w:hAnsi="Courier New"/>
      <w:szCs w:val="20"/>
    </w:rPr>
  </w:style>
  <w:style w:type="paragraph" w:styleId="17">
    <w:name w:val="Date"/>
    <w:basedOn w:val="1"/>
    <w:next w:val="1"/>
    <w:link w:val="48"/>
    <w:autoRedefine/>
    <w:qFormat/>
    <w:uiPriority w:val="0"/>
    <w:pPr>
      <w:ind w:left="100" w:leftChars="2500"/>
    </w:pPr>
  </w:style>
  <w:style w:type="paragraph" w:styleId="18">
    <w:name w:val="Body Text Indent 2"/>
    <w:basedOn w:val="1"/>
    <w:autoRedefine/>
    <w:qFormat/>
    <w:uiPriority w:val="0"/>
    <w:pPr>
      <w:spacing w:after="120" w:line="480" w:lineRule="auto"/>
      <w:ind w:left="420" w:leftChars="200"/>
    </w:pPr>
  </w:style>
  <w:style w:type="paragraph" w:styleId="19">
    <w:name w:val="Balloon Text"/>
    <w:basedOn w:val="1"/>
    <w:autoRedefine/>
    <w:qFormat/>
    <w:uiPriority w:val="0"/>
    <w:rPr>
      <w:sz w:val="18"/>
      <w:szCs w:val="18"/>
    </w:rPr>
  </w:style>
  <w:style w:type="paragraph" w:styleId="20">
    <w:name w:val="footer"/>
    <w:basedOn w:val="1"/>
    <w:link w:val="69"/>
    <w:autoRedefine/>
    <w:qFormat/>
    <w:uiPriority w:val="99"/>
    <w:pPr>
      <w:tabs>
        <w:tab w:val="center" w:pos="4153"/>
        <w:tab w:val="right" w:pos="8306"/>
      </w:tabs>
      <w:snapToGrid w:val="0"/>
      <w:jc w:val="left"/>
    </w:pPr>
    <w:rPr>
      <w:sz w:val="18"/>
      <w:szCs w:val="18"/>
    </w:rPr>
  </w:style>
  <w:style w:type="paragraph" w:styleId="21">
    <w:name w:val="header"/>
    <w:basedOn w:val="1"/>
    <w:link w:val="68"/>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after="120"/>
      <w:jc w:val="left"/>
    </w:pPr>
    <w:rPr>
      <w:caps/>
    </w:rPr>
  </w:style>
  <w:style w:type="paragraph" w:styleId="23">
    <w:name w:val="footnote text"/>
    <w:basedOn w:val="1"/>
    <w:autoRedefine/>
    <w:qFormat/>
    <w:uiPriority w:val="99"/>
    <w:pPr>
      <w:snapToGrid w:val="0"/>
      <w:jc w:val="left"/>
    </w:pPr>
    <w:rPr>
      <w:sz w:val="18"/>
      <w:szCs w:val="18"/>
    </w:rPr>
  </w:style>
  <w:style w:type="paragraph" w:styleId="24">
    <w:name w:val="Body Text 2"/>
    <w:basedOn w:val="1"/>
    <w:link w:val="66"/>
    <w:autoRedefine/>
    <w:qFormat/>
    <w:uiPriority w:val="0"/>
    <w:pPr>
      <w:spacing w:after="120" w:line="480" w:lineRule="auto"/>
    </w:pPr>
  </w:style>
  <w:style w:type="paragraph" w:styleId="25">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26">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7">
    <w:name w:val="Body Text First Indent"/>
    <w:basedOn w:val="11"/>
    <w:link w:val="43"/>
    <w:autoRedefine/>
    <w:qFormat/>
    <w:uiPriority w:val="0"/>
    <w:pPr>
      <w:ind w:firstLine="420" w:firstLineChars="100"/>
    </w:pPr>
  </w:style>
  <w:style w:type="paragraph" w:styleId="28">
    <w:name w:val="Body Text First Indent 2"/>
    <w:basedOn w:val="13"/>
    <w:autoRedefine/>
    <w:qFormat/>
    <w:uiPriority w:val="99"/>
    <w:pPr>
      <w:tabs>
        <w:tab w:val="left" w:pos="0"/>
        <w:tab w:val="left" w:pos="993"/>
        <w:tab w:val="left" w:pos="1134"/>
      </w:tabs>
      <w:ind w:firstLine="420"/>
    </w:pPr>
  </w:style>
  <w:style w:type="table" w:styleId="30">
    <w:name w:val="Table Grid"/>
    <w:basedOn w:val="2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autoRedefine/>
    <w:qFormat/>
    <w:uiPriority w:val="22"/>
    <w:rPr>
      <w:b/>
      <w:bCs/>
    </w:rPr>
  </w:style>
  <w:style w:type="character" w:styleId="33">
    <w:name w:val="page number"/>
    <w:basedOn w:val="31"/>
    <w:autoRedefine/>
    <w:qFormat/>
    <w:uiPriority w:val="0"/>
  </w:style>
  <w:style w:type="character" w:styleId="34">
    <w:name w:val="FollowedHyperlink"/>
    <w:basedOn w:val="31"/>
    <w:autoRedefine/>
    <w:qFormat/>
    <w:uiPriority w:val="0"/>
    <w:rPr>
      <w:color w:val="000000"/>
      <w:u w:val="none"/>
    </w:rPr>
  </w:style>
  <w:style w:type="character" w:styleId="35">
    <w:name w:val="Hyperlink"/>
    <w:autoRedefine/>
    <w:qFormat/>
    <w:uiPriority w:val="0"/>
    <w:rPr>
      <w:color w:val="333333"/>
      <w:u w:val="none"/>
    </w:rPr>
  </w:style>
  <w:style w:type="character" w:styleId="36">
    <w:name w:val="annotation reference"/>
    <w:autoRedefine/>
    <w:qFormat/>
    <w:uiPriority w:val="99"/>
    <w:rPr>
      <w:sz w:val="21"/>
    </w:rPr>
  </w:style>
  <w:style w:type="paragraph" w:customStyle="1" w:styleId="37">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8">
    <w:name w:val="无间隔1"/>
    <w:next w:val="7"/>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字符"/>
    <w:link w:val="6"/>
    <w:autoRedefine/>
    <w:semiHidden/>
    <w:qFormat/>
    <w:uiPriority w:val="0"/>
    <w:rPr>
      <w:b/>
      <w:bCs/>
      <w:kern w:val="2"/>
      <w:sz w:val="32"/>
      <w:szCs w:val="32"/>
    </w:rPr>
  </w:style>
  <w:style w:type="character" w:customStyle="1" w:styleId="40">
    <w:name w:val="font231"/>
    <w:autoRedefine/>
    <w:qFormat/>
    <w:uiPriority w:val="0"/>
    <w:rPr>
      <w:rFonts w:hint="eastAsia" w:ascii="宋体" w:hAnsi="宋体" w:eastAsia="宋体" w:cs="宋体"/>
      <w:color w:val="000000"/>
      <w:sz w:val="22"/>
      <w:szCs w:val="22"/>
      <w:u w:val="none"/>
    </w:rPr>
  </w:style>
  <w:style w:type="character" w:customStyle="1" w:styleId="41">
    <w:name w:val="font11"/>
    <w:autoRedefine/>
    <w:qFormat/>
    <w:uiPriority w:val="0"/>
    <w:rPr>
      <w:rFonts w:hint="default" w:ascii="Times New Roman" w:hAnsi="Times New Roman" w:cs="Times New Roman"/>
      <w:color w:val="000000"/>
      <w:sz w:val="18"/>
      <w:szCs w:val="18"/>
      <w:u w:val="none"/>
    </w:rPr>
  </w:style>
  <w:style w:type="character" w:customStyle="1" w:styleId="42">
    <w:name w:val="font191"/>
    <w:autoRedefine/>
    <w:qFormat/>
    <w:uiPriority w:val="0"/>
    <w:rPr>
      <w:rFonts w:hint="default" w:ascii="Calibri" w:hAnsi="Calibri" w:cs="Calibri"/>
      <w:color w:val="000000"/>
      <w:sz w:val="22"/>
      <w:szCs w:val="22"/>
      <w:u w:val="none"/>
    </w:rPr>
  </w:style>
  <w:style w:type="character" w:customStyle="1" w:styleId="43">
    <w:name w:val="正文文本首行缩进 字符"/>
    <w:link w:val="27"/>
    <w:autoRedefine/>
    <w:qFormat/>
    <w:uiPriority w:val="0"/>
    <w:rPr>
      <w:kern w:val="2"/>
      <w:sz w:val="21"/>
      <w:szCs w:val="24"/>
    </w:rPr>
  </w:style>
  <w:style w:type="character" w:customStyle="1" w:styleId="44">
    <w:name w:val="正文文本 字符"/>
    <w:link w:val="11"/>
    <w:autoRedefine/>
    <w:qFormat/>
    <w:uiPriority w:val="99"/>
    <w:rPr>
      <w:kern w:val="2"/>
      <w:sz w:val="21"/>
      <w:szCs w:val="24"/>
    </w:rPr>
  </w:style>
  <w:style w:type="character" w:customStyle="1" w:styleId="45">
    <w:name w:val="font151"/>
    <w:autoRedefine/>
    <w:qFormat/>
    <w:uiPriority w:val="0"/>
    <w:rPr>
      <w:rFonts w:hint="default" w:ascii="Calibri" w:hAnsi="Calibri" w:cs="Calibri"/>
      <w:color w:val="000000"/>
      <w:sz w:val="22"/>
      <w:szCs w:val="22"/>
      <w:u w:val="none"/>
    </w:rPr>
  </w:style>
  <w:style w:type="character" w:customStyle="1" w:styleId="46">
    <w:name w:val="批注文字 字符"/>
    <w:link w:val="9"/>
    <w:autoRedefine/>
    <w:qFormat/>
    <w:uiPriority w:val="0"/>
    <w:rPr>
      <w:kern w:val="2"/>
      <w:sz w:val="21"/>
      <w:szCs w:val="24"/>
    </w:rPr>
  </w:style>
  <w:style w:type="character" w:customStyle="1" w:styleId="47">
    <w:name w:val="文档结构图 字符"/>
    <w:link w:val="8"/>
    <w:autoRedefine/>
    <w:qFormat/>
    <w:uiPriority w:val="0"/>
    <w:rPr>
      <w:rFonts w:ascii="宋体"/>
      <w:kern w:val="2"/>
      <w:sz w:val="18"/>
      <w:szCs w:val="18"/>
    </w:rPr>
  </w:style>
  <w:style w:type="character" w:customStyle="1" w:styleId="48">
    <w:name w:val="日期 字符"/>
    <w:link w:val="17"/>
    <w:autoRedefine/>
    <w:qFormat/>
    <w:uiPriority w:val="0"/>
    <w:rPr>
      <w:kern w:val="2"/>
      <w:sz w:val="21"/>
      <w:szCs w:val="24"/>
    </w:rPr>
  </w:style>
  <w:style w:type="character" w:customStyle="1" w:styleId="49">
    <w:name w:val="font221"/>
    <w:autoRedefine/>
    <w:qFormat/>
    <w:uiPriority w:val="0"/>
    <w:rPr>
      <w:rFonts w:hint="eastAsia" w:ascii="宋体" w:hAnsi="宋体" w:eastAsia="宋体" w:cs="宋体"/>
      <w:color w:val="000000"/>
      <w:sz w:val="20"/>
      <w:szCs w:val="20"/>
      <w:u w:val="none"/>
    </w:rPr>
  </w:style>
  <w:style w:type="character" w:customStyle="1" w:styleId="50">
    <w:name w:val="font61"/>
    <w:autoRedefine/>
    <w:qFormat/>
    <w:uiPriority w:val="0"/>
    <w:rPr>
      <w:rFonts w:hint="eastAsia" w:ascii="宋体" w:hAnsi="宋体" w:eastAsia="宋体" w:cs="宋体"/>
      <w:color w:val="FF0000"/>
      <w:sz w:val="22"/>
      <w:szCs w:val="22"/>
      <w:u w:val="none"/>
    </w:rPr>
  </w:style>
  <w:style w:type="character" w:customStyle="1" w:styleId="51">
    <w:name w:val="font31"/>
    <w:autoRedefine/>
    <w:qFormat/>
    <w:uiPriority w:val="0"/>
    <w:rPr>
      <w:rFonts w:hint="eastAsia" w:ascii="宋体" w:hAnsi="宋体" w:eastAsia="宋体" w:cs="宋体"/>
      <w:color w:val="000000"/>
      <w:sz w:val="18"/>
      <w:szCs w:val="18"/>
      <w:u w:val="none"/>
    </w:rPr>
  </w:style>
  <w:style w:type="character" w:customStyle="1" w:styleId="52">
    <w:name w:val="纯文本 字符"/>
    <w:link w:val="16"/>
    <w:autoRedefine/>
    <w:qFormat/>
    <w:uiPriority w:val="99"/>
    <w:rPr>
      <w:rFonts w:ascii="宋体" w:hAnsi="Courier New"/>
      <w:kern w:val="2"/>
      <w:sz w:val="21"/>
    </w:rPr>
  </w:style>
  <w:style w:type="character" w:customStyle="1" w:styleId="53">
    <w:name w:val="访问过的超链接1"/>
    <w:autoRedefine/>
    <w:qFormat/>
    <w:uiPriority w:val="0"/>
    <w:rPr>
      <w:color w:val="333333"/>
      <w:u w:val="none"/>
    </w:rPr>
  </w:style>
  <w:style w:type="character" w:customStyle="1" w:styleId="54">
    <w:name w:val="font01"/>
    <w:basedOn w:val="31"/>
    <w:autoRedefine/>
    <w:qFormat/>
    <w:uiPriority w:val="0"/>
    <w:rPr>
      <w:rFonts w:hint="eastAsia" w:ascii="宋体" w:hAnsi="宋体" w:eastAsia="宋体" w:cs="宋体"/>
      <w:color w:val="000000"/>
      <w:sz w:val="22"/>
      <w:szCs w:val="22"/>
      <w:u w:val="none"/>
    </w:rPr>
  </w:style>
  <w:style w:type="character" w:customStyle="1" w:styleId="55">
    <w:name w:val="font21"/>
    <w:autoRedefine/>
    <w:qFormat/>
    <w:uiPriority w:val="0"/>
    <w:rPr>
      <w:rFonts w:hint="default" w:ascii="Times New Roman" w:hAnsi="Times New Roman" w:cs="Times New Roman"/>
      <w:color w:val="000000"/>
      <w:sz w:val="18"/>
      <w:szCs w:val="18"/>
      <w:u w:val="none"/>
    </w:rPr>
  </w:style>
  <w:style w:type="paragraph" w:customStyle="1" w:styleId="56">
    <w:name w:val="p0"/>
    <w:basedOn w:val="1"/>
    <w:autoRedefine/>
    <w:qFormat/>
    <w:uiPriority w:val="0"/>
    <w:pPr>
      <w:widowControl/>
    </w:pPr>
    <w:rPr>
      <w:rFonts w:ascii="Calibri" w:hAnsi="Calibri" w:cs="宋体"/>
      <w:kern w:val="0"/>
      <w:szCs w:val="21"/>
    </w:rPr>
  </w:style>
  <w:style w:type="paragraph" w:customStyle="1" w:styleId="57">
    <w:name w:val="List Paragraph1"/>
    <w:basedOn w:val="1"/>
    <w:autoRedefine/>
    <w:qFormat/>
    <w:uiPriority w:val="0"/>
    <w:pPr>
      <w:ind w:firstLine="420" w:firstLineChars="200"/>
    </w:pPr>
  </w:style>
  <w:style w:type="paragraph" w:customStyle="1" w:styleId="58">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autoRedefine/>
    <w:qFormat/>
    <w:uiPriority w:val="0"/>
    <w:pPr>
      <w:autoSpaceDE w:val="0"/>
      <w:autoSpaceDN w:val="0"/>
      <w:jc w:val="left"/>
    </w:pPr>
    <w:rPr>
      <w:rFonts w:ascii="宋体" w:hAnsi="宋体" w:cs="宋体"/>
      <w:kern w:val="0"/>
      <w:sz w:val="22"/>
      <w:szCs w:val="22"/>
      <w:lang w:val="zh-CN" w:bidi="zh-CN"/>
    </w:rPr>
  </w:style>
  <w:style w:type="paragraph" w:customStyle="1" w:styleId="6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autoRedefine/>
    <w:qFormat/>
    <w:uiPriority w:val="0"/>
    <w:rPr>
      <w:rFonts w:ascii="Tahoma" w:hAnsi="Tahoma"/>
      <w:sz w:val="24"/>
      <w:szCs w:val="20"/>
    </w:rPr>
  </w:style>
  <w:style w:type="paragraph" w:styleId="62">
    <w:name w:val="List Paragraph"/>
    <w:basedOn w:val="1"/>
    <w:autoRedefine/>
    <w:qFormat/>
    <w:uiPriority w:val="34"/>
    <w:pPr>
      <w:ind w:firstLine="420" w:firstLineChars="200"/>
    </w:pPr>
  </w:style>
  <w:style w:type="paragraph" w:customStyle="1" w:styleId="63">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autoRedefine/>
    <w:qFormat/>
    <w:uiPriority w:val="0"/>
    <w:pPr>
      <w:tabs>
        <w:tab w:val="right" w:pos="-2120"/>
      </w:tabs>
      <w:snapToGrid w:val="0"/>
    </w:pPr>
  </w:style>
  <w:style w:type="character" w:customStyle="1" w:styleId="65">
    <w:name w:val="generalinfo-address-text"/>
    <w:basedOn w:val="31"/>
    <w:autoRedefine/>
    <w:qFormat/>
    <w:uiPriority w:val="0"/>
  </w:style>
  <w:style w:type="character" w:customStyle="1" w:styleId="66">
    <w:name w:val="正文文本 2 字符"/>
    <w:link w:val="24"/>
    <w:autoRedefine/>
    <w:qFormat/>
    <w:uiPriority w:val="0"/>
    <w:rPr>
      <w:kern w:val="2"/>
      <w:sz w:val="21"/>
      <w:szCs w:val="24"/>
    </w:rPr>
  </w:style>
  <w:style w:type="character" w:customStyle="1" w:styleId="67">
    <w:name w:val="NormalCharacter"/>
    <w:autoRedefine/>
    <w:qFormat/>
    <w:uiPriority w:val="0"/>
  </w:style>
  <w:style w:type="character" w:customStyle="1" w:styleId="68">
    <w:name w:val="页眉 字符"/>
    <w:link w:val="21"/>
    <w:autoRedefine/>
    <w:qFormat/>
    <w:uiPriority w:val="99"/>
    <w:rPr>
      <w:kern w:val="2"/>
      <w:sz w:val="18"/>
      <w:szCs w:val="18"/>
    </w:rPr>
  </w:style>
  <w:style w:type="character" w:customStyle="1" w:styleId="69">
    <w:name w:val="页脚 字符"/>
    <w:link w:val="20"/>
    <w:autoRedefine/>
    <w:qFormat/>
    <w:uiPriority w:val="99"/>
    <w:rPr>
      <w:kern w:val="2"/>
      <w:sz w:val="18"/>
      <w:szCs w:val="18"/>
    </w:rPr>
  </w:style>
  <w:style w:type="paragraph" w:customStyle="1" w:styleId="70">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1">
    <w:name w:val="contentlabel"/>
    <w:autoRedefine/>
    <w:qFormat/>
    <w:uiPriority w:val="0"/>
  </w:style>
  <w:style w:type="paragraph" w:customStyle="1" w:styleId="72">
    <w:name w:val="Body Text First Indent1"/>
    <w:basedOn w:val="11"/>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2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icon_gys"/>
    <w:basedOn w:val="31"/>
    <w:autoRedefine/>
    <w:qFormat/>
    <w:uiPriority w:val="0"/>
    <w:rPr>
      <w:sz w:val="21"/>
      <w:szCs w:val="21"/>
    </w:rPr>
  </w:style>
  <w:style w:type="character" w:customStyle="1" w:styleId="75">
    <w:name w:val="first-child"/>
    <w:basedOn w:val="31"/>
    <w:autoRedefine/>
    <w:qFormat/>
    <w:uiPriority w:val="0"/>
    <w:rPr>
      <w:color w:val="1F3149"/>
      <w:sz w:val="24"/>
      <w:szCs w:val="24"/>
    </w:rPr>
  </w:style>
  <w:style w:type="character" w:customStyle="1" w:styleId="76">
    <w:name w:val="first-child1"/>
    <w:basedOn w:val="31"/>
    <w:autoRedefine/>
    <w:qFormat/>
    <w:uiPriority w:val="0"/>
    <w:rPr>
      <w:color w:val="1F3149"/>
      <w:sz w:val="24"/>
      <w:szCs w:val="24"/>
    </w:rPr>
  </w:style>
  <w:style w:type="character" w:customStyle="1" w:styleId="77">
    <w:name w:val="xiadan"/>
    <w:basedOn w:val="31"/>
    <w:autoRedefine/>
    <w:qFormat/>
    <w:uiPriority w:val="0"/>
    <w:rPr>
      <w:shd w:val="clear" w:color="auto" w:fill="E4393C"/>
    </w:rPr>
  </w:style>
  <w:style w:type="character" w:customStyle="1" w:styleId="78">
    <w:name w:val="fr"/>
    <w:basedOn w:val="31"/>
    <w:autoRedefine/>
    <w:qFormat/>
    <w:uiPriority w:val="0"/>
  </w:style>
  <w:style w:type="character" w:customStyle="1" w:styleId="79">
    <w:name w:val="icon_ds"/>
    <w:basedOn w:val="31"/>
    <w:autoRedefine/>
    <w:qFormat/>
    <w:uiPriority w:val="0"/>
  </w:style>
  <w:style w:type="paragraph" w:customStyle="1" w:styleId="80">
    <w:name w:val="正文1"/>
    <w:basedOn w:val="1"/>
    <w:autoRedefine/>
    <w:qFormat/>
    <w:uiPriority w:val="0"/>
    <w:pPr>
      <w:widowControl/>
      <w:topLinePunct/>
      <w:spacing w:beforeLines="50" w:afterLines="50" w:line="300" w:lineRule="auto"/>
      <w:ind w:left="420"/>
    </w:pPr>
  </w:style>
  <w:style w:type="paragraph" w:customStyle="1" w:styleId="81">
    <w:name w:val="表格样式"/>
    <w:basedOn w:val="1"/>
    <w:next w:val="1"/>
    <w:autoRedefine/>
    <w:qFormat/>
    <w:uiPriority w:val="0"/>
    <w:pPr>
      <w:tabs>
        <w:tab w:val="left" w:pos="420"/>
      </w:tabs>
      <w:jc w:val="center"/>
    </w:pPr>
    <w:rPr>
      <w:rFonts w:ascii="Cambria" w:hAnsi="Cambria"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50</Pages>
  <Words>24124</Words>
  <Characters>25685</Characters>
  <Lines>146</Lines>
  <Paragraphs>41</Paragraphs>
  <TotalTime>1</TotalTime>
  <ScaleCrop>false</ScaleCrop>
  <LinksUpToDate>false</LinksUpToDate>
  <CharactersWithSpaces>26492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2020-11-18T03:21:00Z</cp:lastPrinted>
  <dcterms:modified xsi:type="dcterms:W3CDTF">2024-06-07T07:48:25Z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3F3AEF60031F459BB45F1EB8C7A16E06</vt:lpwstr>
  </property>
</Properties>
</file>