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cs="宋体"/>
          <w:b/>
          <w:shadow/>
          <w:color w:val="000000"/>
          <w:spacing w:val="36"/>
          <w:sz w:val="72"/>
          <w:szCs w:val="72"/>
        </w:rPr>
      </w:pPr>
      <w:bookmarkStart w:id="0" w:name="_Toc152042286"/>
      <w:bookmarkStart w:id="1" w:name="_Toc144974478"/>
      <w:bookmarkStart w:id="2" w:name="_Toc184635069"/>
      <w:r>
        <w:rPr>
          <w:rFonts w:hint="eastAsia" w:ascii="宋体" w:hAnsi="宋体" w:cs="宋体"/>
          <w:b/>
          <w:bCs/>
          <w:shadow/>
          <w:color w:val="000000"/>
          <w:kern w:val="0"/>
          <w:sz w:val="72"/>
          <w:szCs w:val="72"/>
        </w:rPr>
        <w:t>周口市公共资源交易中心</w:t>
      </w:r>
    </w:p>
    <w:p>
      <w:pPr>
        <w:tabs>
          <w:tab w:val="left" w:pos="315"/>
          <w:tab w:val="left" w:pos="8820"/>
        </w:tabs>
        <w:spacing w:line="500" w:lineRule="exact"/>
        <w:ind w:right="267" w:rightChars="127"/>
        <w:jc w:val="center"/>
        <w:rPr>
          <w:rFonts w:ascii="宋体" w:hAnsi="宋体" w:cs="宋体"/>
          <w:b/>
          <w:bCs/>
          <w:color w:val="000000"/>
          <w:sz w:val="48"/>
        </w:rPr>
      </w:pPr>
    </w:p>
    <w:p>
      <w:pPr>
        <w:tabs>
          <w:tab w:val="left" w:pos="315"/>
          <w:tab w:val="left" w:pos="8820"/>
        </w:tabs>
        <w:spacing w:line="500" w:lineRule="exact"/>
        <w:ind w:right="267" w:rightChars="127"/>
        <w:jc w:val="center"/>
        <w:rPr>
          <w:rFonts w:ascii="宋体" w:hAnsi="宋体" w:cs="宋体"/>
          <w:b/>
          <w:bCs/>
          <w:color w:val="000000"/>
          <w:sz w:val="52"/>
        </w:rPr>
      </w:pPr>
      <w:r>
        <w:rPr>
          <w:rFonts w:hint="eastAsia" w:ascii="宋体" w:hAnsi="宋体" w:cs="宋体"/>
          <w:b/>
          <w:bCs/>
          <w:color w:val="000000"/>
          <w:sz w:val="52"/>
        </w:rPr>
        <w:t>政 府 采 购 招 标 文 件</w:t>
      </w:r>
    </w:p>
    <w:p>
      <w:pPr>
        <w:tabs>
          <w:tab w:val="left" w:pos="315"/>
          <w:tab w:val="left" w:pos="8820"/>
        </w:tabs>
        <w:spacing w:line="500" w:lineRule="exact"/>
        <w:ind w:right="267" w:rightChars="127"/>
        <w:jc w:val="center"/>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spacing w:line="500" w:lineRule="exact"/>
        <w:ind w:right="267" w:rightChars="127"/>
        <w:rPr>
          <w:rFonts w:ascii="宋体" w:hAnsi="宋体" w:cs="宋体"/>
          <w:sz w:val="36"/>
        </w:rPr>
      </w:pPr>
    </w:p>
    <w:p>
      <w:pPr>
        <w:pStyle w:val="22"/>
        <w:spacing w:line="360" w:lineRule="auto"/>
        <w:rPr>
          <w:rFonts w:hint="eastAsia" w:ascii="宋体" w:hAnsi="宋体" w:eastAsia="宋体" w:cs="宋体"/>
          <w:sz w:val="32"/>
          <w:lang w:eastAsia="zh-CN"/>
        </w:rPr>
      </w:pPr>
      <w:r>
        <w:rPr>
          <w:rFonts w:hint="eastAsia" w:ascii="宋体" w:hAnsi="宋体" w:cs="宋体"/>
          <w:sz w:val="32"/>
          <w:szCs w:val="32"/>
        </w:rPr>
        <w:t>项目名称</w:t>
      </w:r>
      <w:r>
        <w:rPr>
          <w:rFonts w:hint="eastAsia" w:ascii="宋体" w:hAnsi="宋体" w:cs="宋体"/>
          <w:sz w:val="32"/>
          <w:szCs w:val="32"/>
          <w:lang w:eastAsia="zh-CN"/>
        </w:rPr>
        <w:t>：周口市城乡一体化示范区管理委员会社会事务管理局学校体育场等建设工程项目采购</w:t>
      </w:r>
    </w:p>
    <w:p>
      <w:pPr>
        <w:pStyle w:val="22"/>
        <w:spacing w:line="360" w:lineRule="auto"/>
        <w:rPr>
          <w:rFonts w:ascii="宋体" w:hAnsi="宋体" w:cs="宋体"/>
          <w:sz w:val="32"/>
        </w:rPr>
      </w:pPr>
      <w:r>
        <w:rPr>
          <w:rFonts w:hint="eastAsia" w:ascii="宋体" w:hAnsi="宋体" w:cs="宋体"/>
          <w:sz w:val="32"/>
        </w:rPr>
        <w:t>项目编号：示范招标采购-2024-14</w:t>
      </w:r>
    </w:p>
    <w:p>
      <w:pPr>
        <w:pStyle w:val="22"/>
        <w:rPr>
          <w:rFonts w:ascii="宋体" w:hAnsi="宋体" w:cs="宋体"/>
          <w:sz w:val="32"/>
        </w:rPr>
      </w:pPr>
    </w:p>
    <w:p>
      <w:pPr>
        <w:spacing w:line="360" w:lineRule="auto"/>
        <w:jc w:val="center"/>
        <w:rPr>
          <w:rFonts w:ascii="宋体" w:hAnsi="宋体"/>
          <w:b/>
          <w:color w:val="000000"/>
          <w:spacing w:val="-4"/>
          <w:sz w:val="84"/>
        </w:rPr>
      </w:pPr>
    </w:p>
    <w:p>
      <w:pPr>
        <w:spacing w:line="360" w:lineRule="auto"/>
        <w:jc w:val="center"/>
        <w:rPr>
          <w:rFonts w:ascii="宋体" w:hAnsi="宋体"/>
          <w:b/>
          <w:color w:val="000000"/>
          <w:spacing w:val="-4"/>
          <w:sz w:val="32"/>
          <w:szCs w:val="32"/>
        </w:rPr>
      </w:pPr>
    </w:p>
    <w:p>
      <w:pPr>
        <w:spacing w:line="360" w:lineRule="auto"/>
        <w:jc w:val="center"/>
        <w:rPr>
          <w:rFonts w:ascii="宋体" w:hAnsi="宋体"/>
          <w:b/>
          <w:color w:val="000000"/>
          <w:spacing w:val="-4"/>
          <w:sz w:val="32"/>
          <w:szCs w:val="32"/>
        </w:rPr>
      </w:pPr>
      <w:r>
        <w:rPr>
          <w:rFonts w:hint="eastAsia" w:ascii="宋体" w:hAnsi="宋体"/>
          <w:b/>
          <w:color w:val="000000"/>
          <w:spacing w:val="-4"/>
          <w:sz w:val="32"/>
          <w:szCs w:val="32"/>
          <w:lang w:val="en-US" w:eastAsia="zh-CN"/>
        </w:rPr>
        <w:t>2024</w:t>
      </w:r>
      <w:r>
        <w:rPr>
          <w:rFonts w:hint="eastAsia" w:ascii="宋体" w:hAnsi="宋体"/>
          <w:b/>
          <w:color w:val="000000"/>
          <w:spacing w:val="-4"/>
          <w:sz w:val="32"/>
          <w:szCs w:val="32"/>
        </w:rPr>
        <w:t>年</w:t>
      </w:r>
      <w:r>
        <w:rPr>
          <w:rFonts w:hint="eastAsia" w:ascii="宋体" w:hAnsi="宋体"/>
          <w:b/>
          <w:color w:val="000000"/>
          <w:spacing w:val="-4"/>
          <w:sz w:val="32"/>
          <w:szCs w:val="32"/>
          <w:lang w:val="en-US" w:eastAsia="zh-CN"/>
        </w:rPr>
        <w:t>6</w:t>
      </w:r>
      <w:r>
        <w:rPr>
          <w:rFonts w:hint="eastAsia" w:ascii="宋体" w:hAnsi="宋体"/>
          <w:b/>
          <w:color w:val="000000"/>
          <w:spacing w:val="-4"/>
          <w:sz w:val="32"/>
          <w:szCs w:val="32"/>
        </w:rPr>
        <w:t>月</w:t>
      </w:r>
    </w:p>
    <w:p>
      <w:pPr>
        <w:pStyle w:val="22"/>
        <w:jc w:val="center"/>
        <w:rPr>
          <w:color w:val="000000" w:themeColor="text1"/>
        </w:rPr>
      </w:pPr>
    </w:p>
    <w:p>
      <w:pPr>
        <w:pStyle w:val="22"/>
        <w:jc w:val="center"/>
        <w:rPr>
          <w:color w:val="000000" w:themeColor="text1"/>
        </w:rPr>
      </w:pPr>
    </w:p>
    <w:p>
      <w:pPr>
        <w:pStyle w:val="22"/>
        <w:jc w:val="center"/>
      </w:pPr>
    </w:p>
    <w:p>
      <w:pPr>
        <w:pStyle w:val="22"/>
        <w:jc w:val="center"/>
      </w:pPr>
    </w:p>
    <w:p>
      <w:pPr>
        <w:pStyle w:val="22"/>
        <w:jc w:val="center"/>
      </w:pPr>
    </w:p>
    <w:p>
      <w:pPr>
        <w:pStyle w:val="22"/>
        <w:jc w:val="center"/>
      </w:pPr>
    </w:p>
    <w:p>
      <w:pPr>
        <w:pStyle w:val="22"/>
        <w:jc w:val="center"/>
      </w:pPr>
    </w:p>
    <w:p>
      <w:pPr>
        <w:pStyle w:val="22"/>
        <w:jc w:val="center"/>
      </w:pPr>
    </w:p>
    <w:p>
      <w:pPr>
        <w:pStyle w:val="22"/>
        <w:jc w:val="center"/>
      </w:pPr>
    </w:p>
    <w:p>
      <w:pPr>
        <w:pStyle w:val="22"/>
        <w:jc w:val="center"/>
      </w:pPr>
    </w:p>
    <w:p>
      <w:pPr>
        <w:spacing w:line="360" w:lineRule="auto"/>
        <w:jc w:val="center"/>
        <w:rPr>
          <w:rFonts w:ascii="黑体" w:hAnsi="黑体" w:eastAsia="黑体"/>
          <w:bCs/>
          <w:sz w:val="44"/>
          <w:szCs w:val="44"/>
        </w:rPr>
      </w:pPr>
      <w:r>
        <w:rPr>
          <w:rFonts w:hint="eastAsia" w:ascii="黑体" w:hAnsi="黑体" w:eastAsia="黑体"/>
          <w:bCs/>
          <w:sz w:val="44"/>
          <w:szCs w:val="44"/>
        </w:rPr>
        <w:t>目  录</w:t>
      </w:r>
      <w:bookmarkEnd w:id="0"/>
      <w:bookmarkEnd w:id="1"/>
    </w:p>
    <w:p>
      <w:pPr>
        <w:pStyle w:val="40"/>
        <w:tabs>
          <w:tab w:val="right" w:leader="dot" w:pos="8313"/>
        </w:tabs>
        <w:rPr>
          <w:rFonts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TOC \o "1-3" \h \z \u </w:instrText>
      </w:r>
      <w:r>
        <w:rPr>
          <w:rFonts w:hint="eastAsia" w:asciiTheme="minorEastAsia" w:hAnsiTheme="minorEastAsia" w:eastAsiaTheme="minorEastAsia"/>
          <w:szCs w:val="28"/>
        </w:rPr>
        <w:fldChar w:fldCharType="separate"/>
      </w:r>
      <w:r>
        <w:fldChar w:fldCharType="begin"/>
      </w:r>
      <w:r>
        <w:instrText xml:space="preserve"> HYPERLINK \l "_Toc15558" </w:instrText>
      </w:r>
      <w:r>
        <w:fldChar w:fldCharType="separate"/>
      </w:r>
      <w:r>
        <w:rPr>
          <w:rFonts w:hint="eastAsia" w:asciiTheme="minorEastAsia" w:hAnsiTheme="minorEastAsia" w:eastAsiaTheme="minorEastAsia"/>
          <w:szCs w:val="28"/>
        </w:rPr>
        <w:t>第一章、 招标公告</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_Toc15558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"_Toc26819" </w:instrText>
      </w:r>
      <w:r>
        <w:fldChar w:fldCharType="separate"/>
      </w:r>
      <w:r>
        <w:rPr>
          <w:rFonts w:hint="eastAsia" w:asciiTheme="minorEastAsia" w:hAnsiTheme="minorEastAsia" w:eastAsiaTheme="minorEastAsia"/>
          <w:szCs w:val="28"/>
        </w:rPr>
        <w:t>第二章 投标人须知</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_Toc26819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"_Toc12301" </w:instrText>
      </w:r>
      <w:r>
        <w:fldChar w:fldCharType="separate"/>
      </w:r>
      <w:r>
        <w:rPr>
          <w:rFonts w:hint="eastAsia" w:asciiTheme="minorEastAsia" w:hAnsiTheme="minorEastAsia" w:eastAsiaTheme="minorEastAsia"/>
          <w:szCs w:val="28"/>
        </w:rPr>
        <w:t>投标人须知前附表</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_Toc12301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"_Toc32630" </w:instrText>
      </w:r>
      <w:r>
        <w:fldChar w:fldCharType="separate"/>
      </w:r>
      <w:r>
        <w:rPr>
          <w:rFonts w:hint="eastAsia" w:asciiTheme="minorEastAsia" w:hAnsiTheme="minorEastAsia" w:eastAsiaTheme="minorEastAsia"/>
          <w:szCs w:val="28"/>
        </w:rPr>
        <w:t>第三章 评标办法（综合评估法）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_Toc32630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19</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"_Toc28658" </w:instrText>
      </w:r>
      <w:r>
        <w:fldChar w:fldCharType="separate"/>
      </w:r>
      <w:r>
        <w:rPr>
          <w:rFonts w:hint="eastAsia" w:asciiTheme="minorEastAsia" w:hAnsiTheme="minorEastAsia" w:eastAsiaTheme="minorEastAsia"/>
          <w:szCs w:val="28"/>
        </w:rPr>
        <w:t>第四章、周口市政府采购合同（工程类）标准文本</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_Toc28658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25</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"_Toc1399" </w:instrText>
      </w:r>
      <w:r>
        <w:fldChar w:fldCharType="separate"/>
      </w:r>
      <w:r>
        <w:rPr>
          <w:rFonts w:hint="eastAsia" w:asciiTheme="minorEastAsia" w:hAnsiTheme="minorEastAsia" w:eastAsiaTheme="minorEastAsia"/>
          <w:szCs w:val="28"/>
        </w:rPr>
        <w:t>合同签订指引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_Toc1399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25</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"_Toc30000" </w:instrText>
      </w:r>
      <w:r>
        <w:fldChar w:fldCharType="separate"/>
      </w:r>
      <w:r>
        <w:rPr>
          <w:rFonts w:hint="eastAsia" w:asciiTheme="minorEastAsia" w:hAnsiTheme="minorEastAsia" w:eastAsiaTheme="minorEastAsia"/>
          <w:szCs w:val="28"/>
        </w:rPr>
        <w:t>供应商履约验收指引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_Toc30000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"_Toc11393" </w:instrText>
      </w:r>
      <w:r>
        <w:fldChar w:fldCharType="separate"/>
      </w:r>
      <w:r>
        <w:rPr>
          <w:rFonts w:hint="eastAsia" w:asciiTheme="minorEastAsia" w:hAnsiTheme="minorEastAsia" w:eastAsiaTheme="minorEastAsia"/>
          <w:szCs w:val="28"/>
        </w:rPr>
        <w:t>第五章 工程量清单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_Toc11393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39</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"_Toc30512" </w:instrText>
      </w:r>
      <w:r>
        <w:fldChar w:fldCharType="separate"/>
      </w:r>
      <w:r>
        <w:rPr>
          <w:rFonts w:hint="eastAsia" w:asciiTheme="minorEastAsia" w:hAnsiTheme="minorEastAsia" w:eastAsiaTheme="minorEastAsia"/>
          <w:szCs w:val="28"/>
        </w:rPr>
        <w:t>第六章 图纸</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_Toc30512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40</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"_Toc14891" </w:instrText>
      </w:r>
      <w:r>
        <w:fldChar w:fldCharType="separate"/>
      </w:r>
      <w:r>
        <w:rPr>
          <w:rFonts w:hint="eastAsia" w:asciiTheme="minorEastAsia" w:hAnsiTheme="minorEastAsia" w:eastAsiaTheme="minorEastAsia"/>
          <w:szCs w:val="28"/>
        </w:rPr>
        <w:t>第七章 技术标准</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_Toc14891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41</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"_Toc22294" </w:instrText>
      </w:r>
      <w:r>
        <w:fldChar w:fldCharType="separate"/>
      </w:r>
      <w:r>
        <w:rPr>
          <w:rFonts w:hint="eastAsia" w:asciiTheme="minorEastAsia" w:hAnsiTheme="minorEastAsia" w:eastAsiaTheme="minorEastAsia"/>
          <w:szCs w:val="28"/>
        </w:rPr>
        <w:t>第八章 投标文件格式</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_Toc22294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42</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pPr>
      <w:r>
        <w:fldChar w:fldCharType="begin"/>
      </w:r>
      <w:r>
        <w:instrText xml:space="preserve"> HYPERLINK \l "_Toc4150" </w:instrText>
      </w:r>
      <w:r>
        <w:fldChar w:fldCharType="separate"/>
      </w:r>
      <w:r>
        <w:rPr>
          <w:rFonts w:hint="eastAsia" w:asciiTheme="minorEastAsia" w:hAnsiTheme="minorEastAsia" w:eastAsiaTheme="minorEastAsia"/>
          <w:szCs w:val="28"/>
        </w:rPr>
        <w:t>周口市政府采购合同融资政策告知函</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_Toc4150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68</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40"/>
        <w:tabs>
          <w:tab w:val="right" w:leader="dot" w:pos="8313"/>
        </w:tabs>
        <w:rPr>
          <w:rFonts w:asciiTheme="minorEastAsia" w:hAnsiTheme="minorEastAsia" w:eastAsiaTheme="minorEastAsia"/>
          <w:szCs w:val="28"/>
        </w:rPr>
        <w:sectPr>
          <w:footerReference r:id="rId3" w:type="default"/>
          <w:pgSz w:w="11907" w:h="16839"/>
          <w:pgMar w:top="1440" w:right="1797" w:bottom="1440" w:left="1797" w:header="851" w:footer="992" w:gutter="0"/>
          <w:pgNumType w:start="1"/>
          <w:cols w:space="720" w:num="1"/>
          <w:titlePg/>
          <w:docGrid w:linePitch="312" w:charSpace="0"/>
        </w:sectPr>
      </w:pPr>
      <w:r>
        <w:rPr>
          <w:rFonts w:hint="eastAsia" w:asciiTheme="minorEastAsia" w:hAnsiTheme="minorEastAsia" w:eastAsiaTheme="minorEastAsia"/>
          <w:szCs w:val="28"/>
        </w:rPr>
        <w:fldChar w:fldCharType="end"/>
      </w:r>
      <w:bookmarkEnd w:id="2"/>
      <w:bookmarkStart w:id="3" w:name="_Toc15558"/>
      <w:bookmarkStart w:id="4" w:name="OLE_LINK1"/>
      <w:bookmarkStart w:id="5" w:name="OLE_LINK3"/>
      <w:bookmarkStart w:id="6" w:name="OLE_LINK2"/>
      <w:bookmarkStart w:id="7" w:name="_Toc430166811"/>
    </w:p>
    <w:p>
      <w:pPr>
        <w:pStyle w:val="40"/>
        <w:tabs>
          <w:tab w:val="right" w:leader="dot" w:pos="8313"/>
        </w:tabs>
        <w:ind w:left="0" w:leftChars="0" w:firstLine="0" w:firstLineChars="0"/>
        <w:jc w:val="center"/>
        <w:rPr>
          <w:rFonts w:ascii="宋体" w:hAnsi="宋体"/>
          <w:bCs w:val="0"/>
          <w:sz w:val="36"/>
          <w:szCs w:val="36"/>
        </w:rPr>
      </w:pPr>
      <w:r>
        <w:rPr>
          <w:rFonts w:hint="eastAsia" w:ascii="宋体" w:hAnsi="宋体"/>
          <w:bCs w:val="0"/>
          <w:sz w:val="36"/>
          <w:szCs w:val="36"/>
        </w:rPr>
        <w:t>第一章  招标公告</w:t>
      </w:r>
      <w:bookmarkEnd w:id="3"/>
    </w:p>
    <w:bookmarkEnd w:id="4"/>
    <w:bookmarkEnd w:id="5"/>
    <w:bookmarkEnd w:id="6"/>
    <w:p>
      <w:pPr>
        <w:spacing w:line="360" w:lineRule="auto"/>
        <w:ind w:firstLine="480" w:firstLineChars="200"/>
        <w:jc w:val="left"/>
        <w:rPr>
          <w:rFonts w:ascii="宋体" w:hAnsi="宋体" w:cs="宋体"/>
          <w:sz w:val="24"/>
        </w:rPr>
      </w:pPr>
      <w:bookmarkStart w:id="8" w:name="_Toc35393790"/>
      <w:bookmarkStart w:id="9" w:name="_Toc28359079"/>
      <w:bookmarkStart w:id="10" w:name="_Toc28359002"/>
      <w:bookmarkStart w:id="11" w:name="_Toc35393621"/>
      <w:bookmarkStart w:id="12" w:name="_Hlk24379207"/>
      <w:r>
        <w:rPr>
          <w:rFonts w:hint="eastAsia" w:ascii="宋体" w:hAnsi="宋体" w:cs="宋体"/>
          <w:sz w:val="24"/>
        </w:rPr>
        <w:t>项目概况</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 xml:space="preserve"> </w:t>
      </w:r>
      <w:r>
        <w:rPr>
          <w:rFonts w:hint="eastAsia" w:ascii="宋体" w:hAnsi="宋体" w:cs="宋体"/>
          <w:sz w:val="24"/>
          <w:lang w:eastAsia="zh-CN"/>
        </w:rPr>
        <w:t>周口市城乡一体化示范区管理委员会社会事务管理局学校体育场等建设工程项目采购</w:t>
      </w:r>
      <w:r>
        <w:rPr>
          <w:rFonts w:hint="eastAsia" w:ascii="宋体" w:hAnsi="宋体" w:cs="宋体"/>
          <w:sz w:val="24"/>
        </w:rPr>
        <w:t>的潜在投标人应在周口市公共资源交易中心网（http://jyzx.zhoukou.gov.cn）获取招标文件，并于</w:t>
      </w:r>
      <w:r>
        <w:rPr>
          <w:rFonts w:hint="eastAsia" w:ascii="宋体" w:hAnsi="宋体" w:eastAsia="宋体" w:cs="宋体"/>
          <w:i w:val="0"/>
          <w:iCs w:val="0"/>
          <w:color w:val="auto"/>
          <w:sz w:val="24"/>
          <w:szCs w:val="24"/>
          <w:highlight w:val="none"/>
          <w:lang w:val="en-US" w:eastAsia="zh-CN"/>
        </w:rPr>
        <w:t>2024年</w:t>
      </w:r>
      <w:r>
        <w:rPr>
          <w:rFonts w:hint="eastAsia" w:ascii="宋体" w:hAnsi="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月</w:t>
      </w:r>
      <w:r>
        <w:rPr>
          <w:rFonts w:hint="eastAsia" w:ascii="宋体" w:hAnsi="宋体" w:cs="宋体"/>
          <w:i w:val="0"/>
          <w:iCs w:val="0"/>
          <w:color w:val="auto"/>
          <w:sz w:val="24"/>
          <w:szCs w:val="24"/>
          <w:highlight w:val="none"/>
          <w:lang w:val="en-US" w:eastAsia="zh-CN"/>
        </w:rPr>
        <w:t>18</w:t>
      </w:r>
      <w:r>
        <w:rPr>
          <w:rFonts w:hint="eastAsia" w:ascii="宋体" w:hAnsi="宋体" w:eastAsia="宋体" w:cs="宋体"/>
          <w:i w:val="0"/>
          <w:iCs w:val="0"/>
          <w:color w:val="auto"/>
          <w:sz w:val="24"/>
          <w:szCs w:val="24"/>
          <w:highlight w:val="none"/>
          <w:lang w:val="en-US" w:eastAsia="zh-CN"/>
        </w:rPr>
        <w:t>日10点00分</w:t>
      </w:r>
      <w:bookmarkStart w:id="131" w:name="_GoBack"/>
      <w:bookmarkEnd w:id="131"/>
      <w:r>
        <w:rPr>
          <w:rFonts w:hint="eastAsia" w:ascii="宋体" w:hAnsi="宋体" w:cs="宋体"/>
          <w:sz w:val="24"/>
        </w:rPr>
        <w:t>（北京时间）前递交投标文件。</w:t>
      </w:r>
    </w:p>
    <w:p>
      <w:pPr>
        <w:spacing w:line="360" w:lineRule="auto"/>
        <w:ind w:firstLine="480" w:firstLineChars="200"/>
        <w:jc w:val="left"/>
        <w:rPr>
          <w:rFonts w:ascii="宋体" w:hAnsi="宋体" w:cs="宋体"/>
          <w:sz w:val="24"/>
        </w:rPr>
      </w:pPr>
      <w:r>
        <w:rPr>
          <w:rFonts w:hint="eastAsia" w:ascii="宋体" w:hAnsi="宋体" w:cs="宋体"/>
          <w:sz w:val="24"/>
        </w:rPr>
        <w:t>一、项目基本情况</w:t>
      </w:r>
      <w:bookmarkEnd w:id="8"/>
      <w:bookmarkEnd w:id="9"/>
      <w:bookmarkEnd w:id="10"/>
      <w:bookmarkEnd w:id="11"/>
    </w:p>
    <w:p>
      <w:pPr>
        <w:spacing w:line="360" w:lineRule="auto"/>
        <w:ind w:firstLine="480" w:firstLineChars="200"/>
        <w:jc w:val="left"/>
        <w:rPr>
          <w:rFonts w:ascii="宋体" w:hAnsi="宋体" w:cs="宋体"/>
          <w:sz w:val="24"/>
        </w:rPr>
      </w:pPr>
      <w:r>
        <w:rPr>
          <w:rFonts w:hint="eastAsia" w:ascii="宋体" w:hAnsi="宋体" w:cs="宋体"/>
          <w:sz w:val="24"/>
        </w:rPr>
        <w:t>项目编号：示范招标采购-2024-14</w:t>
      </w:r>
    </w:p>
    <w:p>
      <w:pPr>
        <w:spacing w:line="360" w:lineRule="auto"/>
        <w:ind w:firstLine="480" w:firstLineChars="200"/>
        <w:jc w:val="left"/>
        <w:rPr>
          <w:rFonts w:ascii="宋体" w:hAnsi="宋体" w:cs="宋体"/>
          <w:sz w:val="24"/>
        </w:rPr>
      </w:pPr>
      <w:r>
        <w:rPr>
          <w:rFonts w:hint="eastAsia" w:ascii="宋体" w:hAnsi="宋体" w:cs="宋体"/>
          <w:sz w:val="24"/>
        </w:rPr>
        <w:t>项目名称：</w:t>
      </w:r>
      <w:r>
        <w:rPr>
          <w:rFonts w:hint="eastAsia" w:ascii="宋体" w:hAnsi="宋体" w:cs="宋体"/>
          <w:sz w:val="24"/>
          <w:lang w:eastAsia="zh-CN"/>
        </w:rPr>
        <w:t>周口市城乡一体化示范区管理委员会社会事务管理局学校体育场等建设工程项目采购</w:t>
      </w:r>
    </w:p>
    <w:bookmarkEnd w:id="12"/>
    <w:p>
      <w:pPr>
        <w:spacing w:line="360" w:lineRule="auto"/>
        <w:ind w:firstLine="480" w:firstLineChars="200"/>
        <w:jc w:val="left"/>
        <w:rPr>
          <w:rFonts w:ascii="宋体" w:hAnsi="宋体" w:cs="宋体"/>
          <w:sz w:val="24"/>
        </w:rPr>
      </w:pPr>
      <w:r>
        <w:rPr>
          <w:rFonts w:hint="eastAsia" w:ascii="宋体" w:hAnsi="宋体" w:cs="宋体"/>
          <w:sz w:val="24"/>
        </w:rPr>
        <w:t>预算金额：469.773335万元</w:t>
      </w:r>
    </w:p>
    <w:p>
      <w:pPr>
        <w:spacing w:line="360" w:lineRule="auto"/>
        <w:ind w:firstLine="480" w:firstLineChars="200"/>
        <w:jc w:val="left"/>
        <w:rPr>
          <w:rFonts w:ascii="宋体" w:hAnsi="宋体" w:cs="宋体"/>
          <w:sz w:val="24"/>
        </w:rPr>
      </w:pPr>
      <w:r>
        <w:rPr>
          <w:rFonts w:hint="eastAsia" w:ascii="宋体" w:hAnsi="宋体" w:cs="宋体"/>
          <w:sz w:val="24"/>
        </w:rPr>
        <w:t>最高限价（如有）：469.773335万元</w:t>
      </w:r>
    </w:p>
    <w:p>
      <w:pPr>
        <w:pStyle w:val="23"/>
        <w:adjustRightInd w:val="0"/>
        <w:snapToGrid w:val="0"/>
        <w:spacing w:line="360" w:lineRule="auto"/>
        <w:ind w:firstLine="480" w:firstLineChars="200"/>
      </w:pPr>
      <w:r>
        <w:rPr>
          <w:rFonts w:hint="eastAsia" w:ascii="宋体" w:hAnsi="宋体" w:cs="宋体"/>
          <w:color w:val="000000"/>
          <w:kern w:val="0"/>
          <w:sz w:val="24"/>
        </w:rPr>
        <w:t>采购方式：公开招标</w:t>
      </w:r>
    </w:p>
    <w:p>
      <w:pPr>
        <w:spacing w:line="360" w:lineRule="auto"/>
        <w:ind w:firstLine="480" w:firstLineChars="200"/>
        <w:jc w:val="left"/>
        <w:rPr>
          <w:rFonts w:ascii="宋体" w:hAnsi="宋体" w:cs="宋体"/>
          <w:sz w:val="24"/>
        </w:rPr>
      </w:pPr>
      <w:r>
        <w:rPr>
          <w:rFonts w:hint="eastAsia" w:ascii="宋体" w:hAnsi="宋体" w:cs="宋体"/>
          <w:sz w:val="24"/>
        </w:rPr>
        <w:t>包别划分：</w:t>
      </w:r>
      <w:r>
        <w:rPr>
          <w:rFonts w:hint="eastAsia" w:ascii="宋体" w:hAnsi="宋体" w:cs="宋体"/>
          <w:sz w:val="24"/>
          <w:u w:val="single"/>
        </w:rPr>
        <w:t xml:space="preserve"> </w:t>
      </w:r>
      <w:r>
        <w:rPr>
          <w:rFonts w:hint="eastAsia" w:ascii="宋体" w:hAnsi="宋体" w:cs="宋体"/>
          <w:sz w:val="24"/>
          <w:u w:val="single"/>
          <w:lang w:val="en-US" w:eastAsia="zh-CN"/>
        </w:rPr>
        <w:t>1</w:t>
      </w:r>
      <w:r>
        <w:rPr>
          <w:rFonts w:hint="eastAsia" w:ascii="宋体" w:hAnsi="宋体" w:cs="宋体"/>
          <w:sz w:val="24"/>
          <w:u w:val="single"/>
        </w:rPr>
        <w:t xml:space="preserve"> </w:t>
      </w:r>
      <w:r>
        <w:rPr>
          <w:rFonts w:hint="eastAsia" w:ascii="宋体" w:hAnsi="宋体" w:cs="宋体"/>
          <w:sz w:val="24"/>
        </w:rPr>
        <w:t>个包</w:t>
      </w:r>
    </w:p>
    <w:tbl>
      <w:tblPr>
        <w:tblStyle w:val="48"/>
        <w:tblpPr w:leftFromText="180" w:rightFromText="180" w:vertAnchor="text" w:horzAnchor="margin" w:tblpXSpec="center" w:tblpY="154"/>
        <w:tblW w:w="7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4127"/>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61" w:type="dxa"/>
            <w:vAlign w:val="center"/>
          </w:tcPr>
          <w:p>
            <w:pPr>
              <w:spacing w:line="360" w:lineRule="auto"/>
              <w:jc w:val="left"/>
              <w:rPr>
                <w:rFonts w:ascii="宋体" w:hAnsi="宋体" w:cs="宋体"/>
                <w:sz w:val="24"/>
              </w:rPr>
            </w:pPr>
            <w:r>
              <w:rPr>
                <w:rFonts w:hint="eastAsia" w:ascii="宋体" w:hAnsi="宋体" w:cs="宋体"/>
                <w:sz w:val="24"/>
              </w:rPr>
              <w:t>包号</w:t>
            </w:r>
          </w:p>
        </w:tc>
        <w:tc>
          <w:tcPr>
            <w:tcW w:w="4127" w:type="dxa"/>
            <w:vAlign w:val="center"/>
          </w:tcPr>
          <w:p>
            <w:pPr>
              <w:spacing w:line="360" w:lineRule="auto"/>
              <w:ind w:firstLine="480" w:firstLineChars="200"/>
              <w:jc w:val="left"/>
              <w:rPr>
                <w:rFonts w:ascii="宋体" w:hAnsi="宋体" w:cs="宋体"/>
                <w:sz w:val="24"/>
              </w:rPr>
            </w:pPr>
            <w:r>
              <w:rPr>
                <w:rFonts w:hint="eastAsia" w:ascii="宋体" w:hAnsi="宋体" w:cs="宋体"/>
                <w:sz w:val="24"/>
              </w:rPr>
              <w:t>包名称</w:t>
            </w:r>
          </w:p>
        </w:tc>
        <w:tc>
          <w:tcPr>
            <w:tcW w:w="1712" w:type="dxa"/>
            <w:vAlign w:val="center"/>
          </w:tcPr>
          <w:p>
            <w:pPr>
              <w:spacing w:line="360" w:lineRule="auto"/>
              <w:jc w:val="left"/>
              <w:rPr>
                <w:rFonts w:ascii="宋体" w:hAnsi="宋体" w:cs="宋体"/>
                <w:sz w:val="24"/>
              </w:rPr>
            </w:pPr>
            <w:r>
              <w:rPr>
                <w:rFonts w:hint="eastAsia" w:ascii="宋体" w:hAnsi="宋体" w:cs="宋体"/>
                <w:sz w:val="24"/>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61" w:type="dxa"/>
            <w:vAlign w:val="center"/>
          </w:tcPr>
          <w:p>
            <w:pPr>
              <w:spacing w:line="360" w:lineRule="auto"/>
              <w:ind w:firstLine="480" w:firstLineChars="200"/>
              <w:jc w:val="left"/>
              <w:rPr>
                <w:rFonts w:ascii="宋体" w:hAnsi="宋体" w:cs="宋体"/>
                <w:sz w:val="24"/>
              </w:rPr>
            </w:pPr>
            <w:r>
              <w:rPr>
                <w:rFonts w:hint="eastAsia" w:ascii="宋体" w:hAnsi="宋体" w:cs="宋体"/>
                <w:sz w:val="24"/>
              </w:rPr>
              <w:t>1</w:t>
            </w:r>
          </w:p>
        </w:tc>
        <w:tc>
          <w:tcPr>
            <w:tcW w:w="4127" w:type="dxa"/>
            <w:vAlign w:val="center"/>
          </w:tcPr>
          <w:p>
            <w:pPr>
              <w:spacing w:line="360" w:lineRule="auto"/>
              <w:jc w:val="left"/>
              <w:rPr>
                <w:rFonts w:ascii="宋体" w:hAnsi="宋体" w:cs="宋体"/>
                <w:sz w:val="24"/>
              </w:rPr>
            </w:pPr>
            <w:r>
              <w:rPr>
                <w:rFonts w:hint="eastAsia" w:ascii="宋体" w:hAnsi="宋体" w:cs="宋体"/>
                <w:sz w:val="24"/>
                <w:lang w:eastAsia="zh-CN"/>
              </w:rPr>
              <w:t>周口市城乡一体化示范区管理委员会社会事务管理局学校体育场等建设工程项目采购</w:t>
            </w:r>
          </w:p>
        </w:tc>
        <w:tc>
          <w:tcPr>
            <w:tcW w:w="1712" w:type="dxa"/>
            <w:vAlign w:val="center"/>
          </w:tcPr>
          <w:p>
            <w:pPr>
              <w:spacing w:line="360" w:lineRule="auto"/>
              <w:jc w:val="left"/>
              <w:rPr>
                <w:rFonts w:ascii="宋体" w:hAnsi="宋体" w:cs="宋体"/>
                <w:sz w:val="24"/>
              </w:rPr>
            </w:pPr>
            <w:r>
              <w:rPr>
                <w:rFonts w:hint="eastAsia" w:ascii="宋体" w:hAnsi="宋体" w:cs="宋体"/>
                <w:sz w:val="24"/>
              </w:rPr>
              <w:t xml:space="preserve">469.773335 </w:t>
            </w:r>
          </w:p>
        </w:tc>
      </w:tr>
    </w:tbl>
    <w:p>
      <w:pPr>
        <w:spacing w:line="360" w:lineRule="auto"/>
        <w:ind w:firstLine="480" w:firstLineChars="200"/>
        <w:jc w:val="left"/>
        <w:rPr>
          <w:rFonts w:ascii="宋体" w:hAnsi="宋体" w:cs="宋体"/>
          <w:sz w:val="24"/>
        </w:rPr>
      </w:pPr>
    </w:p>
    <w:p>
      <w:pPr>
        <w:spacing w:line="360" w:lineRule="auto"/>
        <w:ind w:left="479" w:leftChars="228" w:firstLine="0" w:firstLineChars="0"/>
        <w:jc w:val="left"/>
        <w:rPr>
          <w:rFonts w:hint="eastAsia" w:ascii="宋体" w:hAnsi="宋体" w:cs="宋体"/>
          <w:sz w:val="24"/>
        </w:rPr>
      </w:pPr>
    </w:p>
    <w:p>
      <w:pPr>
        <w:spacing w:line="360" w:lineRule="auto"/>
        <w:ind w:left="479" w:leftChars="228" w:firstLine="0" w:firstLineChars="0"/>
        <w:jc w:val="left"/>
        <w:rPr>
          <w:rFonts w:hint="eastAsia" w:ascii="宋体" w:hAnsi="宋体" w:cs="宋体"/>
          <w:sz w:val="24"/>
        </w:rPr>
      </w:pPr>
    </w:p>
    <w:p>
      <w:pPr>
        <w:spacing w:line="360" w:lineRule="auto"/>
        <w:ind w:left="479" w:leftChars="228" w:firstLine="0" w:firstLineChars="0"/>
        <w:jc w:val="left"/>
        <w:rPr>
          <w:rFonts w:hint="eastAsia" w:ascii="宋体" w:hAnsi="宋体" w:cs="宋体"/>
          <w:sz w:val="24"/>
        </w:rPr>
      </w:pPr>
    </w:p>
    <w:p>
      <w:pPr>
        <w:spacing w:line="360" w:lineRule="auto"/>
        <w:ind w:left="479" w:leftChars="228" w:firstLine="0" w:firstLineChars="0"/>
        <w:jc w:val="left"/>
        <w:rPr>
          <w:rFonts w:hint="eastAsia" w:ascii="宋体" w:hAnsi="宋体" w:cs="宋体"/>
          <w:sz w:val="24"/>
        </w:rPr>
      </w:pPr>
    </w:p>
    <w:p>
      <w:pPr>
        <w:spacing w:line="360" w:lineRule="auto"/>
        <w:ind w:left="479" w:leftChars="228" w:firstLine="0" w:firstLineChars="0"/>
        <w:jc w:val="left"/>
        <w:rPr>
          <w:rFonts w:hint="eastAsia" w:ascii="宋体" w:hAnsi="宋体" w:cs="宋体"/>
          <w:sz w:val="24"/>
        </w:rPr>
      </w:pPr>
    </w:p>
    <w:p>
      <w:pPr>
        <w:spacing w:line="360" w:lineRule="auto"/>
        <w:ind w:left="479" w:leftChars="228" w:firstLine="0" w:firstLineChars="0"/>
        <w:jc w:val="left"/>
        <w:rPr>
          <w:rFonts w:ascii="宋体" w:hAnsi="宋体" w:cs="宋体"/>
          <w:sz w:val="24"/>
        </w:rPr>
      </w:pPr>
      <w:r>
        <w:rPr>
          <w:rFonts w:hint="eastAsia" w:ascii="宋体" w:hAnsi="宋体" w:cs="宋体"/>
          <w:sz w:val="24"/>
        </w:rPr>
        <w:t>采购需求：（包括但不限于标的的名称、数量、简要技术需求或服务要求等）</w:t>
      </w:r>
      <w:r>
        <w:rPr>
          <w:rFonts w:hint="eastAsia" w:ascii="宋体" w:hAnsi="宋体" w:cs="宋体"/>
          <w:sz w:val="24"/>
          <w:lang w:eastAsia="zh-CN"/>
        </w:rPr>
        <w:t>周口市城乡一体化示范区管理委员会社会事务管理局学校体育场等建设工程项目采购</w:t>
      </w:r>
    </w:p>
    <w:p>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rPr>
        <w:t>合同履行期限：</w:t>
      </w:r>
      <w:r>
        <w:rPr>
          <w:rFonts w:hint="eastAsia" w:ascii="宋体" w:hAnsi="宋体" w:cs="宋体"/>
          <w:sz w:val="24"/>
          <w:lang w:val="en-US" w:eastAsia="zh-CN"/>
        </w:rPr>
        <w:t>45日历天</w:t>
      </w:r>
    </w:p>
    <w:p>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是否接受进口产品：否</w:t>
      </w:r>
      <w:r>
        <w:rPr>
          <w:rFonts w:hint="eastAsia" w:ascii="宋体" w:hAnsi="宋体" w:cs="宋体"/>
          <w:sz w:val="24"/>
          <w:lang w:val="en-US" w:eastAsia="zh-CN"/>
        </w:rPr>
        <w:t xml:space="preserve"> </w:t>
      </w:r>
    </w:p>
    <w:p>
      <w:pPr>
        <w:spacing w:line="360" w:lineRule="auto"/>
        <w:ind w:firstLine="480" w:firstLineChars="200"/>
        <w:jc w:val="left"/>
        <w:rPr>
          <w:rFonts w:ascii="宋体" w:hAnsi="宋体" w:cs="宋体"/>
          <w:sz w:val="24"/>
        </w:rPr>
      </w:pPr>
      <w:r>
        <w:rPr>
          <w:rFonts w:hint="eastAsia" w:ascii="宋体" w:hAnsi="宋体" w:cs="宋体"/>
          <w:sz w:val="24"/>
        </w:rPr>
        <w:t>本项目是否接受联合体投标：否</w:t>
      </w:r>
    </w:p>
    <w:p>
      <w:pPr>
        <w:spacing w:line="360" w:lineRule="auto"/>
        <w:ind w:firstLine="480" w:firstLineChars="200"/>
        <w:jc w:val="left"/>
        <w:rPr>
          <w:rFonts w:hint="eastAsia" w:eastAsia="宋体"/>
          <w:highlight w:val="none"/>
          <w:lang w:eastAsia="zh-CN"/>
        </w:rPr>
      </w:pPr>
      <w:bookmarkStart w:id="13" w:name="_Toc28359003"/>
      <w:bookmarkStart w:id="14" w:name="_Toc28359080"/>
      <w:bookmarkStart w:id="15" w:name="_Toc35393791"/>
      <w:bookmarkStart w:id="16" w:name="_Toc35393622"/>
      <w:r>
        <w:rPr>
          <w:rFonts w:hint="eastAsia" w:ascii="宋体" w:hAnsi="宋体" w:cs="宋体"/>
          <w:sz w:val="24"/>
          <w:highlight w:val="none"/>
        </w:rPr>
        <w:t>本项目是否为只面向中小企业采购：是，采购预留金额469.773335万元</w:t>
      </w:r>
      <w:r>
        <w:rPr>
          <w:rFonts w:hint="eastAsia" w:ascii="宋体" w:hAnsi="宋体" w:cs="宋体"/>
          <w:sz w:val="24"/>
          <w:highlight w:val="none"/>
          <w:lang w:eastAsia="zh-CN"/>
        </w:rPr>
        <w:t>，</w:t>
      </w:r>
      <w:r>
        <w:rPr>
          <w:rFonts w:hint="eastAsia" w:ascii="宋体" w:hAnsi="宋体" w:cs="宋体"/>
          <w:sz w:val="24"/>
          <w:highlight w:val="none"/>
        </w:rPr>
        <w:t>必须提供中小企业声明函</w:t>
      </w:r>
      <w:r>
        <w:rPr>
          <w:rFonts w:hint="eastAsia" w:ascii="宋体" w:hAnsi="宋体" w:cs="宋体"/>
          <w:sz w:val="24"/>
          <w:highlight w:val="none"/>
          <w:lang w:eastAsia="zh-CN"/>
        </w:rPr>
        <w:t>。</w:t>
      </w:r>
    </w:p>
    <w:p>
      <w:pPr>
        <w:spacing w:line="360" w:lineRule="auto"/>
        <w:ind w:firstLine="480" w:firstLineChars="200"/>
        <w:jc w:val="left"/>
        <w:rPr>
          <w:rFonts w:ascii="宋体" w:hAnsi="宋体" w:cs="宋体"/>
          <w:sz w:val="24"/>
        </w:rPr>
      </w:pPr>
      <w:r>
        <w:rPr>
          <w:rFonts w:hint="eastAsia" w:ascii="宋体" w:hAnsi="宋体" w:cs="宋体"/>
          <w:sz w:val="24"/>
        </w:rPr>
        <w:t>二、申请人的资格要求：</w:t>
      </w:r>
      <w:bookmarkEnd w:id="13"/>
      <w:bookmarkEnd w:id="14"/>
      <w:bookmarkEnd w:id="15"/>
      <w:bookmarkEnd w:id="16"/>
    </w:p>
    <w:p>
      <w:pPr>
        <w:spacing w:line="360" w:lineRule="auto"/>
        <w:ind w:firstLine="480" w:firstLineChars="200"/>
        <w:jc w:val="left"/>
        <w:rPr>
          <w:rFonts w:ascii="宋体" w:hAnsi="宋体" w:cs="宋体"/>
          <w:sz w:val="24"/>
        </w:rPr>
      </w:pPr>
      <w:r>
        <w:rPr>
          <w:rFonts w:hint="eastAsia" w:ascii="宋体" w:hAnsi="宋体" w:cs="宋体"/>
          <w:sz w:val="24"/>
        </w:rPr>
        <w:t>1.满足《中华人民共和国政府采购法》第二十二条规定；</w:t>
      </w:r>
    </w:p>
    <w:p>
      <w:pPr>
        <w:pStyle w:val="23"/>
        <w:adjustRightInd w:val="0"/>
        <w:snapToGrid w:val="0"/>
        <w:spacing w:line="360" w:lineRule="auto"/>
        <w:ind w:firstLine="480" w:firstLineChars="200"/>
        <w:rPr>
          <w:rFonts w:ascii="宋体" w:hAnsi="宋体" w:cs="宋体"/>
          <w:sz w:val="24"/>
        </w:rPr>
      </w:pPr>
      <w:r>
        <w:rPr>
          <w:rFonts w:hint="eastAsia" w:ascii="宋体" w:hAnsi="宋体" w:cs="宋体"/>
          <w:sz w:val="24"/>
        </w:rPr>
        <w:t>（1）具有独立承担民事责任的能力（企业营业执照等证明文件）；</w:t>
      </w:r>
    </w:p>
    <w:p>
      <w:pPr>
        <w:pStyle w:val="23"/>
        <w:adjustRightInd w:val="0"/>
        <w:snapToGrid w:val="0"/>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pPr>
        <w:pStyle w:val="23"/>
        <w:adjustRightInd w:val="0"/>
        <w:snapToGrid w:val="0"/>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pPr>
        <w:pStyle w:val="23"/>
        <w:adjustRightInd w:val="0"/>
        <w:snapToGrid w:val="0"/>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（4）有依法缴纳税收和社会保障资金的良好记录（缴纳的税收凭据、社会保险凭据，依法免税或不需要缴纳社会保障资金的供应商应提供相应的证明文件）；</w:t>
      </w:r>
    </w:p>
    <w:p>
      <w:pPr>
        <w:pStyle w:val="23"/>
        <w:adjustRightInd w:val="0"/>
        <w:snapToGrid w:val="0"/>
        <w:spacing w:line="360" w:lineRule="auto"/>
        <w:ind w:firstLine="480" w:firstLineChars="200"/>
      </w:pPr>
      <w:r>
        <w:rPr>
          <w:rFonts w:hint="eastAsia" w:ascii="宋体" w:hAnsi="宋体" w:cs="宋体"/>
          <w:sz w:val="24"/>
        </w:rPr>
        <w:t>（5）参加政府采购活动前三年内，在经营活动中没有重大违法记录（提供没有重大违法记录的书面声明函，格式自拟）；</w:t>
      </w:r>
    </w:p>
    <w:p>
      <w:pPr>
        <w:spacing w:line="360" w:lineRule="auto"/>
        <w:ind w:firstLine="480" w:firstLineChars="200"/>
        <w:jc w:val="left"/>
        <w:rPr>
          <w:rFonts w:ascii="宋体" w:hAnsi="宋体" w:cs="宋体"/>
          <w:sz w:val="24"/>
        </w:rPr>
      </w:pPr>
      <w:bookmarkStart w:id="17" w:name="_Toc28359004"/>
      <w:bookmarkStart w:id="18" w:name="_Toc28359081"/>
      <w:r>
        <w:rPr>
          <w:rFonts w:hint="eastAsia" w:ascii="宋体" w:hAnsi="宋体" w:cs="宋体"/>
          <w:sz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ascii="宋体" w:hAnsi="宋体" w:cs="宋体"/>
          <w:sz w:val="24"/>
        </w:rPr>
      </w:pPr>
      <w:r>
        <w:rPr>
          <w:rFonts w:hint="eastAsia" w:ascii="宋体" w:hAnsi="宋体" w:cs="宋体"/>
          <w:sz w:val="24"/>
        </w:rPr>
        <w:t>3.本项目的特定资格要求：（1）根据《关于在政府采购活动中查询及使用信用记录有关问题的通知》(财库[2016]125号)和豫财购【2016】15号的规定，对列入“信用中国”网站（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ascii="宋体" w:hAnsi="宋体" w:cs="宋体"/>
          <w:sz w:val="24"/>
        </w:rPr>
        <w:t>www.creditchina.gov.cn</w:t>
      </w:r>
      <w:r>
        <w:rPr>
          <w:rFonts w:hint="eastAsia" w:ascii="宋体" w:hAnsi="宋体" w:cs="宋体"/>
          <w:sz w:val="24"/>
        </w:rPr>
        <w:fldChar w:fldCharType="end"/>
      </w:r>
      <w:r>
        <w:rPr>
          <w:rFonts w:hint="eastAsia" w:ascii="宋体" w:hAnsi="宋体" w:cs="宋体"/>
          <w:sz w:val="24"/>
        </w:rPr>
        <w:t>）的“失信被执行人”</w:t>
      </w:r>
      <w:r>
        <w:rPr>
          <w:rFonts w:hint="eastAsia" w:ascii="宋体" w:hAnsi="宋体" w:cs="宋体"/>
          <w:color w:val="000000" w:themeColor="text1"/>
          <w:sz w:val="24"/>
        </w:rPr>
        <w:t>、“重大税收违法案件当事人名单（重大税收违法失信主体）”和“中国政府采购”网站(</w:t>
      </w:r>
      <w:r>
        <w:fldChar w:fldCharType="begin"/>
      </w:r>
      <w:r>
        <w:instrText xml:space="preserve"> HYPERLINK "http://www.ccgp.gov.cn/" </w:instrText>
      </w:r>
      <w:r>
        <w:fldChar w:fldCharType="separate"/>
      </w:r>
      <w:r>
        <w:rPr>
          <w:rFonts w:hint="eastAsia" w:ascii="宋体" w:hAnsi="宋体" w:cs="宋体"/>
          <w:color w:val="000000" w:themeColor="text1"/>
          <w:sz w:val="24"/>
        </w:rPr>
        <w:t>www.ccgp.gov.cn</w:t>
      </w:r>
      <w:r>
        <w:rPr>
          <w:rFonts w:hint="eastAsia" w:ascii="宋体" w:hAnsi="宋体" w:cs="宋体"/>
          <w:color w:val="000000" w:themeColor="text1"/>
          <w:sz w:val="24"/>
        </w:rPr>
        <w:fldChar w:fldCharType="end"/>
      </w:r>
      <w:r>
        <w:rPr>
          <w:rFonts w:hint="eastAsia" w:ascii="宋体" w:hAnsi="宋体" w:cs="宋体"/>
          <w:color w:val="000000" w:themeColor="text1"/>
          <w:sz w:val="24"/>
        </w:rPr>
        <w:t>)的“政府采购严重违法失信行为记录名单”的供应商，将拒绝其参加政</w:t>
      </w:r>
      <w:r>
        <w:rPr>
          <w:rFonts w:hint="eastAsia" w:ascii="宋体" w:hAnsi="宋体" w:cs="宋体"/>
          <w:sz w:val="24"/>
        </w:rPr>
        <w:t>府采购活动；在标书中附加盖公章的网页查询扫描件，查询日期为公告发布之日起至投标截止之日止。</w:t>
      </w:r>
    </w:p>
    <w:p>
      <w:pPr>
        <w:spacing w:line="360" w:lineRule="auto"/>
        <w:ind w:firstLine="480" w:firstLineChars="200"/>
        <w:jc w:val="left"/>
        <w:rPr>
          <w:rFonts w:ascii="宋体" w:hAnsi="宋体" w:cs="宋体"/>
          <w:sz w:val="24"/>
        </w:rPr>
      </w:pPr>
      <w:r>
        <w:rPr>
          <w:rFonts w:hint="eastAsia" w:ascii="宋体" w:hAnsi="宋体" w:cs="宋体"/>
          <w:sz w:val="24"/>
        </w:rPr>
        <w:t>（2）供应商须具备</w:t>
      </w:r>
      <w:r>
        <w:rPr>
          <w:rFonts w:hint="eastAsia" w:ascii="宋体" w:hAnsi="宋体" w:cs="宋体"/>
          <w:sz w:val="24"/>
          <w:lang w:val="en-US" w:eastAsia="zh-CN"/>
        </w:rPr>
        <w:t>建筑</w:t>
      </w:r>
      <w:r>
        <w:rPr>
          <w:rFonts w:hint="eastAsia" w:ascii="宋体" w:hAnsi="宋体" w:cs="宋体"/>
          <w:sz w:val="24"/>
        </w:rPr>
        <w:t>工程施工总承包叁级及以上资质，并在人员、设备、资金等方面具有相应的施工能力，其中，供应商拟派项目负责人须具备</w:t>
      </w:r>
      <w:r>
        <w:rPr>
          <w:rFonts w:hint="eastAsia" w:ascii="宋体" w:hAnsi="宋体" w:cs="宋体"/>
          <w:sz w:val="24"/>
          <w:lang w:val="en-US" w:eastAsia="zh-CN"/>
        </w:rPr>
        <w:t>建筑</w:t>
      </w:r>
      <w:r>
        <w:rPr>
          <w:rFonts w:hint="eastAsia" w:ascii="宋体" w:hAnsi="宋体" w:cs="宋体"/>
          <w:sz w:val="24"/>
        </w:rPr>
        <w:t xml:space="preserve">工程专业贰级（含以上）注册建造师执业资格，并持有有效的安全生产考核合格证书，且未担任其他在施建设工程项目的项目经理。    </w:t>
      </w:r>
    </w:p>
    <w:p>
      <w:pPr>
        <w:spacing w:line="360" w:lineRule="auto"/>
        <w:ind w:firstLine="480" w:firstLineChars="200"/>
        <w:jc w:val="left"/>
        <w:rPr>
          <w:rFonts w:ascii="宋体" w:hAnsi="宋体" w:cs="宋体"/>
          <w:sz w:val="24"/>
        </w:rPr>
      </w:pPr>
      <w:bookmarkStart w:id="19" w:name="_Toc35393623"/>
      <w:bookmarkStart w:id="20" w:name="_Toc35393792"/>
      <w:r>
        <w:rPr>
          <w:rFonts w:hint="eastAsia" w:ascii="宋体" w:hAnsi="宋体" w:cs="宋体"/>
          <w:sz w:val="24"/>
        </w:rPr>
        <w:t>三、获取招标文件</w:t>
      </w:r>
      <w:bookmarkEnd w:id="17"/>
      <w:bookmarkEnd w:id="18"/>
      <w:bookmarkEnd w:id="19"/>
      <w:bookmarkEnd w:id="20"/>
    </w:p>
    <w:p>
      <w:pPr>
        <w:spacing w:line="360" w:lineRule="auto"/>
        <w:ind w:firstLine="480" w:firstLineChars="200"/>
        <w:jc w:val="left"/>
        <w:rPr>
          <w:rFonts w:ascii="宋体" w:hAnsi="宋体" w:cs="宋体"/>
          <w:sz w:val="24"/>
        </w:rPr>
      </w:pPr>
      <w:r>
        <w:rPr>
          <w:rFonts w:hint="eastAsia" w:ascii="宋体" w:hAnsi="宋体" w:cs="宋体"/>
          <w:sz w:val="24"/>
        </w:rPr>
        <w:t>时间：</w:t>
      </w:r>
      <w:r>
        <w:rPr>
          <w:rFonts w:hint="eastAsia" w:ascii="宋体" w:hAnsi="宋体" w:eastAsia="宋体"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rPr>
        <w:t>年</w:t>
      </w:r>
      <w:r>
        <w:rPr>
          <w:rFonts w:hint="eastAsia" w:ascii="宋体" w:hAnsi="宋体"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rPr>
        <w:t>月</w:t>
      </w:r>
      <w:r>
        <w:rPr>
          <w:rFonts w:hint="eastAsia" w:ascii="宋体" w:hAnsi="宋体" w:cs="宋体"/>
          <w:i w:val="0"/>
          <w:iCs w:val="0"/>
          <w:color w:val="auto"/>
          <w:sz w:val="24"/>
          <w:szCs w:val="24"/>
          <w:highlight w:val="none"/>
          <w:lang w:val="en-US" w:eastAsia="zh-CN"/>
        </w:rPr>
        <w:t>28</w:t>
      </w:r>
      <w:r>
        <w:rPr>
          <w:rFonts w:hint="eastAsia" w:ascii="宋体" w:hAnsi="宋体" w:eastAsia="宋体" w:cs="宋体"/>
          <w:i w:val="0"/>
          <w:iCs w:val="0"/>
          <w:color w:val="auto"/>
          <w:sz w:val="24"/>
          <w:szCs w:val="24"/>
          <w:highlight w:val="none"/>
        </w:rPr>
        <w:t>日至</w:t>
      </w:r>
      <w:r>
        <w:rPr>
          <w:rFonts w:hint="eastAsia" w:ascii="宋体" w:hAnsi="宋体" w:eastAsia="宋体"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rPr>
        <w:t xml:space="preserve"> 年</w:t>
      </w:r>
      <w:r>
        <w:rPr>
          <w:rFonts w:hint="eastAsia" w:ascii="宋体" w:hAnsi="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月</w:t>
      </w:r>
      <w:r>
        <w:rPr>
          <w:rFonts w:hint="eastAsia" w:ascii="宋体" w:hAnsi="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rPr>
        <w:t>日，每天上</w:t>
      </w:r>
      <w:r>
        <w:rPr>
          <w:rFonts w:hint="eastAsia" w:ascii="宋体" w:hAnsi="宋体" w:eastAsia="宋体"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rPr>
        <w:t>至</w:t>
      </w:r>
      <w:r>
        <w:rPr>
          <w:rFonts w:hint="eastAsia" w:ascii="宋体" w:hAnsi="宋体" w:eastAsia="宋体" w:cs="宋体"/>
          <w:i w:val="0"/>
          <w:iCs w:val="0"/>
          <w:color w:val="auto"/>
          <w:sz w:val="24"/>
          <w:szCs w:val="24"/>
          <w:highlight w:val="none"/>
          <w:lang w:val="en-US" w:eastAsia="zh-CN"/>
        </w:rPr>
        <w:t>12:00</w:t>
      </w:r>
      <w:r>
        <w:rPr>
          <w:rFonts w:hint="eastAsia" w:ascii="宋体" w:hAnsi="宋体" w:eastAsia="宋体" w:cs="宋体"/>
          <w:i w:val="0"/>
          <w:iCs w:val="0"/>
          <w:color w:val="auto"/>
          <w:sz w:val="24"/>
          <w:szCs w:val="24"/>
          <w:highlight w:val="none"/>
        </w:rPr>
        <w:t>，下午</w:t>
      </w:r>
      <w:r>
        <w:rPr>
          <w:rFonts w:hint="eastAsia" w:ascii="宋体" w:hAnsi="宋体" w:eastAsia="宋体" w:cs="宋体"/>
          <w:i w:val="0"/>
          <w:iCs w:val="0"/>
          <w:color w:val="auto"/>
          <w:sz w:val="24"/>
          <w:szCs w:val="24"/>
          <w:highlight w:val="none"/>
          <w:lang w:val="en-US" w:eastAsia="zh-CN"/>
        </w:rPr>
        <w:t>12:00</w:t>
      </w:r>
      <w:r>
        <w:rPr>
          <w:rFonts w:hint="eastAsia" w:ascii="宋体" w:hAnsi="宋体" w:eastAsia="宋体" w:cs="宋体"/>
          <w:i w:val="0"/>
          <w:iCs w:val="0"/>
          <w:color w:val="auto"/>
          <w:sz w:val="24"/>
          <w:szCs w:val="24"/>
          <w:highlight w:val="none"/>
        </w:rPr>
        <w:t>至</w:t>
      </w:r>
      <w:r>
        <w:rPr>
          <w:rFonts w:hint="eastAsia" w:ascii="宋体" w:hAnsi="宋体" w:eastAsia="宋体" w:cs="宋体"/>
          <w:i w:val="0"/>
          <w:iCs w:val="0"/>
          <w:color w:val="auto"/>
          <w:sz w:val="24"/>
          <w:szCs w:val="24"/>
          <w:highlight w:val="none"/>
          <w:lang w:val="en-US" w:eastAsia="zh-CN"/>
        </w:rPr>
        <w:t>23：59</w:t>
      </w:r>
      <w:r>
        <w:rPr>
          <w:rFonts w:hint="eastAsia" w:ascii="宋体" w:hAnsi="宋体" w:cs="宋体"/>
          <w:sz w:val="24"/>
        </w:rPr>
        <w:t>（北京时间，法定节假日除外）</w:t>
      </w:r>
    </w:p>
    <w:p>
      <w:pPr>
        <w:spacing w:line="360" w:lineRule="auto"/>
        <w:ind w:firstLine="480" w:firstLineChars="200"/>
        <w:jc w:val="left"/>
        <w:rPr>
          <w:rFonts w:ascii="宋体" w:hAnsi="宋体" w:cs="宋体"/>
          <w:sz w:val="24"/>
        </w:rPr>
      </w:pPr>
      <w:r>
        <w:rPr>
          <w:rFonts w:hint="eastAsia" w:ascii="宋体" w:hAnsi="宋体" w:cs="宋体"/>
          <w:sz w:val="24"/>
        </w:rPr>
        <w:t>地点：周口市公共资源交易中心网（http://jyzx.zhoukou.gov.cn）</w:t>
      </w:r>
    </w:p>
    <w:p>
      <w:pPr>
        <w:spacing w:line="360" w:lineRule="auto"/>
        <w:ind w:firstLine="480" w:firstLineChars="200"/>
        <w:jc w:val="left"/>
        <w:rPr>
          <w:rFonts w:ascii="宋体" w:hAnsi="宋体" w:cs="宋体"/>
          <w:sz w:val="24"/>
        </w:rPr>
      </w:pPr>
      <w:r>
        <w:rPr>
          <w:rFonts w:hint="eastAsia" w:ascii="宋体" w:hAnsi="宋体" w:cs="宋体"/>
          <w:sz w:val="24"/>
        </w:rPr>
        <w:t>方式：供应商请在网站自主注册后下载采购文件（zkzf格式）及资料，需办理CA数字证书后方可提交响应文件，具体办理事宜请查阅周口市公共资源交易中心网站。</w:t>
      </w:r>
    </w:p>
    <w:p>
      <w:pPr>
        <w:spacing w:line="360" w:lineRule="auto"/>
        <w:ind w:firstLine="480" w:firstLineChars="200"/>
        <w:jc w:val="left"/>
        <w:rPr>
          <w:rFonts w:ascii="宋体" w:hAnsi="宋体" w:cs="宋体"/>
          <w:sz w:val="24"/>
        </w:rPr>
      </w:pPr>
      <w:r>
        <w:rPr>
          <w:rFonts w:hint="eastAsia" w:ascii="宋体" w:hAnsi="宋体" w:cs="宋体"/>
          <w:sz w:val="24"/>
        </w:rPr>
        <w:t>售价：0</w:t>
      </w:r>
    </w:p>
    <w:p>
      <w:pPr>
        <w:spacing w:line="360" w:lineRule="auto"/>
        <w:ind w:firstLine="480" w:firstLineChars="200"/>
        <w:jc w:val="left"/>
        <w:rPr>
          <w:rFonts w:ascii="宋体" w:hAnsi="宋体" w:cs="宋体"/>
          <w:sz w:val="24"/>
        </w:rPr>
      </w:pPr>
      <w:bookmarkStart w:id="21" w:name="_Toc28359005"/>
      <w:bookmarkStart w:id="22" w:name="_Toc28359082"/>
      <w:bookmarkStart w:id="23" w:name="_Toc35393624"/>
      <w:bookmarkStart w:id="24" w:name="_Toc35393793"/>
      <w:r>
        <w:rPr>
          <w:rFonts w:hint="eastAsia" w:ascii="宋体" w:hAnsi="宋体" w:cs="宋体"/>
          <w:sz w:val="24"/>
        </w:rPr>
        <w:t>四、提交投标文件</w:t>
      </w:r>
      <w:bookmarkEnd w:id="21"/>
      <w:bookmarkEnd w:id="22"/>
      <w:r>
        <w:rPr>
          <w:rFonts w:hint="eastAsia" w:ascii="宋体" w:hAnsi="宋体" w:cs="宋体"/>
          <w:sz w:val="24"/>
        </w:rPr>
        <w:t>截止时间、开标时间和地点</w:t>
      </w:r>
      <w:bookmarkEnd w:id="23"/>
      <w:bookmarkEnd w:id="24"/>
    </w:p>
    <w:p>
      <w:pPr>
        <w:spacing w:line="360" w:lineRule="auto"/>
        <w:ind w:firstLine="480" w:firstLineChars="200"/>
        <w:jc w:val="left"/>
        <w:rPr>
          <w:rFonts w:ascii="宋体" w:hAnsi="宋体" w:cs="宋体"/>
          <w:sz w:val="24"/>
        </w:rPr>
      </w:pPr>
      <w:r>
        <w:rPr>
          <w:rFonts w:hint="eastAsia" w:ascii="宋体" w:hAnsi="宋体" w:cs="宋体"/>
          <w:sz w:val="24"/>
        </w:rPr>
        <w:t>时间：</w:t>
      </w:r>
      <w:r>
        <w:rPr>
          <w:rFonts w:hint="eastAsia" w:ascii="宋体" w:hAnsi="宋体" w:eastAsia="宋体" w:cs="宋体"/>
          <w:i w:val="0"/>
          <w:iCs w:val="0"/>
          <w:color w:val="auto"/>
          <w:sz w:val="24"/>
          <w:szCs w:val="24"/>
          <w:highlight w:val="none"/>
          <w:lang w:val="en-US" w:eastAsia="zh-CN"/>
        </w:rPr>
        <w:t>2024年</w:t>
      </w:r>
      <w:r>
        <w:rPr>
          <w:rFonts w:hint="eastAsia" w:ascii="宋体" w:hAnsi="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月</w:t>
      </w:r>
      <w:r>
        <w:rPr>
          <w:rFonts w:hint="eastAsia" w:ascii="宋体" w:hAnsi="宋体" w:cs="宋体"/>
          <w:i w:val="0"/>
          <w:iCs w:val="0"/>
          <w:color w:val="auto"/>
          <w:sz w:val="24"/>
          <w:szCs w:val="24"/>
          <w:highlight w:val="none"/>
          <w:lang w:val="en-US" w:eastAsia="zh-CN"/>
        </w:rPr>
        <w:t>18</w:t>
      </w:r>
      <w:r>
        <w:rPr>
          <w:rFonts w:hint="eastAsia" w:ascii="宋体" w:hAnsi="宋体" w:eastAsia="宋体" w:cs="宋体"/>
          <w:i w:val="0"/>
          <w:iCs w:val="0"/>
          <w:color w:val="auto"/>
          <w:sz w:val="24"/>
          <w:szCs w:val="24"/>
          <w:highlight w:val="none"/>
          <w:lang w:val="en-US" w:eastAsia="zh-CN"/>
        </w:rPr>
        <w:t>日10点00分</w:t>
      </w:r>
      <w:r>
        <w:rPr>
          <w:rFonts w:hint="eastAsia" w:ascii="宋体" w:hAnsi="宋体" w:cs="宋体"/>
          <w:sz w:val="24"/>
        </w:rPr>
        <w:t>（北京时间）</w:t>
      </w:r>
    </w:p>
    <w:p>
      <w:pPr>
        <w:spacing w:line="360" w:lineRule="auto"/>
        <w:ind w:firstLine="480" w:firstLineChars="200"/>
        <w:jc w:val="left"/>
        <w:rPr>
          <w:rFonts w:ascii="宋体" w:hAnsi="宋体" w:cs="宋体"/>
          <w:sz w:val="24"/>
        </w:rPr>
      </w:pPr>
      <w:r>
        <w:rPr>
          <w:rFonts w:hint="eastAsia" w:ascii="宋体" w:hAnsi="宋体" w:cs="宋体"/>
          <w:sz w:val="24"/>
        </w:rPr>
        <w:t>地点：周口市公共资源交易中心开标室</w:t>
      </w:r>
    </w:p>
    <w:p>
      <w:pPr>
        <w:spacing w:line="360" w:lineRule="auto"/>
        <w:ind w:firstLine="480" w:firstLineChars="200"/>
        <w:jc w:val="left"/>
        <w:rPr>
          <w:rFonts w:ascii="宋体" w:hAnsi="宋体" w:cs="宋体"/>
          <w:sz w:val="24"/>
        </w:rPr>
      </w:pPr>
      <w:bookmarkStart w:id="25" w:name="_Toc35393794"/>
      <w:bookmarkStart w:id="26" w:name="_Toc28359084"/>
      <w:bookmarkStart w:id="27" w:name="_Toc35393625"/>
      <w:bookmarkStart w:id="28" w:name="_Toc28359007"/>
      <w:r>
        <w:rPr>
          <w:rFonts w:hint="eastAsia" w:ascii="宋体" w:hAnsi="宋体" w:cs="宋体"/>
          <w:sz w:val="24"/>
        </w:rPr>
        <w:t>五、公告期限</w:t>
      </w:r>
      <w:bookmarkEnd w:id="25"/>
      <w:bookmarkEnd w:id="26"/>
      <w:bookmarkEnd w:id="27"/>
      <w:bookmarkEnd w:id="28"/>
    </w:p>
    <w:p>
      <w:pPr>
        <w:spacing w:line="360" w:lineRule="auto"/>
        <w:ind w:firstLine="480" w:firstLineChars="200"/>
        <w:jc w:val="left"/>
        <w:rPr>
          <w:rFonts w:ascii="宋体" w:hAnsi="宋体" w:cs="宋体"/>
          <w:sz w:val="24"/>
        </w:rPr>
      </w:pPr>
      <w:r>
        <w:rPr>
          <w:rFonts w:hint="eastAsia" w:ascii="宋体" w:hAnsi="宋体" w:cs="宋体"/>
          <w:sz w:val="24"/>
        </w:rPr>
        <w:t>自本公告发布之日起5个工作日。</w:t>
      </w:r>
    </w:p>
    <w:p>
      <w:pPr>
        <w:spacing w:line="360" w:lineRule="auto"/>
        <w:ind w:firstLine="480" w:firstLineChars="200"/>
        <w:jc w:val="left"/>
        <w:rPr>
          <w:rFonts w:ascii="宋体" w:hAnsi="宋体" w:cs="宋体"/>
          <w:sz w:val="24"/>
        </w:rPr>
      </w:pPr>
      <w:bookmarkStart w:id="29" w:name="_Toc35393795"/>
      <w:bookmarkStart w:id="30" w:name="_Toc35393626"/>
      <w:r>
        <w:rPr>
          <w:rFonts w:hint="eastAsia" w:ascii="宋体" w:hAnsi="宋体" w:cs="宋体"/>
          <w:sz w:val="24"/>
        </w:rPr>
        <w:t>六、其他补充事宜</w:t>
      </w:r>
      <w:bookmarkEnd w:id="29"/>
      <w:bookmarkEnd w:id="30"/>
    </w:p>
    <w:p>
      <w:pPr>
        <w:spacing w:line="360" w:lineRule="auto"/>
        <w:ind w:firstLine="480" w:firstLineChars="200"/>
        <w:jc w:val="left"/>
        <w:rPr>
          <w:rFonts w:ascii="宋体" w:hAnsi="宋体" w:cs="宋体"/>
          <w:sz w:val="24"/>
        </w:rPr>
      </w:pPr>
      <w:bookmarkStart w:id="31" w:name="_Toc28359008"/>
      <w:bookmarkStart w:id="32" w:name="_Toc35393796"/>
      <w:bookmarkStart w:id="33" w:name="_Toc28359085"/>
      <w:bookmarkStart w:id="34" w:name="_Toc35393627"/>
      <w:r>
        <w:rPr>
          <w:rFonts w:hint="eastAsia" w:ascii="宋体" w:hAnsi="宋体" w:cs="宋体"/>
          <w:sz w:val="24"/>
        </w:rPr>
        <w:t>无</w:t>
      </w:r>
    </w:p>
    <w:p>
      <w:pPr>
        <w:spacing w:line="360" w:lineRule="auto"/>
        <w:ind w:firstLine="480" w:firstLineChars="200"/>
        <w:jc w:val="left"/>
        <w:rPr>
          <w:rFonts w:ascii="宋体" w:hAnsi="宋体" w:cs="宋体"/>
          <w:sz w:val="24"/>
        </w:rPr>
      </w:pPr>
      <w:r>
        <w:rPr>
          <w:rFonts w:hint="eastAsia" w:ascii="宋体" w:hAnsi="宋体" w:cs="宋体"/>
          <w:sz w:val="24"/>
        </w:rPr>
        <w:t>七、对本次招标提出询问，请按以下方式联系。</w:t>
      </w:r>
      <w:bookmarkEnd w:id="31"/>
      <w:bookmarkEnd w:id="32"/>
      <w:bookmarkEnd w:id="33"/>
      <w:bookmarkEnd w:id="34"/>
    </w:p>
    <w:p>
      <w:pPr>
        <w:spacing w:line="360" w:lineRule="auto"/>
        <w:ind w:firstLine="480" w:firstLineChars="200"/>
        <w:jc w:val="left"/>
        <w:rPr>
          <w:rFonts w:ascii="宋体" w:hAnsi="宋体" w:cs="宋体"/>
          <w:sz w:val="24"/>
        </w:rPr>
      </w:pPr>
      <w:r>
        <w:rPr>
          <w:rFonts w:hint="eastAsia" w:ascii="宋体" w:hAnsi="宋体" w:cs="宋体"/>
          <w:sz w:val="24"/>
        </w:rPr>
        <w:t>1.采购人信息</w:t>
      </w:r>
    </w:p>
    <w:p>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lang w:eastAsia="zh-CN"/>
        </w:rPr>
        <w:t>周口市城乡一体化示范区管理委员会</w:t>
      </w:r>
      <w:r>
        <w:rPr>
          <w:rFonts w:hint="eastAsia" w:ascii="宋体" w:hAnsi="宋体" w:cs="宋体"/>
          <w:sz w:val="24"/>
        </w:rPr>
        <w:t>　　　　　　　　　　　　</w:t>
      </w:r>
    </w:p>
    <w:p>
      <w:pPr>
        <w:spacing w:line="360" w:lineRule="auto"/>
        <w:ind w:firstLine="480" w:firstLineChars="200"/>
        <w:jc w:val="left"/>
        <w:rPr>
          <w:rFonts w:ascii="宋体" w:hAnsi="宋体" w:cs="宋体"/>
          <w:sz w:val="24"/>
        </w:rPr>
      </w:pPr>
      <w:r>
        <w:rPr>
          <w:rFonts w:hint="eastAsia" w:ascii="宋体" w:hAnsi="宋体" w:cs="宋体"/>
          <w:sz w:val="24"/>
        </w:rPr>
        <w:t>地址：河南省周口市文昌大道东段1号　　　　　　　　　　　　</w:t>
      </w:r>
    </w:p>
    <w:p>
      <w:pPr>
        <w:spacing w:line="360" w:lineRule="auto"/>
        <w:ind w:firstLine="480" w:firstLineChars="200"/>
        <w:jc w:val="left"/>
        <w:rPr>
          <w:rFonts w:ascii="宋体" w:hAnsi="宋体" w:cs="宋体"/>
          <w:sz w:val="24"/>
        </w:rPr>
      </w:pPr>
      <w:r>
        <w:rPr>
          <w:rFonts w:hint="eastAsia" w:ascii="宋体" w:hAnsi="宋体" w:cs="宋体"/>
          <w:sz w:val="24"/>
        </w:rPr>
        <w:t>项目联系人：石中岩     联系方式：0394</w:t>
      </w:r>
      <w:r>
        <w:rPr>
          <w:rFonts w:hint="eastAsia" w:ascii="宋体" w:hAnsi="宋体" w:cs="宋体"/>
          <w:sz w:val="24"/>
          <w:lang w:val="en-US" w:eastAsia="zh-CN"/>
        </w:rPr>
        <w:t>-</w:t>
      </w:r>
      <w:r>
        <w:rPr>
          <w:rFonts w:hint="eastAsia" w:ascii="宋体" w:hAnsi="宋体" w:cs="宋体"/>
          <w:sz w:val="24"/>
        </w:rPr>
        <w:t xml:space="preserve">7735770　　　　　　　　　　　 </w:t>
      </w:r>
      <w:bookmarkStart w:id="35" w:name="_Toc28359009"/>
      <w:bookmarkStart w:id="36" w:name="_Toc28359086"/>
    </w:p>
    <w:p>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35"/>
      <w:bookmarkEnd w:id="36"/>
    </w:p>
    <w:p>
      <w:pPr>
        <w:pStyle w:val="23"/>
        <w:adjustRightInd w:val="0"/>
        <w:snapToGrid w:val="0"/>
        <w:spacing w:line="360" w:lineRule="auto"/>
        <w:ind w:firstLine="480" w:firstLineChars="200"/>
        <w:rPr>
          <w:rFonts w:ascii="宋体" w:hAnsi="宋体" w:cs="宋体"/>
          <w:sz w:val="24"/>
        </w:rPr>
      </w:pPr>
      <w:r>
        <w:rPr>
          <w:rFonts w:hint="eastAsia" w:ascii="宋体" w:hAnsi="宋体" w:cs="宋体"/>
          <w:sz w:val="24"/>
        </w:rPr>
        <w:t>名 称：周口市公共资源交易中心政府采购中心　　　　　　　　　　　　</w:t>
      </w:r>
    </w:p>
    <w:p>
      <w:pPr>
        <w:spacing w:line="360" w:lineRule="auto"/>
        <w:ind w:firstLine="480" w:firstLineChars="200"/>
        <w:jc w:val="left"/>
        <w:rPr>
          <w:rFonts w:ascii="宋体" w:hAnsi="宋体" w:cs="宋体"/>
          <w:sz w:val="24"/>
        </w:rPr>
      </w:pPr>
      <w:r>
        <w:rPr>
          <w:rFonts w:hint="eastAsia" w:ascii="宋体" w:hAnsi="宋体" w:cs="宋体"/>
          <w:sz w:val="24"/>
        </w:rPr>
        <w:t>地　址：周口市光明路与政通路交叉口向北100米路东</w:t>
      </w:r>
    </w:p>
    <w:p>
      <w:pPr>
        <w:spacing w:line="360" w:lineRule="auto"/>
        <w:ind w:firstLine="480" w:firstLineChars="200"/>
        <w:jc w:val="left"/>
        <w:rPr>
          <w:rFonts w:ascii="宋体" w:hAnsi="宋体" w:cs="宋体"/>
          <w:sz w:val="24"/>
        </w:rPr>
      </w:pPr>
      <w:r>
        <w:rPr>
          <w:rFonts w:hint="eastAsia" w:ascii="宋体" w:hAnsi="宋体" w:cs="宋体"/>
          <w:sz w:val="24"/>
        </w:rPr>
        <w:t xml:space="preserve">项目联系人： </w:t>
      </w:r>
      <w:r>
        <w:rPr>
          <w:rFonts w:hint="eastAsia" w:ascii="宋体" w:hAnsi="宋体" w:cs="宋体"/>
          <w:sz w:val="24"/>
          <w:lang w:val="en-US" w:eastAsia="zh-CN"/>
        </w:rPr>
        <w:t>张光</w:t>
      </w:r>
      <w:r>
        <w:rPr>
          <w:rFonts w:hint="eastAsia" w:ascii="宋体" w:hAnsi="宋体" w:cs="宋体"/>
          <w:sz w:val="24"/>
        </w:rPr>
        <w:t xml:space="preserve">    联系方式：</w:t>
      </w:r>
      <w:bookmarkStart w:id="37" w:name="_Toc28359010"/>
      <w:bookmarkStart w:id="38" w:name="_Toc28359087"/>
      <w:r>
        <w:rPr>
          <w:rFonts w:hint="eastAsia" w:ascii="宋体" w:hAnsi="宋体" w:cs="宋体"/>
          <w:sz w:val="24"/>
          <w:lang w:val="en-US" w:eastAsia="zh-CN"/>
        </w:rPr>
        <w:t>0394-8106517</w:t>
      </w:r>
      <w:r>
        <w:rPr>
          <w:rFonts w:hint="eastAsia" w:ascii="宋体" w:hAnsi="宋体" w:cs="宋体"/>
          <w:sz w:val="24"/>
        </w:rPr>
        <w:t>　　　　　　　　</w:t>
      </w:r>
    </w:p>
    <w:bookmarkEnd w:id="37"/>
    <w:bookmarkEnd w:id="38"/>
    <w:p>
      <w:pPr>
        <w:spacing w:line="360" w:lineRule="auto"/>
        <w:ind w:firstLine="480" w:firstLineChars="200"/>
        <w:jc w:val="left"/>
        <w:rPr>
          <w:rFonts w:ascii="宋体" w:hAnsi="宋体" w:cs="宋体"/>
          <w:sz w:val="24"/>
        </w:rPr>
      </w:pPr>
      <w:r>
        <w:rPr>
          <w:rFonts w:hint="eastAsia" w:ascii="宋体" w:hAnsi="宋体" w:cs="宋体"/>
          <w:sz w:val="24"/>
        </w:rPr>
        <w:t>3.监督单位：</w:t>
      </w:r>
      <w:r>
        <w:rPr>
          <w:rFonts w:hint="eastAsia" w:ascii="宋体" w:hAnsi="宋体" w:cs="宋体"/>
          <w:sz w:val="24"/>
          <w:szCs w:val="24"/>
        </w:rPr>
        <w:t>周口市城乡一体化示范区财政局政府采购管理办公室</w:t>
      </w:r>
    </w:p>
    <w:p>
      <w:pPr>
        <w:pStyle w:val="57"/>
        <w:ind w:firstLine="480" w:firstLineChars="200"/>
      </w:pPr>
      <w:r>
        <w:rPr>
          <w:rFonts w:hint="eastAsia" w:ascii="宋体" w:hAnsi="宋体" w:cs="宋体"/>
          <w:sz w:val="24"/>
        </w:rPr>
        <w:t xml:space="preserve">联系方式：0394-7735709  </w:t>
      </w:r>
    </w:p>
    <w:p>
      <w:pPr>
        <w:pStyle w:val="57"/>
        <w:ind w:firstLine="0" w:firstLineChars="0"/>
      </w:pPr>
    </w:p>
    <w:p>
      <w:pPr>
        <w:pStyle w:val="23"/>
        <w:adjustRightInd w:val="0"/>
        <w:snapToGrid w:val="0"/>
        <w:spacing w:line="360" w:lineRule="auto"/>
        <w:ind w:firstLine="2040" w:firstLineChars="850"/>
        <w:rPr>
          <w:rFonts w:ascii="宋体" w:hAnsi="宋体" w:cs="宋体"/>
          <w:sz w:val="24"/>
        </w:rPr>
      </w:pPr>
      <w:r>
        <w:rPr>
          <w:rFonts w:hint="eastAsia" w:ascii="宋体" w:hAnsi="宋体" w:cs="宋体"/>
          <w:sz w:val="24"/>
        </w:rPr>
        <w:t>周口市公共资源交易中心政府采购中心</w:t>
      </w:r>
    </w:p>
    <w:p>
      <w:pPr>
        <w:pStyle w:val="37"/>
        <w:adjustRightInd w:val="0"/>
        <w:spacing w:line="360" w:lineRule="auto"/>
        <w:ind w:firstLine="3360" w:firstLineChars="1400"/>
        <w:rPr>
          <w:rFonts w:ascii="宋体" w:hAnsi="宋体" w:cs="宋体"/>
        </w:rPr>
      </w:pPr>
      <w:r>
        <w:rPr>
          <w:rFonts w:hint="eastAsia" w:ascii="宋体" w:hAnsi="宋体" w:cs="宋体"/>
          <w:sz w:val="24"/>
          <w:szCs w:val="24"/>
          <w:lang w:val="en-US" w:eastAsia="zh-CN"/>
        </w:rPr>
        <w:t>2024</w:t>
      </w:r>
      <w:r>
        <w:rPr>
          <w:rFonts w:hint="eastAsia" w:ascii="宋体" w:hAnsi="宋体" w:cs="宋体"/>
          <w:sz w:val="24"/>
          <w:szCs w:val="24"/>
        </w:rPr>
        <w:t>年</w:t>
      </w:r>
      <w:r>
        <w:rPr>
          <w:rFonts w:hint="eastAsia" w:ascii="宋体" w:hAnsi="宋体" w:cs="宋体"/>
          <w:color w:val="000000"/>
          <w:sz w:val="24"/>
          <w:szCs w:val="24"/>
          <w:lang w:val="en-US" w:eastAsia="zh-CN"/>
        </w:rPr>
        <w:t>6</w:t>
      </w:r>
      <w:r>
        <w:rPr>
          <w:rFonts w:hint="eastAsia" w:ascii="宋体" w:hAnsi="宋体" w:cs="宋体"/>
          <w:sz w:val="24"/>
          <w:szCs w:val="24"/>
        </w:rPr>
        <w:t>月</w:t>
      </w:r>
      <w:r>
        <w:rPr>
          <w:rFonts w:hint="eastAsia" w:ascii="宋体" w:hAnsi="宋体" w:cs="宋体"/>
          <w:color w:val="000000"/>
          <w:sz w:val="24"/>
          <w:szCs w:val="24"/>
          <w:lang w:val="en-US" w:eastAsia="zh-CN"/>
        </w:rPr>
        <w:t>28</w:t>
      </w:r>
      <w:r>
        <w:rPr>
          <w:rFonts w:hint="eastAsia" w:ascii="宋体" w:hAnsi="宋体" w:cs="宋体"/>
          <w:sz w:val="24"/>
          <w:szCs w:val="24"/>
        </w:rPr>
        <w:t>日　　</w:t>
      </w:r>
    </w:p>
    <w:p>
      <w:pPr>
        <w:pStyle w:val="43"/>
        <w:adjustRightInd w:val="0"/>
        <w:snapToGrid w:val="0"/>
        <w:spacing w:before="0" w:beforeAutospacing="0" w:after="0" w:afterAutospacing="0" w:line="360" w:lineRule="auto"/>
        <w:rPr>
          <w:rFonts w:asciiTheme="minorEastAsia" w:hAnsiTheme="minorEastAsia" w:eastAsiaTheme="minorEastAsia"/>
          <w:sz w:val="24"/>
          <w:szCs w:val="24"/>
        </w:rPr>
      </w:pPr>
    </w:p>
    <w:p>
      <w:pPr>
        <w:pStyle w:val="43"/>
        <w:adjustRightInd w:val="0"/>
        <w:snapToGrid w:val="0"/>
        <w:spacing w:before="0" w:beforeAutospacing="0" w:after="0" w:afterAutospacing="0" w:line="360" w:lineRule="auto"/>
        <w:rPr>
          <w:color w:val="333333"/>
          <w:sz w:val="21"/>
          <w:szCs w:val="21"/>
          <w:shd w:val="clear" w:color="auto" w:fill="FFFFFF"/>
        </w:rPr>
      </w:pPr>
    </w:p>
    <w:p>
      <w:pPr>
        <w:pStyle w:val="43"/>
        <w:adjustRightInd w:val="0"/>
        <w:snapToGrid w:val="0"/>
        <w:spacing w:before="0" w:beforeAutospacing="0" w:after="0" w:afterAutospacing="0" w:line="360" w:lineRule="auto"/>
        <w:rPr>
          <w:color w:val="333333"/>
          <w:sz w:val="21"/>
          <w:szCs w:val="21"/>
          <w:shd w:val="clear" w:color="auto" w:fill="FFFFFF"/>
        </w:rPr>
      </w:pPr>
    </w:p>
    <w:p>
      <w:pPr>
        <w:pStyle w:val="43"/>
        <w:adjustRightInd w:val="0"/>
        <w:snapToGrid w:val="0"/>
        <w:spacing w:before="0" w:beforeAutospacing="0" w:after="0" w:afterAutospacing="0" w:line="360" w:lineRule="auto"/>
        <w:rPr>
          <w:color w:val="333333"/>
          <w:sz w:val="21"/>
          <w:szCs w:val="21"/>
          <w:shd w:val="clear" w:color="auto" w:fill="FFFFFF"/>
        </w:rPr>
      </w:pPr>
    </w:p>
    <w:p>
      <w:pPr>
        <w:pStyle w:val="6"/>
        <w:spacing w:before="0" w:after="0" w:line="360" w:lineRule="auto"/>
        <w:jc w:val="center"/>
        <w:rPr>
          <w:rFonts w:ascii="宋体" w:hAnsi="宋体"/>
          <w:bCs w:val="0"/>
          <w:sz w:val="36"/>
          <w:szCs w:val="36"/>
        </w:rPr>
      </w:pPr>
      <w:bookmarkStart w:id="39" w:name="_Toc26819"/>
      <w:r>
        <w:rPr>
          <w:rFonts w:hint="eastAsia" w:ascii="宋体" w:hAnsi="宋体"/>
          <w:bCs w:val="0"/>
          <w:sz w:val="36"/>
          <w:szCs w:val="36"/>
        </w:rPr>
        <w:t>第二章 投标人须知</w:t>
      </w:r>
      <w:bookmarkEnd w:id="39"/>
    </w:p>
    <w:p>
      <w:pPr>
        <w:pStyle w:val="139"/>
        <w:spacing w:line="360" w:lineRule="auto"/>
        <w:jc w:val="center"/>
        <w:outlineLvl w:val="2"/>
        <w:rPr>
          <w:rFonts w:ascii="宋体" w:hAnsi="宋体" w:eastAsia="宋体"/>
          <w:b/>
          <w:kern w:val="2"/>
          <w:szCs w:val="28"/>
        </w:rPr>
      </w:pPr>
      <w:bookmarkStart w:id="40" w:name="_Toc184635070"/>
      <w:bookmarkStart w:id="41" w:name="_Toc12301"/>
      <w:r>
        <w:rPr>
          <w:rFonts w:hint="eastAsia" w:ascii="宋体" w:hAnsi="宋体" w:eastAsia="宋体"/>
          <w:b/>
          <w:kern w:val="2"/>
          <w:szCs w:val="28"/>
        </w:rPr>
        <w:t>投标人须知前附表</w:t>
      </w:r>
      <w:bookmarkEnd w:id="40"/>
      <w:bookmarkEnd w:id="41"/>
    </w:p>
    <w:tbl>
      <w:tblPr>
        <w:tblStyle w:val="48"/>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55"/>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条款号</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条款名称</w:t>
            </w:r>
          </w:p>
        </w:tc>
        <w:tc>
          <w:tcPr>
            <w:tcW w:w="6420" w:type="dxa"/>
            <w:vAlign w:val="center"/>
          </w:tcPr>
          <w:p>
            <w:pPr>
              <w:autoSpaceDE w:val="0"/>
              <w:autoSpaceDN w:val="0"/>
              <w:adjustRightInd w:val="0"/>
              <w:spacing w:line="276" w:lineRule="auto"/>
              <w:jc w:val="center"/>
              <w:rPr>
                <w:rFonts w:ascii="宋体" w:cs="宋体"/>
                <w:color w:val="000000"/>
                <w:kern w:val="0"/>
                <w:sz w:val="24"/>
                <w:lang w:val="zh-CN"/>
              </w:rPr>
            </w:pPr>
            <w:r>
              <w:rPr>
                <w:rFonts w:hint="eastAsia" w:ascii="宋体" w:cs="宋体"/>
                <w:color w:val="000000"/>
                <w:kern w:val="0"/>
                <w:sz w:val="24"/>
                <w:lang w:val="zh-CN"/>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1.1.2</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招标人（采购人）</w:t>
            </w:r>
          </w:p>
        </w:tc>
        <w:tc>
          <w:tcPr>
            <w:tcW w:w="6420"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采购人：</w:t>
            </w:r>
            <w:r>
              <w:rPr>
                <w:rFonts w:hint="eastAsia" w:ascii="宋体" w:hAnsi="宋体" w:cs="宋体"/>
                <w:sz w:val="24"/>
                <w:lang w:eastAsia="zh-CN"/>
              </w:rPr>
              <w:t>周口市城乡一体化示范区管理委员会</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联系地址：</w:t>
            </w:r>
            <w:r>
              <w:rPr>
                <w:rFonts w:hint="eastAsia" w:ascii="宋体" w:hAnsi="宋体" w:cs="宋体"/>
                <w:sz w:val="24"/>
              </w:rPr>
              <w:t>河南省周口市文昌大道东段1号　</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联系人：</w:t>
            </w:r>
            <w:r>
              <w:rPr>
                <w:rFonts w:hint="eastAsia" w:ascii="宋体" w:hAnsi="宋体" w:cs="宋体"/>
                <w:sz w:val="24"/>
              </w:rPr>
              <w:t>石中岩</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电话：</w:t>
            </w:r>
            <w:r>
              <w:rPr>
                <w:rFonts w:hint="eastAsia" w:ascii="宋体" w:hAnsi="宋体" w:cs="宋体"/>
                <w:sz w:val="24"/>
              </w:rPr>
              <w:t>0394</w:t>
            </w:r>
            <w:r>
              <w:rPr>
                <w:rFonts w:hint="eastAsia" w:ascii="宋体" w:hAnsi="宋体" w:cs="宋体"/>
                <w:sz w:val="24"/>
                <w:lang w:val="en-US" w:eastAsia="zh-CN"/>
              </w:rPr>
              <w:t>-</w:t>
            </w:r>
            <w:r>
              <w:rPr>
                <w:rFonts w:hint="eastAsia" w:ascii="宋体" w:hAnsi="宋体" w:cs="宋体"/>
                <w:sz w:val="24"/>
              </w:rPr>
              <w:t>7735770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1.1.3</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招标代理机构</w:t>
            </w:r>
          </w:p>
        </w:tc>
        <w:tc>
          <w:tcPr>
            <w:tcW w:w="6420"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 xml:space="preserve">采购代理机构： 周口市公共资源交易中心政府采购中心 </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地 址：</w:t>
            </w:r>
            <w:r>
              <w:rPr>
                <w:rFonts w:hint="eastAsia" w:ascii="宋体" w:hAnsi="宋体" w:cs="宋体"/>
                <w:sz w:val="24"/>
              </w:rPr>
              <w:t>周口市光明路与政通路交叉口向北100米路东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1.1.4</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项目名称</w:t>
            </w:r>
          </w:p>
        </w:tc>
        <w:tc>
          <w:tcPr>
            <w:tcW w:w="6420" w:type="dxa"/>
            <w:vAlign w:val="center"/>
          </w:tcPr>
          <w:p>
            <w:pPr>
              <w:autoSpaceDE w:val="0"/>
              <w:autoSpaceDN w:val="0"/>
              <w:adjustRightInd w:val="0"/>
              <w:jc w:val="left"/>
              <w:rPr>
                <w:rStyle w:val="52"/>
                <w:rFonts w:ascii="宋体" w:hAnsi="宋体"/>
                <w:sz w:val="24"/>
              </w:rPr>
            </w:pPr>
            <w:r>
              <w:rPr>
                <w:rFonts w:hint="eastAsia" w:ascii="宋体" w:hAnsi="宋体" w:cs="宋体"/>
                <w:sz w:val="24"/>
                <w:lang w:eastAsia="zh-CN"/>
              </w:rPr>
              <w:t>周口市城乡一体化示范区管理委员会社会事务管理局学校体育场等建设工程项目采购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1.1.5</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项目地点</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宋体"/>
                <w:sz w:val="24"/>
                <w:lang w:eastAsia="zh-CN"/>
              </w:rPr>
              <w:t>周口市城乡一体化示范区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资金来源</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TimesNewRomanPSMT"/>
                <w:color w:val="000000"/>
                <w:kern w:val="0"/>
                <w:sz w:val="24"/>
              </w:rPr>
              <w:t>1.2.2</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出资比例</w:t>
            </w:r>
          </w:p>
        </w:tc>
        <w:tc>
          <w:tcPr>
            <w:tcW w:w="6420" w:type="dxa"/>
            <w:vAlign w:val="center"/>
          </w:tcPr>
          <w:p>
            <w:pPr>
              <w:pStyle w:val="16"/>
              <w:spacing w:line="360" w:lineRule="auto"/>
              <w:jc w:val="both"/>
              <w:rPr>
                <w:rFonts w:hAnsi="宋体"/>
                <w:color w:val="auto"/>
              </w:rPr>
            </w:pPr>
            <w:r>
              <w:rPr>
                <w:rFonts w:hint="eastAsia" w:hAnsi="宋体"/>
                <w:color w:val="auto"/>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1.2.3</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资金落实情况</w:t>
            </w:r>
          </w:p>
        </w:tc>
        <w:tc>
          <w:tcPr>
            <w:tcW w:w="6420" w:type="dxa"/>
            <w:vAlign w:val="center"/>
          </w:tcPr>
          <w:p>
            <w:pPr>
              <w:pStyle w:val="16"/>
              <w:spacing w:line="360" w:lineRule="auto"/>
              <w:jc w:val="both"/>
              <w:rPr>
                <w:rFonts w:hAnsi="宋体"/>
                <w:color w:val="auto"/>
              </w:rPr>
            </w:pPr>
            <w:r>
              <w:rPr>
                <w:rFonts w:hint="eastAsia" w:hAnsi="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招标范围</w:t>
            </w:r>
          </w:p>
        </w:tc>
        <w:tc>
          <w:tcPr>
            <w:tcW w:w="6420" w:type="dxa"/>
            <w:vAlign w:val="center"/>
          </w:tcPr>
          <w:p>
            <w:pPr>
              <w:autoSpaceDE w:val="0"/>
              <w:autoSpaceDN w:val="0"/>
              <w:adjustRightInd w:val="0"/>
              <w:spacing w:line="276" w:lineRule="auto"/>
              <w:jc w:val="left"/>
              <w:rPr>
                <w:rFonts w:hAnsi="宋体"/>
              </w:rPr>
            </w:pPr>
            <w:r>
              <w:rPr>
                <w:rFonts w:hint="eastAsia" w:ascii="宋体" w:hAnsi="宋体" w:cs="宋体"/>
                <w:kern w:val="0"/>
                <w:sz w:val="24"/>
              </w:rPr>
              <w:t>工程量清单所包括的全部内容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1.3.2</w:t>
            </w:r>
          </w:p>
        </w:tc>
        <w:tc>
          <w:tcPr>
            <w:tcW w:w="2055" w:type="dxa"/>
            <w:vAlign w:val="center"/>
          </w:tcPr>
          <w:p>
            <w:pPr>
              <w:autoSpaceDE w:val="0"/>
              <w:autoSpaceDN w:val="0"/>
              <w:adjustRightInd w:val="0"/>
              <w:spacing w:line="360" w:lineRule="auto"/>
              <w:jc w:val="center"/>
              <w:rPr>
                <w:rFonts w:hint="default" w:ascii="宋体" w:hAnsi="宋体" w:eastAsia="宋体" w:cs="仿宋_GB2312"/>
                <w:kern w:val="0"/>
                <w:sz w:val="24"/>
                <w:lang w:val="en-US" w:eastAsia="zh-CN"/>
              </w:rPr>
            </w:pPr>
            <w:r>
              <w:rPr>
                <w:rFonts w:hint="eastAsia" w:ascii="宋体" w:hAnsi="宋体" w:cs="仿宋_GB2312"/>
                <w:kern w:val="0"/>
                <w:sz w:val="24"/>
              </w:rPr>
              <w:t>计划工期</w:t>
            </w:r>
          </w:p>
        </w:tc>
        <w:tc>
          <w:tcPr>
            <w:tcW w:w="6420" w:type="dxa"/>
            <w:vAlign w:val="center"/>
          </w:tcPr>
          <w:p>
            <w:pPr>
              <w:rPr>
                <w:rFonts w:hint="default" w:eastAsia="宋体"/>
                <w:lang w:val="en-US" w:eastAsia="zh-CN"/>
              </w:rPr>
            </w:pPr>
            <w:r>
              <w:rPr>
                <w:rFonts w:hint="eastAsia" w:ascii="宋体" w:hAnsi="宋体"/>
                <w:sz w:val="24"/>
                <w:lang w:val="en-US" w:eastAsia="zh-CN"/>
              </w:rPr>
              <w:t>工期：45</w:t>
            </w:r>
            <w:r>
              <w:rPr>
                <w:rFonts w:hint="eastAsia" w:ascii="宋体" w:hAnsi="宋体"/>
                <w:sz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1.3.3</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质量要求</w:t>
            </w:r>
          </w:p>
        </w:tc>
        <w:tc>
          <w:tcPr>
            <w:tcW w:w="6420" w:type="dxa"/>
            <w:vAlign w:val="center"/>
          </w:tcPr>
          <w:p>
            <w:pPr>
              <w:pStyle w:val="16"/>
              <w:spacing w:line="360" w:lineRule="auto"/>
              <w:jc w:val="both"/>
              <w:rPr>
                <w:rFonts w:hAnsi="宋体"/>
                <w:color w:val="auto"/>
              </w:rPr>
            </w:pPr>
            <w:r>
              <w:rPr>
                <w:rFonts w:hint="eastAsia" w:hAnsi="宋体"/>
                <w:color w:val="auto"/>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1.3.4</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sz w:val="24"/>
              </w:rPr>
              <w:t>付款方式</w:t>
            </w:r>
          </w:p>
        </w:tc>
        <w:tc>
          <w:tcPr>
            <w:tcW w:w="6420" w:type="dxa"/>
            <w:vAlign w:val="center"/>
          </w:tcPr>
          <w:p>
            <w:pPr>
              <w:rPr>
                <w:rFonts w:hAnsi="宋体"/>
              </w:rPr>
            </w:pPr>
            <w:r>
              <w:rPr>
                <w:rFonts w:hint="eastAsia" w:ascii="宋体" w:hAnsi="宋体"/>
                <w:sz w:val="24"/>
              </w:rPr>
              <w:t>详细付款方式：</w:t>
            </w:r>
            <w:r>
              <w:rPr>
                <w:rFonts w:hint="eastAsia" w:ascii="宋体" w:hAnsi="宋体"/>
                <w:sz w:val="24"/>
                <w:lang w:val="en-US" w:eastAsia="zh-CN"/>
              </w:rPr>
              <w:t>运动场水稳铺设完成拨付至合同价款40%，工程完工验收合格拨付至合同价款70%，决算评审结束后拨付至决算价97%，质保期满一年无质量问题拨付至决算价的100%。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投标人资质条件、能力和信誉</w:t>
            </w:r>
          </w:p>
        </w:tc>
        <w:tc>
          <w:tcPr>
            <w:tcW w:w="6420" w:type="dxa"/>
            <w:vAlign w:val="center"/>
          </w:tcPr>
          <w:p>
            <w:pPr>
              <w:rPr>
                <w:rFonts w:ascii="宋体" w:hAnsi="宋体"/>
                <w:sz w:val="24"/>
                <w:highlight w:val="none"/>
              </w:rPr>
            </w:pPr>
            <w:r>
              <w:rPr>
                <w:rFonts w:hint="eastAsia" w:ascii="宋体" w:hAnsi="宋体"/>
                <w:sz w:val="24"/>
                <w:highlight w:val="none"/>
              </w:rPr>
              <w:t>1.满足《中华人民共和国政府采购法》第二十二条规定；</w:t>
            </w:r>
          </w:p>
          <w:p>
            <w:pPr>
              <w:rPr>
                <w:rFonts w:ascii="宋体" w:hAnsi="宋体"/>
                <w:sz w:val="24"/>
                <w:highlight w:val="none"/>
              </w:rPr>
            </w:pPr>
            <w:r>
              <w:rPr>
                <w:rFonts w:hint="eastAsia" w:ascii="宋体" w:hAnsi="宋体"/>
                <w:sz w:val="24"/>
                <w:highlight w:val="none"/>
              </w:rPr>
              <w:t>（1）具有独立承担民事责任的能力（企业营业执照等证明文件）；</w:t>
            </w:r>
          </w:p>
          <w:p>
            <w:pPr>
              <w:rPr>
                <w:rFonts w:ascii="宋体" w:hAnsi="宋体"/>
                <w:sz w:val="24"/>
                <w:highlight w:val="none"/>
              </w:rPr>
            </w:pPr>
            <w:r>
              <w:rPr>
                <w:rFonts w:hint="eastAsia" w:ascii="宋体" w:hAnsi="宋体"/>
                <w:sz w:val="24"/>
                <w:highlight w:val="none"/>
              </w:rPr>
              <w:t>（2）具有良好的商业信誉和健全的财务会计制度；</w:t>
            </w:r>
          </w:p>
          <w:p>
            <w:pPr>
              <w:rPr>
                <w:rFonts w:ascii="宋体" w:hAnsi="宋体"/>
                <w:sz w:val="24"/>
                <w:highlight w:val="none"/>
              </w:rPr>
            </w:pPr>
            <w:r>
              <w:rPr>
                <w:rFonts w:hint="eastAsia" w:ascii="宋体" w:hAnsi="宋体"/>
                <w:sz w:val="24"/>
                <w:highlight w:val="none"/>
              </w:rPr>
              <w:t>（3）具有履行合同所必需的设备和专业技术能力；</w:t>
            </w:r>
          </w:p>
          <w:p>
            <w:pPr>
              <w:rPr>
                <w:rFonts w:ascii="宋体" w:hAnsi="宋体"/>
                <w:sz w:val="24"/>
                <w:highlight w:val="none"/>
              </w:rPr>
            </w:pPr>
            <w:r>
              <w:rPr>
                <w:rFonts w:hint="eastAsia" w:ascii="宋体" w:hAnsi="宋体"/>
                <w:sz w:val="24"/>
                <w:highlight w:val="none"/>
              </w:rPr>
              <w:t>（4）有依法缴纳税收和社会保障资金的良好记录（缴纳的税收凭据、社会保险凭据，依法免税或不需要缴纳社会保障资金的供应商应提供相应的证明文件）；</w:t>
            </w:r>
          </w:p>
          <w:p>
            <w:pPr>
              <w:rPr>
                <w:rFonts w:ascii="宋体" w:hAnsi="宋体"/>
                <w:sz w:val="24"/>
                <w:highlight w:val="none"/>
              </w:rPr>
            </w:pPr>
            <w:r>
              <w:rPr>
                <w:rFonts w:hint="eastAsia" w:ascii="宋体" w:hAnsi="宋体"/>
                <w:sz w:val="24"/>
                <w:highlight w:val="none"/>
              </w:rPr>
              <w:t>（5）参加政府采购活动前三年内，在经营活动中没有重大违法记录（提供没有重大违法记录的书面声明函，格式自拟）；</w:t>
            </w:r>
          </w:p>
          <w:p>
            <w:pPr>
              <w:rPr>
                <w:rFonts w:ascii="宋体" w:hAnsi="宋体"/>
                <w:sz w:val="24"/>
                <w:highlight w:val="none"/>
              </w:rPr>
            </w:pPr>
            <w:r>
              <w:rPr>
                <w:rFonts w:hint="eastAsia" w:ascii="宋体" w:hAnsi="宋体"/>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rPr>
                <w:rFonts w:ascii="宋体" w:hAnsi="宋体"/>
                <w:sz w:val="24"/>
                <w:highlight w:val="none"/>
              </w:rPr>
            </w:pPr>
            <w:r>
              <w:rPr>
                <w:rFonts w:hint="eastAsia" w:ascii="宋体" w:hAnsi="宋体"/>
                <w:sz w:val="24"/>
                <w:highlight w:val="none"/>
              </w:rPr>
              <w:t>3.本项目的特定资格要求：（1）根据《关于在政府采购活动中查询及使用信用记录有关问题的通知》(财库[2016]125号)和豫财购【2016】15号的规定，对列入“信用中国”网站（</w:t>
            </w:r>
            <w:r>
              <w:rPr>
                <w:rFonts w:ascii="宋体" w:hAnsi="宋体"/>
                <w:sz w:val="24"/>
                <w:highlight w:val="none"/>
              </w:rPr>
              <w:fldChar w:fldCharType="begin"/>
            </w:r>
            <w:r>
              <w:rPr>
                <w:rFonts w:ascii="宋体" w:hAnsi="宋体"/>
                <w:sz w:val="24"/>
                <w:highlight w:val="none"/>
              </w:rPr>
              <w:instrText xml:space="preserve"> HYPERLINK "http://www.creditchina.gov.cn/" </w:instrText>
            </w:r>
            <w:r>
              <w:rPr>
                <w:rFonts w:ascii="宋体" w:hAnsi="宋体"/>
                <w:sz w:val="24"/>
                <w:highlight w:val="none"/>
              </w:rPr>
              <w:fldChar w:fldCharType="separate"/>
            </w:r>
            <w:r>
              <w:rPr>
                <w:rFonts w:hint="eastAsia" w:ascii="宋体" w:hAnsi="宋体"/>
                <w:sz w:val="24"/>
                <w:highlight w:val="none"/>
              </w:rPr>
              <w:t>www.creditchina.gov.cn</w:t>
            </w:r>
            <w:r>
              <w:rPr>
                <w:rFonts w:hint="eastAsia" w:ascii="宋体" w:hAnsi="宋体"/>
                <w:sz w:val="24"/>
                <w:highlight w:val="none"/>
              </w:rPr>
              <w:fldChar w:fldCharType="end"/>
            </w:r>
            <w:r>
              <w:rPr>
                <w:rFonts w:hint="eastAsia" w:ascii="宋体" w:hAnsi="宋体"/>
                <w:sz w:val="24"/>
                <w:highlight w:val="none"/>
              </w:rPr>
              <w:t>）的“失信被执行人”、“重大税收违法案件当事人名单（重大税收违法失信主体）”和“中国政府采购”网站(</w:t>
            </w:r>
            <w:r>
              <w:rPr>
                <w:rFonts w:ascii="宋体" w:hAnsi="宋体"/>
                <w:sz w:val="24"/>
                <w:highlight w:val="none"/>
              </w:rPr>
              <w:fldChar w:fldCharType="begin"/>
            </w:r>
            <w:r>
              <w:rPr>
                <w:rFonts w:ascii="宋体" w:hAnsi="宋体"/>
                <w:sz w:val="24"/>
                <w:highlight w:val="none"/>
              </w:rPr>
              <w:instrText xml:space="preserve"> HYPERLINK "http://www.ccgp.gov.cn/" </w:instrText>
            </w:r>
            <w:r>
              <w:rPr>
                <w:rFonts w:ascii="宋体" w:hAnsi="宋体"/>
                <w:sz w:val="24"/>
                <w:highlight w:val="none"/>
              </w:rPr>
              <w:fldChar w:fldCharType="separate"/>
            </w:r>
            <w:r>
              <w:rPr>
                <w:rFonts w:hint="eastAsia" w:ascii="宋体" w:hAnsi="宋体"/>
                <w:sz w:val="24"/>
                <w:highlight w:val="none"/>
              </w:rPr>
              <w:t>www.ccgp.gov.cn</w:t>
            </w:r>
            <w:r>
              <w:rPr>
                <w:rFonts w:hint="eastAsia" w:ascii="宋体" w:hAnsi="宋体"/>
                <w:sz w:val="24"/>
                <w:highlight w:val="none"/>
              </w:rPr>
              <w:fldChar w:fldCharType="end"/>
            </w:r>
            <w:r>
              <w:rPr>
                <w:rFonts w:hint="eastAsia" w:ascii="宋体" w:hAnsi="宋体"/>
                <w:sz w:val="24"/>
                <w:highlight w:val="none"/>
              </w:rPr>
              <w:t>)的“政府采购严重违法失信行为记录名单”的供应商，将拒绝其参加政府采购活动；在标书中附加盖公章的网页查询扫描件，查询日期为公告发布之日起至投标截止之日止。</w:t>
            </w:r>
          </w:p>
          <w:p>
            <w:pPr>
              <w:rPr>
                <w:rFonts w:ascii="宋体" w:hAnsi="宋体"/>
                <w:sz w:val="24"/>
                <w:highlight w:val="yellow"/>
              </w:rPr>
            </w:pPr>
            <w:r>
              <w:rPr>
                <w:rFonts w:hint="eastAsia" w:ascii="宋体" w:hAnsi="宋体"/>
                <w:sz w:val="24"/>
                <w:highlight w:val="none"/>
              </w:rPr>
              <w:t>（2）供应商须具备</w:t>
            </w:r>
            <w:r>
              <w:rPr>
                <w:rFonts w:hint="eastAsia" w:ascii="宋体" w:hAnsi="宋体"/>
                <w:sz w:val="24"/>
                <w:highlight w:val="none"/>
                <w:lang w:val="en-US" w:eastAsia="zh-CN"/>
              </w:rPr>
              <w:t>建筑</w:t>
            </w:r>
            <w:r>
              <w:rPr>
                <w:rFonts w:hint="eastAsia" w:ascii="宋体" w:hAnsi="宋体"/>
                <w:sz w:val="24"/>
                <w:highlight w:val="none"/>
              </w:rPr>
              <w:t>工程施工总承包叁级及以上资质，并在人员、设备、资金等方面具有相应的施工能力，其中，供应商拟派项目负责人须具备</w:t>
            </w:r>
            <w:r>
              <w:rPr>
                <w:rFonts w:hint="eastAsia" w:ascii="宋体" w:hAnsi="宋体"/>
                <w:sz w:val="24"/>
                <w:highlight w:val="none"/>
                <w:lang w:val="en-US" w:eastAsia="zh-CN"/>
              </w:rPr>
              <w:t>建筑</w:t>
            </w:r>
            <w:r>
              <w:rPr>
                <w:rFonts w:hint="eastAsia" w:ascii="宋体" w:hAnsi="宋体"/>
                <w:sz w:val="24"/>
                <w:highlight w:val="none"/>
              </w:rPr>
              <w:t>工程专业贰级（含以上）注册建造师执业资格，并持有有效的安全生产考核合格证书，且未担任其他在施建设工程项目的项目经理。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1.4.2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是否接受联合体投标</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1.9.1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踏勘现场</w:t>
            </w:r>
          </w:p>
        </w:tc>
        <w:tc>
          <w:tcPr>
            <w:tcW w:w="6420" w:type="dxa"/>
            <w:vAlign w:val="center"/>
          </w:tcPr>
          <w:p>
            <w:pPr>
              <w:rPr>
                <w:rFonts w:ascii="宋体" w:hAnsi="宋体" w:cs="仿宋_GB2312"/>
                <w:kern w:val="0"/>
                <w:sz w:val="24"/>
              </w:rPr>
            </w:pPr>
            <w:r>
              <w:rPr>
                <w:rFonts w:hint="eastAsia" w:ascii="宋体" w:hAnsi="宋体" w:cs="仿宋_GB2312"/>
                <w:kern w:val="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投标预备会</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投标人提出问题的截止时间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获取招标文件后7个工作日内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招标人书面澄清的时间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分包</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偏离</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构成招标文件的其他材料</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投标人要求澄清招标文件的截止时间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2.2.2</w:t>
            </w:r>
          </w:p>
        </w:tc>
        <w:tc>
          <w:tcPr>
            <w:tcW w:w="2055"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投标截止时间</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eastAsia="宋体" w:cs="宋体"/>
                <w:i w:val="0"/>
                <w:iCs w:val="0"/>
                <w:color w:val="auto"/>
                <w:sz w:val="24"/>
                <w:szCs w:val="24"/>
                <w:highlight w:val="none"/>
                <w:lang w:val="en-US" w:eastAsia="zh-CN"/>
              </w:rPr>
              <w:t>2024年</w:t>
            </w:r>
            <w:r>
              <w:rPr>
                <w:rFonts w:hint="eastAsia" w:ascii="宋体" w:hAnsi="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lang w:val="en-US" w:eastAsia="zh-CN"/>
              </w:rPr>
              <w:t>月</w:t>
            </w:r>
            <w:r>
              <w:rPr>
                <w:rFonts w:hint="eastAsia" w:ascii="宋体" w:hAnsi="宋体" w:cs="宋体"/>
                <w:i w:val="0"/>
                <w:iCs w:val="0"/>
                <w:color w:val="auto"/>
                <w:sz w:val="24"/>
                <w:szCs w:val="24"/>
                <w:highlight w:val="none"/>
                <w:lang w:val="en-US" w:eastAsia="zh-CN"/>
              </w:rPr>
              <w:t>18</w:t>
            </w:r>
            <w:r>
              <w:rPr>
                <w:rFonts w:hint="eastAsia" w:ascii="宋体" w:hAnsi="宋体" w:eastAsia="宋体" w:cs="宋体"/>
                <w:i w:val="0"/>
                <w:iCs w:val="0"/>
                <w:color w:val="auto"/>
                <w:sz w:val="24"/>
                <w:szCs w:val="24"/>
                <w:highlight w:val="none"/>
                <w:lang w:val="en-US" w:eastAsia="zh-CN"/>
              </w:rPr>
              <w:t>日10点00分</w:t>
            </w:r>
            <w:r>
              <w:rPr>
                <w:rFonts w:hint="eastAsia" w:ascii="宋体" w:hAnsi="宋体" w:cs="仿宋_GB2312"/>
                <w:kern w:val="0"/>
                <w:sz w:val="24"/>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2.3.2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投标人确认收到招标文件修改的时间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构成投标文件的其他材料</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投标人认为有必要加入的资料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投标有效期</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60日历天（投标截止之日起）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投标保证金</w:t>
            </w:r>
          </w:p>
        </w:tc>
        <w:tc>
          <w:tcPr>
            <w:tcW w:w="6420" w:type="dxa"/>
            <w:vAlign w:val="center"/>
          </w:tcPr>
          <w:p>
            <w:pPr>
              <w:rPr>
                <w:rFonts w:eastAsiaTheme="minorEastAsia"/>
              </w:rPr>
            </w:pPr>
            <w:r>
              <w:rPr>
                <w:rFonts w:hint="eastAsia" w:ascii="宋体" w:hAnsi="宋体" w:cs="楷体_GB2312"/>
                <w:sz w:val="24"/>
                <w:lang w:val="zh-CN"/>
              </w:rPr>
              <w:t>本项目不需要缴纳（</w:t>
            </w:r>
            <w:r>
              <w:rPr>
                <w:rFonts w:hint="eastAsia"/>
              </w:rPr>
              <w:t>按照相关文件要求货物、服务类政府采购活动不收取投标保证金、履约、质量保证金、合同中预留资金作为质量保证金等无法律依据的保证金。政府采购工程推广以承诺书替代保证金</w:t>
            </w:r>
            <w:r>
              <w:rPr>
                <w:rFonts w:hint="eastAsia" w:ascii="宋体" w:hAnsi="宋体" w:cs="楷体_GB2312"/>
                <w:sz w:val="24"/>
                <w:lang w:val="zh-CN"/>
              </w:rPr>
              <w:t>）</w:t>
            </w:r>
            <w:r>
              <w:rPr>
                <w:rFonts w:hint="eastAsia"/>
              </w:rPr>
              <w:t>。</w:t>
            </w:r>
          </w:p>
          <w:p>
            <w:pPr>
              <w:jc w:val="left"/>
              <w:rPr>
                <w:rFonts w:ascii="宋体" w:hAnsi="宋体" w:cs="楷体_GB2312"/>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近年财务状况的年份要求</w:t>
            </w:r>
          </w:p>
        </w:tc>
        <w:tc>
          <w:tcPr>
            <w:tcW w:w="6420" w:type="dxa"/>
            <w:vAlign w:val="center"/>
          </w:tcPr>
          <w:p>
            <w:pPr>
              <w:autoSpaceDE w:val="0"/>
              <w:autoSpaceDN w:val="0"/>
              <w:adjustRightInd w:val="0"/>
              <w:spacing w:line="360" w:lineRule="auto"/>
              <w:rPr>
                <w:rFonts w:ascii="宋体" w:hAnsi="宋体" w:cs="楷体_GB2312"/>
                <w:sz w:val="24"/>
                <w:lang w:val="zh-CN"/>
              </w:rPr>
            </w:pPr>
            <w:r>
              <w:rPr>
                <w:rFonts w:hint="eastAsia" w:ascii="宋体" w:hAnsi="宋体" w:cs="楷体_GB2312"/>
                <w:sz w:val="24"/>
                <w:lang w:val="zh-CN"/>
              </w:rPr>
              <w:t>近一年（新设立的公司自公司运营之日起算起，不足一年的不需要）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近年完成的类似项目的年份要求</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hAnsi="宋体" w:cs="宋体"/>
                <w:color w:val="000000"/>
                <w:sz w:val="24"/>
                <w:lang w:val="en-US" w:eastAsia="zh-CN"/>
              </w:rPr>
              <w:t>2020</w:t>
            </w:r>
            <w:r>
              <w:rPr>
                <w:rFonts w:hint="eastAsia" w:ascii="宋体" w:hAnsi="宋体" w:cs="仿宋_GB2312"/>
                <w:kern w:val="0"/>
                <w:sz w:val="24"/>
                <w:highlight w:val="none"/>
              </w:rPr>
              <w:t>年1月1日以来,</w:t>
            </w:r>
            <w:r>
              <w:rPr>
                <w:rFonts w:hint="eastAsia" w:ascii="宋体" w:hAnsi="宋体" w:cs="仿宋_GB2312"/>
                <w:kern w:val="0"/>
                <w:sz w:val="24"/>
              </w:rPr>
              <w:t>成立不足三年的，以公司开始运营时间计算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3.5.5</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近年发生的诉讼及仲裁情况的年份要求</w:t>
            </w:r>
          </w:p>
        </w:tc>
        <w:tc>
          <w:tcPr>
            <w:tcW w:w="6420" w:type="dxa"/>
            <w:vAlign w:val="center"/>
          </w:tcPr>
          <w:p>
            <w:pPr>
              <w:autoSpaceDE w:val="0"/>
              <w:autoSpaceDN w:val="0"/>
              <w:adjustRightInd w:val="0"/>
              <w:rPr>
                <w:rFonts w:ascii="宋体" w:hAnsi="宋体" w:cs="仿宋_GB2312"/>
                <w:kern w:val="0"/>
                <w:sz w:val="24"/>
              </w:rPr>
            </w:pPr>
            <w:r>
              <w:rPr>
                <w:rFonts w:hint="eastAsia" w:hAnsi="宋体" w:cs="宋体"/>
                <w:color w:val="000000"/>
                <w:sz w:val="24"/>
                <w:lang w:val="en-US" w:eastAsia="zh-CN"/>
              </w:rPr>
              <w:t>2021</w:t>
            </w:r>
            <w:r>
              <w:rPr>
                <w:rFonts w:hint="eastAsia" w:ascii="宋体" w:hAnsi="宋体" w:cs="仿宋_GB2312"/>
                <w:kern w:val="0"/>
                <w:sz w:val="24"/>
                <w:highlight w:val="none"/>
              </w:rPr>
              <w:t>年1月1日以来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3.6</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是否允许递交备选投标方案</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签字或盖章要求</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投标文件按招标文件要求，在需要签字盖章的地方加盖投标人公章和法定代表人或其委托代理人签字或盖章。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3.7.4</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投标文件份数</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1、投标文件为使用周口市公共资源交易中心提供的电子标书制作工具软件（</w:t>
            </w:r>
            <w:r>
              <w:rPr>
                <w:rFonts w:hint="eastAsia" w:asciiTheme="minorEastAsia" w:hAnsiTheme="minorEastAsia" w:eastAsiaTheme="minorEastAsia"/>
                <w:color w:val="000000"/>
              </w:rPr>
              <w:t>http://jyzx.zhoukou.gov.cn</w:t>
            </w:r>
            <w:r>
              <w:rPr>
                <w:rFonts w:hint="eastAsia" w:ascii="宋体" w:hAnsi="宋体" w:cs="仿宋_GB2312"/>
                <w:kern w:val="0"/>
                <w:sz w:val="24"/>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autoSpaceDE w:val="0"/>
              <w:autoSpaceDN w:val="0"/>
              <w:adjustRightInd w:val="0"/>
              <w:rPr>
                <w:rFonts w:ascii="宋体" w:hAnsi="宋体" w:cs="仿宋_GB2312"/>
                <w:kern w:val="0"/>
                <w:sz w:val="24"/>
              </w:rPr>
            </w:pPr>
            <w:r>
              <w:rPr>
                <w:rFonts w:hint="eastAsia" w:ascii="宋体" w:hAnsi="宋体" w:cs="仿宋_GB2312"/>
                <w:kern w:val="0"/>
                <w:sz w:val="24"/>
              </w:rPr>
              <w:t>2、本项目实行网上远程开标，未加密的电子投标文件和纸质文件均不再提交。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4.1.2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封套上写明</w:t>
            </w:r>
          </w:p>
        </w:tc>
        <w:tc>
          <w:tcPr>
            <w:tcW w:w="6420" w:type="dxa"/>
            <w:vAlign w:val="center"/>
          </w:tcPr>
          <w:p>
            <w:pPr>
              <w:autoSpaceDE w:val="0"/>
              <w:autoSpaceDN w:val="0"/>
              <w:adjustRightInd w:val="0"/>
              <w:rPr>
                <w:rFonts w:ascii="宋体" w:hAnsi="宋体"/>
                <w:sz w:val="24"/>
              </w:rPr>
            </w:pPr>
            <w:r>
              <w:rPr>
                <w:rFonts w:hint="eastAsia" w:ascii="宋体" w:hAnsi="宋体" w:cs="仿宋_GB2312"/>
                <w:kern w:val="0"/>
                <w:sz w:val="24"/>
              </w:rPr>
              <w:t>本项目实行网上远程开标，不需要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递交投标文件地点</w:t>
            </w:r>
          </w:p>
        </w:tc>
        <w:tc>
          <w:tcPr>
            <w:tcW w:w="6420" w:type="dxa"/>
            <w:vAlign w:val="center"/>
          </w:tcPr>
          <w:p>
            <w:pPr>
              <w:rPr>
                <w:rFonts w:ascii="宋体" w:hAnsi="宋体"/>
                <w:sz w:val="24"/>
              </w:rPr>
            </w:pPr>
            <w:r>
              <w:rPr>
                <w:rFonts w:hint="eastAsia" w:ascii="宋体" w:hAnsi="宋体"/>
                <w:sz w:val="24"/>
              </w:rPr>
              <w:t>地点：周口市公共资源交易中心网</w:t>
            </w:r>
          </w:p>
          <w:p>
            <w:pPr>
              <w:rPr>
                <w:rFonts w:ascii="宋体" w:hAnsi="宋体"/>
                <w:sz w:val="24"/>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4.2.3</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是否退还投标文件</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5.1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开标时间和地点</w:t>
            </w:r>
          </w:p>
        </w:tc>
        <w:tc>
          <w:tcPr>
            <w:tcW w:w="6420" w:type="dxa"/>
            <w:vAlign w:val="center"/>
          </w:tcPr>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开标时间：同投标截止时间。电子投标文件必须凭制作投标文件所用的CA数字证书在规定解密时间30分钟以内完成解密。</w:t>
            </w:r>
          </w:p>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开标地点:周口市公共资源交易中心四楼开标室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6.1.1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评标委员会的组建</w:t>
            </w:r>
          </w:p>
        </w:tc>
        <w:tc>
          <w:tcPr>
            <w:tcW w:w="6420" w:type="dxa"/>
            <w:vAlign w:val="center"/>
          </w:tcPr>
          <w:p>
            <w:pPr>
              <w:autoSpaceDE w:val="0"/>
              <w:autoSpaceDN w:val="0"/>
              <w:adjustRightInd w:val="0"/>
              <w:rPr>
                <w:rFonts w:ascii="宋体" w:hAnsi="宋体" w:cs="黑体"/>
                <w:kern w:val="0"/>
                <w:sz w:val="24"/>
              </w:rPr>
            </w:pPr>
            <w:r>
              <w:rPr>
                <w:rFonts w:hint="eastAsia" w:ascii="宋体" w:hAnsi="宋体" w:cs="仿宋_GB2312"/>
                <w:kern w:val="0"/>
                <w:sz w:val="24"/>
              </w:rPr>
              <w:t>评标专家确定方式：开标前从政府采购综合专家库中随机抽取相关专业的评审专家。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是否授权评标委员会确定中标人</w:t>
            </w:r>
          </w:p>
        </w:tc>
        <w:tc>
          <w:tcPr>
            <w:tcW w:w="6420" w:type="dxa"/>
            <w:vAlign w:val="center"/>
          </w:tcPr>
          <w:p>
            <w:pPr>
              <w:autoSpaceDE w:val="0"/>
              <w:autoSpaceDN w:val="0"/>
              <w:adjustRightInd w:val="0"/>
              <w:rPr>
                <w:rFonts w:ascii="宋体" w:hAnsi="宋体" w:cs="黑体"/>
                <w:kern w:val="0"/>
                <w:sz w:val="24"/>
              </w:rPr>
            </w:pPr>
            <w:r>
              <w:rPr>
                <w:rFonts w:hint="eastAsia" w:ascii="宋体" w:hAnsi="宋体" w:cs="仿宋_GB2312"/>
                <w:kern w:val="0"/>
                <w:sz w:val="24"/>
              </w:rPr>
              <w:t>否，评标委员会推荐中标候选人数，由采购人确定中标人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7.3.1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履约担保</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b/>
                <w:bCs/>
                <w:kern w:val="0"/>
                <w:sz w:val="24"/>
              </w:rPr>
              <w:t>10</w:t>
            </w:r>
          </w:p>
        </w:tc>
        <w:tc>
          <w:tcPr>
            <w:tcW w:w="8475" w:type="dxa"/>
            <w:gridSpan w:val="2"/>
            <w:vAlign w:val="center"/>
          </w:tcPr>
          <w:p>
            <w:pPr>
              <w:autoSpaceDE w:val="0"/>
              <w:autoSpaceDN w:val="0"/>
              <w:adjustRightInd w:val="0"/>
              <w:jc w:val="center"/>
              <w:rPr>
                <w:rFonts w:ascii="宋体" w:hAnsi="宋体" w:cs="黑体"/>
                <w:b/>
                <w:kern w:val="0"/>
                <w:sz w:val="24"/>
              </w:rPr>
            </w:pPr>
            <w:r>
              <w:rPr>
                <w:rFonts w:hint="eastAsia" w:ascii="宋体" w:hAnsi="宋体" w:cs="仿宋_GB2312"/>
                <w:b/>
                <w:kern w:val="0"/>
                <w:sz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10.1</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在确定中标单位后，要求中标单位在与招标人签订合同的同时,签订廉政责任书。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10.2</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sz w:val="24"/>
              </w:rPr>
              <w:t>解释权：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10.3</w:t>
            </w:r>
          </w:p>
        </w:tc>
        <w:tc>
          <w:tcPr>
            <w:tcW w:w="8475" w:type="dxa"/>
            <w:gridSpan w:val="2"/>
            <w:vAlign w:val="center"/>
          </w:tcPr>
          <w:p>
            <w:pPr>
              <w:rPr>
                <w:rFonts w:ascii="宋体" w:hAnsi="宋体" w:cs="仿宋_GB2312"/>
                <w:kern w:val="0"/>
                <w:sz w:val="24"/>
              </w:rPr>
            </w:pPr>
            <w:r>
              <w:rPr>
                <w:rFonts w:hint="eastAsia" w:ascii="宋体" w:hAnsi="宋体" w:cs="仿宋_GB2312"/>
                <w:kern w:val="0"/>
                <w:sz w:val="24"/>
              </w:rPr>
              <w:t>招标文件领取时间：同招标公告发布时间。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065" w:type="dxa"/>
            <w:vAlign w:val="center"/>
          </w:tcPr>
          <w:p>
            <w:pPr>
              <w:wordWrap w:val="0"/>
              <w:rPr>
                <w:rFonts w:ascii="宋体" w:hAnsi="宋体"/>
                <w:b/>
                <w:sz w:val="28"/>
                <w:szCs w:val="28"/>
              </w:rPr>
            </w:pPr>
            <w:r>
              <w:rPr>
                <w:rFonts w:hint="eastAsia" w:ascii="宋体" w:hAnsi="宋体"/>
                <w:b/>
                <w:sz w:val="28"/>
                <w:szCs w:val="28"/>
              </w:rPr>
              <w:t>10.4</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招标控制价：</w:t>
            </w:r>
            <w:r>
              <w:rPr>
                <w:rFonts w:hint="eastAsia" w:ascii="宋体" w:hAnsi="宋体" w:cs="宋体"/>
                <w:sz w:val="24"/>
              </w:rPr>
              <w:t>4697733.35</w:t>
            </w:r>
            <w:r>
              <w:rPr>
                <w:rFonts w:hint="eastAsia" w:ascii="宋体" w:hAnsi="宋体" w:cs="仿宋_GB2312"/>
                <w:kern w:val="0"/>
                <w:sz w:val="24"/>
              </w:rPr>
              <w:t>元</w:t>
            </w:r>
          </w:p>
        </w:tc>
      </w:tr>
    </w:tbl>
    <w:p/>
    <w:p>
      <w:pPr>
        <w:rPr>
          <w:rFonts w:hint="eastAsia" w:ascii="黑体" w:eastAsia="黑体"/>
          <w:sz w:val="32"/>
        </w:rPr>
      </w:pPr>
      <w:bookmarkStart w:id="42" w:name="_Toc5307"/>
      <w:bookmarkStart w:id="43" w:name="_Toc91"/>
      <w:r>
        <w:rPr>
          <w:rFonts w:hint="eastAsia" w:ascii="黑体" w:eastAsia="黑体"/>
          <w:sz w:val="32"/>
        </w:rPr>
        <w:br w:type="page"/>
      </w:r>
    </w:p>
    <w:p>
      <w:pPr>
        <w:pStyle w:val="7"/>
        <w:jc w:val="center"/>
        <w:rPr>
          <w:rFonts w:ascii="黑体" w:eastAsia="黑体"/>
          <w:sz w:val="32"/>
        </w:rPr>
      </w:pPr>
      <w:r>
        <w:rPr>
          <w:rFonts w:hint="eastAsia" w:ascii="黑体" w:eastAsia="黑体"/>
          <w:sz w:val="32"/>
        </w:rPr>
        <w:t>1. 总则</w:t>
      </w:r>
      <w:bookmarkEnd w:id="7"/>
      <w:bookmarkEnd w:id="42"/>
      <w:bookmarkEnd w:id="4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 项目概况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根</w:t>
      </w:r>
      <w:r>
        <w:rPr>
          <w:rFonts w:hint="eastAsia" w:ascii="宋体" w:hAnsi="宋体" w:cs="仿宋_GB2312"/>
          <w:color w:val="000000" w:themeColor="text1"/>
          <w:kern w:val="0"/>
          <w:sz w:val="24"/>
        </w:rPr>
        <w:t>据《中华人民共和国招标投标法》等</w:t>
      </w:r>
      <w:r>
        <w:rPr>
          <w:rFonts w:hint="eastAsia" w:ascii="宋体" w:hAnsi="宋体" w:cs="仿宋_GB2312"/>
          <w:kern w:val="0"/>
          <w:sz w:val="24"/>
        </w:rPr>
        <w:t>有关法律、法规和规章的规定，本招标项目已具备招标条件，现对本标段施工进行招标。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本招标项目招标人：见投标人须知前附表。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1.1.3 本标段招标代理机构：见投标人须知前附表。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1.1.4 本招标项目名称：见投标人须知前附表。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1.1.5 本标段建设地点：见投标人须知前附表。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 资金来源和落实情况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1.2.1 本招标项目的资金来源：见投标人须知前附表。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1.2.2 本招标项目的出资比例：见投标人须知前附表。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1.2.3 本招标项目的资金落实情况：见投标人须知前附表。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 招标范围、计划工期和质量要求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1.3.1 本次招标范围：见投标人须知前附表。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1.3.2 本标段的计划工期：见投标人须知前附表。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1.3.3 本标段的质量要求：见投标人须知前附表。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 投标人资格要求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1.4.1 投标人应具备承担本标段施工的资质条件、能力和信誉。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（1）资质条件：见投标人须知前附表；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（2）财务要求：见投标人须知前附表；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（3）业绩要求：见投标人须知前附表。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1.4.2 本项目不接受联合体投标；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1.4.3 投标人不得存在下列情形之一：</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（1）为招标人不具有独立法人资格的附属机构（单位）；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（2）为本标段前期准备提供设计或咨询服务的，但设计施工总承包的除外；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（3）为本标段的监理人；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（4）为本标段的代建人；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（5）为本标段提供招标代理服务的；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（6）与本标段的监理人或代建人或招标代理机构同为一个法定代表人的；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（7）与本标段的监理人或代建人或招标代理机构相互控股或参股的；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（8）与本标段的监理人或代建人或招标代理机构相互任职或工作的；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（9）被责令停业的；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（10）被暂停或取消投标资格的；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（11）财产被接管或冻结的；</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（12）在最近三年内有骗取中标或严重违约或重大工程质量问题的。</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（13）不同供应商的电子投标（响应）文件上传计算机的网卡 MAC 地址、CPU 序列号和硬盘序列号等硬件信息相同的;</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（14）不同供应商的投标（响应）文件由同一电子设备编制，打印、复印、加密或者上传的；</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（15）不同供应商的投标（响应）文件由同一人送达或者分发，或者不同供应商联系人为同一人或不同联系人的联系电话一致的；</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（16）不同供应商的投标（响应）文件的内容存在两处以上细节错误一致；</w:t>
      </w:r>
    </w:p>
    <w:p>
      <w:pPr>
        <w:autoSpaceDE w:val="0"/>
        <w:autoSpaceDN w:val="0"/>
        <w:adjustRightInd w:val="0"/>
        <w:spacing w:line="440" w:lineRule="exact"/>
        <w:ind w:firstLine="480" w:firstLineChars="200"/>
        <w:jc w:val="left"/>
        <w:rPr>
          <w:rFonts w:ascii="宋体" w:hAnsi="宋体" w:cs="仿宋_GB2312"/>
          <w:color w:val="000000" w:themeColor="text1"/>
          <w:kern w:val="0"/>
          <w:sz w:val="24"/>
        </w:rPr>
      </w:pPr>
      <w:r>
        <w:rPr>
          <w:rFonts w:hint="eastAsia" w:ascii="宋体" w:hAnsi="宋体" w:cs="仿宋_GB2312"/>
          <w:color w:val="000000" w:themeColor="text1"/>
          <w:kern w:val="0"/>
          <w:sz w:val="24"/>
        </w:rPr>
        <w:t>（17）不同供应商的法定代表人、委托代理人、项目经理、项目负责人等由同一个单位缴纳社会保险或者领取报酬的；</w:t>
      </w:r>
    </w:p>
    <w:p>
      <w:pPr>
        <w:autoSpaceDE w:val="0"/>
        <w:autoSpaceDN w:val="0"/>
        <w:adjustRightInd w:val="0"/>
        <w:spacing w:line="440" w:lineRule="exact"/>
        <w:ind w:firstLine="480" w:firstLineChars="200"/>
        <w:jc w:val="left"/>
        <w:rPr>
          <w:color w:val="000000" w:themeColor="text1"/>
        </w:rPr>
      </w:pPr>
      <w:r>
        <w:rPr>
          <w:rFonts w:hint="eastAsia" w:ascii="宋体" w:hAnsi="宋体" w:cs="仿宋_GB2312"/>
          <w:color w:val="000000" w:themeColor="text1"/>
          <w:kern w:val="0"/>
          <w:sz w:val="24"/>
        </w:rPr>
        <w:t>（18）不同供应商投标（响应）文件中法定代表人或者负责人签字出自同一人之手。</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1.5 费用承担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投标人准备和参加投标活动发生的费用自理。</w:t>
      </w:r>
    </w:p>
    <w:p>
      <w:pPr>
        <w:pStyle w:val="8"/>
        <w:keepNext w:val="0"/>
        <w:keepLines w:val="0"/>
        <w:tabs>
          <w:tab w:val="left" w:pos="823"/>
        </w:tabs>
        <w:autoSpaceDE w:val="0"/>
        <w:autoSpaceDN w:val="0"/>
        <w:adjustRightInd w:val="0"/>
        <w:snapToGrid w:val="0"/>
        <w:ind w:firstLine="480" w:firstLineChars="200"/>
        <w:jc w:val="left"/>
        <w:rPr>
          <w:rFonts w:ascii="宋体" w:hAnsi="宋体" w:cs="仿宋_GB2312"/>
          <w:b w:val="0"/>
          <w:bCs w:val="0"/>
          <w:kern w:val="0"/>
          <w:sz w:val="24"/>
          <w:szCs w:val="24"/>
        </w:rPr>
      </w:pPr>
      <w:r>
        <w:rPr>
          <w:rFonts w:hint="eastAsia" w:ascii="宋体" w:hAnsi="宋体" w:cs="仿宋_GB2312"/>
          <w:b w:val="0"/>
          <w:bCs w:val="0"/>
          <w:kern w:val="0"/>
          <w:sz w:val="24"/>
          <w:szCs w:val="24"/>
        </w:rPr>
        <w:t>本项目免收成交服务费，评标费用由采购人支付。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1.6 保密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参与招标投标活动的各方应对招标文件和投标文件中的商业和技术等秘密保密，违者应对由此造成的</w:t>
      </w:r>
      <w:r>
        <w:rPr>
          <w:rFonts w:hint="eastAsia" w:ascii="宋体" w:hAnsi="宋体" w:cs="仿宋_GB2312"/>
          <w:kern w:val="0"/>
          <w:sz w:val="24"/>
          <w:highlight w:val="none"/>
        </w:rPr>
        <w:t>后果承担法律责任。</w:t>
      </w:r>
      <w:r>
        <w:rPr>
          <w:rFonts w:hint="eastAsia" w:ascii="宋体" w:hAnsi="宋体" w:cs="仿宋_GB2312"/>
          <w:kern w:val="0"/>
          <w:sz w:val="24"/>
          <w:highlight w:val="none"/>
          <w:lang w:val="en-US" w:eastAsia="zh-CN"/>
        </w:rPr>
        <w:t>对此项作出书面承诺并附在投标文件中，否则视为不响应招标文件要求。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1.7 语言文字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除专用术语外，与招标投标有关的语言均使用中文。必要时专用术语应附有中文注释。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1.8 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所有计量均采用中华人民共和国法定计量单位。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 踏勘现场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1.9.1 投标人须知前附表规定组织踏勘现场的，招标人按投标人须知前附表规定的时间、地点组织投标人踏勘项目现场。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1.9.2 投标人踏勘现场发生的费用自理。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1.9.3 除招标人的原因外，投标人自行负责在踏勘现场中所发生的人员伤亡和财产损失。</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1.9.4 招标人在踏勘现场中介绍的工程场地和相关的周边环境情况，供投标人在编制投标文件时参考，招标人不对投标人据此作出的判断和决策负责。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 投标预备会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1.10.1 投标人须知前附表规定召开投标预备会的，招标人按投标人须知前附表规定的时间和地点召开投标预备会，澄清投标人提出的问题。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1.10.2 投标人应在投标人须知前附表规定的时间前，以书面形式将提出的问题送达招标人，以便招标人在会议期间澄清。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1.10.3 投标预备会后，招标人在投标人须知前附表规定的时间内，将对投标人所提问题的澄清，以书面方式通知所有购买招标文件的投标人。该澄清内容为招标文件的组成部分。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分包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偏离</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投标人须知前附表允许投标文件偏离招标文件某些要求的，偏离应当符合招标文件规定的偏离范围和幅度。</w:t>
      </w:r>
    </w:p>
    <w:p>
      <w:pPr>
        <w:pStyle w:val="7"/>
        <w:jc w:val="center"/>
        <w:rPr>
          <w:rFonts w:ascii="黑体" w:eastAsia="黑体"/>
          <w:sz w:val="32"/>
        </w:rPr>
      </w:pPr>
      <w:bookmarkStart w:id="44" w:name="_Toc17693"/>
      <w:bookmarkStart w:id="45" w:name="_Toc430166812"/>
      <w:bookmarkStart w:id="46" w:name="_Toc19018"/>
      <w:r>
        <w:rPr>
          <w:rFonts w:hint="eastAsia" w:ascii="黑体" w:eastAsia="黑体"/>
          <w:sz w:val="32"/>
        </w:rPr>
        <w:t>2. 招标文件</w:t>
      </w:r>
      <w:bookmarkEnd w:id="44"/>
      <w:bookmarkEnd w:id="45"/>
      <w:bookmarkEnd w:id="4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招标文件的组成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本招标文件包括：</w:t>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"_Toc430166809" </w:instrText>
      </w:r>
      <w:r>
        <w:fldChar w:fldCharType="separate"/>
      </w:r>
      <w:r>
        <w:rPr>
          <w:rFonts w:hint="eastAsia" w:ascii="宋体" w:hAnsi="宋体" w:cs="仿宋_GB2312"/>
          <w:kern w:val="0"/>
          <w:sz w:val="24"/>
        </w:rPr>
        <w:t>第一章 招标公告</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"_Toc430166810" </w:instrText>
      </w:r>
      <w:r>
        <w:fldChar w:fldCharType="separate"/>
      </w:r>
      <w:r>
        <w:rPr>
          <w:rFonts w:hint="eastAsia" w:ascii="宋体" w:hAnsi="宋体" w:cs="仿宋_GB2312"/>
          <w:kern w:val="0"/>
          <w:sz w:val="24"/>
        </w:rPr>
        <w:t>第二章 投标人须知</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"_Toc430166820" </w:instrText>
      </w:r>
      <w:r>
        <w:fldChar w:fldCharType="separate"/>
      </w:r>
      <w:r>
        <w:rPr>
          <w:rFonts w:hint="eastAsia" w:ascii="宋体" w:hAnsi="宋体" w:cs="仿宋_GB2312"/>
          <w:kern w:val="0"/>
          <w:sz w:val="24"/>
        </w:rPr>
        <w:t>第三章 评标办法（综合评估法）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"_Toc430166821" </w:instrText>
      </w:r>
      <w:r>
        <w:fldChar w:fldCharType="separate"/>
      </w:r>
      <w:r>
        <w:rPr>
          <w:rFonts w:hint="eastAsia" w:ascii="宋体" w:hAnsi="宋体" w:cs="仿宋_GB2312"/>
          <w:kern w:val="0"/>
          <w:sz w:val="24"/>
        </w:rPr>
        <w:t>1. 评标方法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"_Toc430166822" </w:instrText>
      </w:r>
      <w:r>
        <w:fldChar w:fldCharType="separate"/>
      </w:r>
      <w:r>
        <w:rPr>
          <w:rFonts w:hint="eastAsia" w:ascii="宋体" w:hAnsi="宋体" w:cs="仿宋_GB2312"/>
          <w:kern w:val="0"/>
          <w:sz w:val="24"/>
        </w:rPr>
        <w:t>2. 评审标准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"_Toc430166823" </w:instrText>
      </w:r>
      <w:r>
        <w:fldChar w:fldCharType="separate"/>
      </w:r>
      <w:r>
        <w:rPr>
          <w:rFonts w:hint="eastAsia" w:ascii="宋体" w:hAnsi="宋体" w:cs="仿宋_GB2312"/>
          <w:kern w:val="0"/>
          <w:sz w:val="24"/>
        </w:rPr>
        <w:t>3. 评标程序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"_Toc430166824" </w:instrText>
      </w:r>
      <w:r>
        <w:fldChar w:fldCharType="separate"/>
      </w:r>
      <w:r>
        <w:rPr>
          <w:rFonts w:hint="eastAsia" w:ascii="宋体" w:hAnsi="宋体" w:cs="仿宋_GB2312"/>
          <w:kern w:val="0"/>
          <w:sz w:val="24"/>
        </w:rPr>
        <w:t>第四章 合同条款及格式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"_Toc430166825" </w:instrText>
      </w:r>
      <w:r>
        <w:fldChar w:fldCharType="separate"/>
      </w:r>
      <w:r>
        <w:rPr>
          <w:rFonts w:hint="eastAsia" w:ascii="宋体" w:hAnsi="宋体" w:cs="仿宋_GB2312"/>
          <w:kern w:val="0"/>
          <w:sz w:val="24"/>
        </w:rPr>
        <w:t>第五章 工程量清单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"_Toc430166827" </w:instrText>
      </w:r>
      <w:r>
        <w:fldChar w:fldCharType="separate"/>
      </w:r>
      <w:r>
        <w:rPr>
          <w:rFonts w:hint="eastAsia" w:ascii="宋体" w:hAnsi="宋体" w:cs="仿宋_GB2312"/>
          <w:kern w:val="0"/>
          <w:sz w:val="24"/>
        </w:rPr>
        <w:t>第六章 图纸</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"_Toc430166828" </w:instrText>
      </w:r>
      <w:r>
        <w:fldChar w:fldCharType="separate"/>
      </w:r>
      <w:r>
        <w:rPr>
          <w:rFonts w:hint="eastAsia" w:ascii="宋体" w:hAnsi="宋体" w:cs="仿宋_GB2312"/>
          <w:kern w:val="0"/>
          <w:sz w:val="24"/>
        </w:rPr>
        <w:t>第七章 技术标准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"_Toc430166829" </w:instrText>
      </w:r>
      <w:r>
        <w:fldChar w:fldCharType="separate"/>
      </w:r>
      <w:r>
        <w:rPr>
          <w:rFonts w:hint="eastAsia" w:ascii="宋体" w:hAnsi="宋体" w:cs="仿宋_GB2312"/>
          <w:kern w:val="0"/>
          <w:sz w:val="24"/>
        </w:rPr>
        <w:t>第八章 投标文件格式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四、</w:t>
      </w:r>
      <w:r>
        <w:rPr>
          <w:rFonts w:hint="eastAsia" w:ascii="宋体" w:hAnsi="宋体" w:cs="仿宋_GB2312"/>
          <w:kern w:val="0"/>
          <w:sz w:val="24"/>
          <w:lang w:val="en-US" w:eastAsia="zh-CN"/>
        </w:rPr>
        <w:t>完税</w:t>
      </w:r>
      <w:r>
        <w:rPr>
          <w:rFonts w:hint="eastAsia" w:ascii="宋体" w:hAnsi="宋体" w:cs="仿宋_GB2312"/>
          <w:kern w:val="0"/>
          <w:sz w:val="24"/>
        </w:rPr>
        <w:t>凭证、社保证明</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五、网站截图</w:t>
      </w:r>
    </w:p>
    <w:p>
      <w:pPr>
        <w:autoSpaceDE w:val="0"/>
        <w:autoSpaceDN w:val="0"/>
        <w:adjustRightInd w:val="0"/>
        <w:spacing w:line="440" w:lineRule="exact"/>
        <w:ind w:firstLine="480" w:firstLineChars="200"/>
        <w:jc w:val="left"/>
        <w:rPr>
          <w:rFonts w:hint="eastAsia" w:ascii="宋体" w:hAnsi="宋体" w:cs="仿宋_GB2312"/>
          <w:kern w:val="0"/>
          <w:sz w:val="24"/>
          <w:lang w:val="en-US" w:eastAsia="zh-CN"/>
        </w:rPr>
      </w:pPr>
      <w:r>
        <w:rPr>
          <w:rFonts w:hint="eastAsia" w:ascii="宋体" w:hAnsi="宋体" w:cs="仿宋_GB2312"/>
          <w:kern w:val="0"/>
          <w:sz w:val="24"/>
        </w:rPr>
        <w:t>六、</w:t>
      </w:r>
      <w:r>
        <w:rPr>
          <w:rFonts w:hint="eastAsia" w:ascii="宋体" w:hAnsi="宋体" w:cs="仿宋_GB2312"/>
          <w:kern w:val="0"/>
          <w:sz w:val="24"/>
          <w:lang w:val="en-US" w:eastAsia="zh-CN"/>
        </w:rPr>
        <w:t>工程量清单</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七</w:t>
      </w:r>
      <w:r>
        <w:rPr>
          <w:rFonts w:hint="eastAsia" w:ascii="宋体" w:hAnsi="宋体" w:cs="仿宋_GB2312"/>
          <w:kern w:val="0"/>
          <w:sz w:val="24"/>
        </w:rPr>
        <w:t>、施工方案</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八</w:t>
      </w:r>
      <w:r>
        <w:rPr>
          <w:rFonts w:hint="eastAsia" w:ascii="宋体" w:hAnsi="宋体" w:cs="仿宋_GB2312"/>
          <w:kern w:val="0"/>
          <w:sz w:val="24"/>
        </w:rPr>
        <w:t>、项目管理机构</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九</w:t>
      </w:r>
      <w:r>
        <w:rPr>
          <w:rFonts w:hint="eastAsia" w:ascii="宋体" w:hAnsi="宋体" w:cs="仿宋_GB2312"/>
          <w:kern w:val="0"/>
          <w:sz w:val="24"/>
        </w:rPr>
        <w:t>、项目经理无在建工程承诺</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十</w:t>
      </w:r>
      <w:r>
        <w:rPr>
          <w:rFonts w:hint="eastAsia" w:ascii="宋体" w:hAnsi="宋体" w:cs="仿宋_GB2312"/>
          <w:kern w:val="0"/>
          <w:sz w:val="24"/>
        </w:rPr>
        <w:t>、资格审查资料</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十</w:t>
      </w:r>
      <w:r>
        <w:rPr>
          <w:rFonts w:hint="eastAsia" w:ascii="宋体" w:hAnsi="宋体" w:cs="仿宋_GB2312"/>
          <w:kern w:val="0"/>
          <w:sz w:val="24"/>
          <w:lang w:val="en-US" w:eastAsia="zh-CN"/>
        </w:rPr>
        <w:t>一</w:t>
      </w:r>
      <w:r>
        <w:rPr>
          <w:rFonts w:hint="eastAsia" w:ascii="宋体" w:hAnsi="宋体" w:cs="仿宋_GB2312"/>
          <w:kern w:val="0"/>
          <w:sz w:val="24"/>
        </w:rPr>
        <w:t>、中小企业声明函（工程、服务）</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十</w:t>
      </w:r>
      <w:r>
        <w:rPr>
          <w:rFonts w:hint="eastAsia" w:ascii="宋体" w:hAnsi="宋体" w:cs="仿宋_GB2312"/>
          <w:kern w:val="0"/>
          <w:sz w:val="24"/>
          <w:lang w:val="en-US" w:eastAsia="zh-CN"/>
        </w:rPr>
        <w:t>二</w:t>
      </w:r>
      <w:r>
        <w:rPr>
          <w:rFonts w:hint="eastAsia" w:ascii="宋体" w:hAnsi="宋体" w:cs="仿宋_GB2312"/>
          <w:kern w:val="0"/>
          <w:sz w:val="24"/>
        </w:rPr>
        <w:t>、其它投标人认为有必要加入的材料</w:t>
      </w:r>
    </w:p>
    <w:p>
      <w:pPr>
        <w:autoSpaceDE w:val="0"/>
        <w:autoSpaceDN w:val="0"/>
        <w:adjustRightInd w:val="0"/>
        <w:spacing w:line="440" w:lineRule="exact"/>
        <w:ind w:firstLine="480" w:firstLineChars="200"/>
        <w:jc w:val="left"/>
        <w:rPr>
          <w:rFonts w:hint="eastAsia" w:ascii="宋体" w:hAnsi="宋体" w:cs="仿宋_GB2312"/>
          <w:kern w:val="0"/>
          <w:sz w:val="24"/>
          <w:lang w:val="en-US" w:eastAsia="zh-CN"/>
        </w:rPr>
      </w:pPr>
      <w:r>
        <w:rPr>
          <w:rFonts w:hint="eastAsia" w:ascii="宋体" w:hAnsi="宋体" w:cs="仿宋_GB2312"/>
          <w:kern w:val="0"/>
          <w:sz w:val="24"/>
          <w:lang w:val="en-US" w:eastAsia="zh-CN"/>
        </w:rPr>
        <w:t>十三、周口市政府采购合同融资政策告知函</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根据本章第1.10 款、第2.2 款和第2.3 款对招标文件所作的澄清、修改，构成招标文件的组成部分。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招标文件的澄清</w:t>
      </w:r>
    </w:p>
    <w:p>
      <w:pPr>
        <w:autoSpaceDE w:val="0"/>
        <w:autoSpaceDN w:val="0"/>
        <w:adjustRightInd w:val="0"/>
        <w:spacing w:line="440" w:lineRule="exact"/>
        <w:ind w:firstLine="480" w:firstLineChars="200"/>
        <w:jc w:val="left"/>
        <w:rPr>
          <w:rFonts w:hint="default" w:ascii="宋体" w:hAnsi="宋体" w:eastAsia="宋体" w:cs="仿宋_GB2312"/>
          <w:kern w:val="0"/>
          <w:sz w:val="24"/>
          <w:lang w:val="en-US" w:eastAsia="zh-CN"/>
        </w:rPr>
      </w:pPr>
      <w:r>
        <w:rPr>
          <w:rFonts w:hint="eastAsia" w:ascii="宋体" w:hAnsi="宋体" w:cs="仿宋_GB2312"/>
          <w:kern w:val="0"/>
          <w:sz w:val="24"/>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r>
        <w:rPr>
          <w:rFonts w:hint="eastAsia" w:ascii="宋体" w:hAnsi="宋体" w:cs="仿宋_GB2312"/>
          <w:kern w:val="0"/>
          <w:sz w:val="24"/>
          <w:highlight w:val="none"/>
          <w:lang w:val="en-US" w:eastAsia="zh-CN"/>
        </w:rPr>
        <w:t>投标人如对招标文件无异议，在投标文件中出具确认书，确定招标文件清晰无异议。</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招标文件的澄清将在投标人须知前附表规定的投标截止时间15天前以网上公告的形式发给所有下载招标文件的投标人，但不指明澄清问题的来源。投标人应当主动上网查询，如果澄清发出的时间距投标截止时间不足15天，招标人相应延长投标截止时间。</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 招标文件的修改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2.3.1 在投标截止时间15天前，招标人可以网上公告的形式修改招标文件，投标人应当主动上网查询。如果修改招标文件的时间距投标截止时间不足15 天，相应延长投标截止时间。</w:t>
      </w:r>
    </w:p>
    <w:p>
      <w:pPr>
        <w:pStyle w:val="7"/>
        <w:jc w:val="center"/>
        <w:rPr>
          <w:rFonts w:ascii="黑体" w:eastAsia="黑体"/>
          <w:sz w:val="32"/>
        </w:rPr>
      </w:pPr>
      <w:bookmarkStart w:id="47" w:name="_Toc24423"/>
      <w:bookmarkStart w:id="48" w:name="_Toc7495"/>
      <w:bookmarkStart w:id="49" w:name="_Toc430166813"/>
      <w:r>
        <w:rPr>
          <w:rFonts w:hint="eastAsia" w:ascii="黑体" w:eastAsia="黑体"/>
          <w:sz w:val="32"/>
        </w:rPr>
        <w:t>3. 投标文件</w:t>
      </w:r>
      <w:bookmarkEnd w:id="47"/>
      <w:bookmarkEnd w:id="48"/>
      <w:bookmarkEnd w:id="49"/>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投标文件的组成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 投标文件应包括下列内容：</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四、</w:t>
      </w:r>
      <w:r>
        <w:rPr>
          <w:rFonts w:hint="eastAsia" w:ascii="宋体" w:hAnsi="宋体" w:cs="仿宋_GB2312"/>
          <w:kern w:val="0"/>
          <w:sz w:val="24"/>
          <w:lang w:val="en-US" w:eastAsia="zh-CN"/>
        </w:rPr>
        <w:t>完税</w:t>
      </w:r>
      <w:r>
        <w:rPr>
          <w:rFonts w:hint="eastAsia" w:ascii="宋体" w:hAnsi="宋体" w:cs="仿宋_GB2312"/>
          <w:kern w:val="0"/>
          <w:sz w:val="24"/>
        </w:rPr>
        <w:t>凭证、社保证明</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五、网站截图</w:t>
      </w:r>
    </w:p>
    <w:p>
      <w:pPr>
        <w:autoSpaceDE w:val="0"/>
        <w:autoSpaceDN w:val="0"/>
        <w:adjustRightInd w:val="0"/>
        <w:spacing w:line="440" w:lineRule="exact"/>
        <w:ind w:firstLine="480" w:firstLineChars="200"/>
        <w:jc w:val="left"/>
        <w:rPr>
          <w:rFonts w:hint="eastAsia" w:ascii="宋体" w:hAnsi="宋体" w:cs="仿宋_GB2312"/>
          <w:kern w:val="0"/>
          <w:sz w:val="24"/>
          <w:lang w:val="en-US" w:eastAsia="zh-CN"/>
        </w:rPr>
      </w:pPr>
      <w:r>
        <w:rPr>
          <w:rFonts w:hint="eastAsia" w:ascii="宋体" w:hAnsi="宋体" w:cs="仿宋_GB2312"/>
          <w:kern w:val="0"/>
          <w:sz w:val="24"/>
        </w:rPr>
        <w:t>六、</w:t>
      </w:r>
      <w:r>
        <w:rPr>
          <w:rFonts w:hint="eastAsia" w:ascii="宋体" w:hAnsi="宋体" w:cs="仿宋_GB2312"/>
          <w:kern w:val="0"/>
          <w:sz w:val="24"/>
          <w:lang w:val="en-US" w:eastAsia="zh-CN"/>
        </w:rPr>
        <w:t>工程量清单</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七</w:t>
      </w:r>
      <w:r>
        <w:rPr>
          <w:rFonts w:hint="eastAsia" w:ascii="宋体" w:hAnsi="宋体" w:cs="仿宋_GB2312"/>
          <w:kern w:val="0"/>
          <w:sz w:val="24"/>
        </w:rPr>
        <w:t>、施工方案</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八</w:t>
      </w:r>
      <w:r>
        <w:rPr>
          <w:rFonts w:hint="eastAsia" w:ascii="宋体" w:hAnsi="宋体" w:cs="仿宋_GB2312"/>
          <w:kern w:val="0"/>
          <w:sz w:val="24"/>
        </w:rPr>
        <w:t>、项目管理机构</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九</w:t>
      </w:r>
      <w:r>
        <w:rPr>
          <w:rFonts w:hint="eastAsia" w:ascii="宋体" w:hAnsi="宋体" w:cs="仿宋_GB2312"/>
          <w:kern w:val="0"/>
          <w:sz w:val="24"/>
        </w:rPr>
        <w:t>、项目经理无在建工程承诺</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lang w:val="en-US" w:eastAsia="zh-CN"/>
        </w:rPr>
        <w:t>十</w:t>
      </w:r>
      <w:r>
        <w:rPr>
          <w:rFonts w:hint="eastAsia" w:ascii="宋体" w:hAnsi="宋体" w:cs="仿宋_GB2312"/>
          <w:kern w:val="0"/>
          <w:sz w:val="24"/>
        </w:rPr>
        <w:t>、资格审查资料</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十</w:t>
      </w:r>
      <w:r>
        <w:rPr>
          <w:rFonts w:hint="eastAsia" w:ascii="宋体" w:hAnsi="宋体" w:cs="仿宋_GB2312"/>
          <w:kern w:val="0"/>
          <w:sz w:val="24"/>
          <w:lang w:val="en-US" w:eastAsia="zh-CN"/>
        </w:rPr>
        <w:t>一</w:t>
      </w:r>
      <w:r>
        <w:rPr>
          <w:rFonts w:hint="eastAsia" w:ascii="宋体" w:hAnsi="宋体" w:cs="仿宋_GB2312"/>
          <w:kern w:val="0"/>
          <w:sz w:val="24"/>
        </w:rPr>
        <w:t>、中小企业声明函（工程、服务）</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十</w:t>
      </w:r>
      <w:r>
        <w:rPr>
          <w:rFonts w:hint="eastAsia" w:ascii="宋体" w:hAnsi="宋体" w:cs="仿宋_GB2312"/>
          <w:kern w:val="0"/>
          <w:sz w:val="24"/>
          <w:lang w:val="en-US" w:eastAsia="zh-CN"/>
        </w:rPr>
        <w:t>二</w:t>
      </w:r>
      <w:r>
        <w:rPr>
          <w:rFonts w:hint="eastAsia" w:ascii="宋体" w:hAnsi="宋体" w:cs="仿宋_GB2312"/>
          <w:kern w:val="0"/>
          <w:sz w:val="24"/>
        </w:rPr>
        <w:t>、其它投标人认为有必要加入的材料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lang w:val="en-US" w:eastAsia="zh-CN"/>
        </w:rPr>
        <w:t>十三、周口市政府采购合同融资政策告知函</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投标报价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投标人应按第八章“投标函附录”的要求填写相应表格。</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投标人在投标截止时间前修改投标函中的投标总报价的，应同时修改第八章“投标函附录”中的相应报价。此修改须符合本章第4.3 款的有关要求。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投标有效期</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在投标人须知前附表规定的投标有效期内，投标人不得要求撤销或修改其投标文件。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本项目不需要缴纳投标保证金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 资格审查资料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3.5.1 “投标人基本情况表”应附投标人营业执照副本、资质证书副本和安全生产许可证等材料的复印件。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3.5.2 “近年财务状况表”应附经会计师事务所或审计机构审计的财务会计报表，包括资产负债表、现金流量表、利润表和财务情况说明书的复印件，具体年份要求见投标人须知前附表。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3.5.3 “近年完成的类似项目情况表”应附中标通知书或合同协议书的复印件，具体年份要求见投标人须知前附表。每张表格只填写一个项目，并标明序号。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3.5.4 “正在施工和新承接的项目情况表”应附中标通知书或合同协议书复印件。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3.5.5 “近年发生的诉讼及仲裁情况”应说明相关情况，并附法院或仲裁机构作出的判决、裁决等有关法律文书复印件，具体年份要求见投标人须知前附表。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3.5.6 投标人须知前附表规定接受联合体投标的，本章第3.5.1项至第3.5.5项规定的表格和资料应包括联合体各方相关情况。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3.6 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 投标文件的编制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3.7.1 投标文件应按第八章“投标文件格式”进行编写，如有必要，可以增加附页，作为投标文件的组成部分。其中，投标函附录在满足招标文件实质性要求的基础上，可以提出比招标文件要求更有利于招标人的承诺。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3.7.2 投标文件应当对招标文件有关工期、投标有效期、质量要求、技术标准和要求、招标范围等实质性内容作出响应。</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3.7.3 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360" w:lineRule="auto"/>
        <w:ind w:firstLine="550"/>
      </w:pPr>
      <w:r>
        <w:rPr>
          <w:rFonts w:hint="eastAsia" w:ascii="宋体" w:hAnsi="宋体" w:cs="仿宋_GB2312"/>
          <w:kern w:val="0"/>
          <w:sz w:val="24"/>
        </w:rPr>
        <w:t>3.7.4</w:t>
      </w:r>
      <w:r>
        <w:rPr>
          <w:rFonts w:hint="eastAsia" w:ascii="宋体" w:hAnsi="宋体" w:cs="宋体"/>
          <w:sz w:val="24"/>
        </w:rPr>
        <w:t>电子投标</w:t>
      </w:r>
      <w:r>
        <w:rPr>
          <w:rFonts w:hint="eastAsia" w:ascii="宋体" w:hAnsi="宋体" w:cs="宋体"/>
          <w:color w:val="000000" w:themeColor="text1"/>
          <w:sz w:val="24"/>
        </w:rPr>
        <w:t>文件制作，见周口市公共资源交易中心网站下载中心版块《投标单位-电子投标文件视频制作手册》的相关规定。</w:t>
      </w:r>
    </w:p>
    <w:p>
      <w:pPr>
        <w:spacing w:line="360" w:lineRule="auto"/>
        <w:ind w:firstLine="550"/>
      </w:pPr>
    </w:p>
    <w:p>
      <w:pPr>
        <w:pStyle w:val="7"/>
        <w:jc w:val="center"/>
        <w:rPr>
          <w:rFonts w:ascii="黑体" w:eastAsia="黑体"/>
          <w:sz w:val="32"/>
        </w:rPr>
      </w:pPr>
      <w:bookmarkStart w:id="50" w:name="_Toc430166814"/>
      <w:bookmarkStart w:id="51" w:name="_Toc2861"/>
      <w:bookmarkStart w:id="52" w:name="_Toc17951"/>
      <w:r>
        <w:rPr>
          <w:rFonts w:hint="eastAsia" w:ascii="黑体" w:eastAsia="黑体"/>
          <w:sz w:val="32"/>
        </w:rPr>
        <w:t>4. 投标</w:t>
      </w:r>
      <w:bookmarkEnd w:id="50"/>
      <w:bookmarkEnd w:id="51"/>
      <w:bookmarkEnd w:id="52"/>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4.1 投标文件的密封和标记</w:t>
      </w:r>
    </w:p>
    <w:p>
      <w:pPr>
        <w:spacing w:line="360" w:lineRule="auto"/>
        <w:ind w:firstLine="550"/>
        <w:rPr>
          <w:rFonts w:ascii="宋体" w:hAnsi="宋体" w:cs="仿宋_GB2312"/>
          <w:kern w:val="0"/>
          <w:sz w:val="24"/>
        </w:rPr>
      </w:pPr>
      <w:r>
        <w:rPr>
          <w:rFonts w:hint="eastAsia" w:ascii="宋体" w:hAnsi="宋体" w:cs="仿宋_GB2312"/>
          <w:kern w:val="0"/>
          <w:sz w:val="24"/>
        </w:rPr>
        <w:t>网上提交加密的电子投</w:t>
      </w:r>
      <w:r>
        <w:rPr>
          <w:rFonts w:hint="eastAsia" w:ascii="宋体" w:hAnsi="宋体" w:cs="仿宋_GB2312"/>
          <w:color w:val="000000" w:themeColor="text1"/>
          <w:kern w:val="0"/>
          <w:sz w:val="24"/>
        </w:rPr>
        <w:t>标文件。</w:t>
      </w:r>
      <w:r>
        <w:rPr>
          <w:rFonts w:hint="eastAsia" w:ascii="宋体" w:hAnsi="宋体" w:cs="宋体"/>
          <w:color w:val="000000" w:themeColor="text1"/>
          <w:sz w:val="24"/>
        </w:rPr>
        <w:t>加密的电子投标文件的递交流程，见周口市公共资源交易中心网站下载中心版块《投标单位-电子投标文件视频制作手册》。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 投标文件的递交</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4.2.1 投标人应在本章第2.2.2 项规定的投标截止时间前递交投标文件。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4.2.2 投标人递交投标文件的地点：见投标人须知前附表。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4.2.3 除投标人须知前附表另有规定外，投标人所递交的投标文件不予退还。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4.2.4 逾期送达的或者未送达指定地点的投标文件，招标人不予受理。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 投标文件的修改与撤回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4.3.1 在本章第2.2.2 项规定的投标截止时间前，投标人可以修改或撤回已递交的投标文件，须在投标截止时间前再次成功上传修改后的加密的电子投标文件。</w:t>
      </w:r>
    </w:p>
    <w:p>
      <w:pPr>
        <w:pStyle w:val="7"/>
        <w:jc w:val="center"/>
        <w:rPr>
          <w:rFonts w:ascii="黑体" w:eastAsia="黑体"/>
          <w:sz w:val="32"/>
        </w:rPr>
      </w:pPr>
      <w:bookmarkStart w:id="53" w:name="_Toc430166815"/>
      <w:bookmarkStart w:id="54" w:name="_Toc2428"/>
      <w:bookmarkStart w:id="55" w:name="_Toc24894"/>
      <w:r>
        <w:rPr>
          <w:rFonts w:hint="eastAsia" w:ascii="黑体" w:eastAsia="黑体"/>
          <w:sz w:val="32"/>
        </w:rPr>
        <w:t>5. 开标</w:t>
      </w:r>
      <w:bookmarkEnd w:id="53"/>
      <w:bookmarkEnd w:id="54"/>
      <w:bookmarkEnd w:id="55"/>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5.1 开标时间和地点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招标人在本章第2.2.2 项规定的投标截止时间（开标时间）和投标人须知前附表规定的地点公开开标。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5.2 开标程序</w:t>
      </w:r>
    </w:p>
    <w:p>
      <w:pPr>
        <w:autoSpaceDE w:val="0"/>
        <w:autoSpaceDN w:val="0"/>
        <w:adjustRightInd w:val="0"/>
        <w:spacing w:line="440" w:lineRule="exact"/>
        <w:ind w:firstLine="480" w:firstLineChars="200"/>
        <w:jc w:val="left"/>
        <w:rPr>
          <w:rFonts w:ascii="宋体" w:hAnsi="宋体" w:cs="仿宋_GB2312"/>
          <w:kern w:val="0"/>
          <w:sz w:val="24"/>
        </w:rPr>
      </w:pPr>
      <w:bookmarkStart w:id="56" w:name="_Toc430166816"/>
      <w:r>
        <w:rPr>
          <w:rFonts w:hint="eastAsia" w:ascii="宋体" w:hAnsi="宋体" w:cs="仿宋_GB2312"/>
          <w:kern w:val="0"/>
          <w:sz w:val="24"/>
        </w:rPr>
        <w:t>5.2.1开标会议由招标人或招标代理机构主持，代理机构当众解密投标文件（</w:t>
      </w:r>
      <w:r>
        <w:rPr>
          <w:rFonts w:hint="eastAsia" w:ascii="宋体" w:hAnsi="宋体" w:cs="宋体"/>
          <w:sz w:val="24"/>
        </w:rPr>
        <w:t>在解密投标文件开始时30分钟内进行解密，超时视为放弃递交投标文件</w:t>
      </w:r>
      <w:r>
        <w:rPr>
          <w:rFonts w:hint="eastAsia" w:ascii="宋体" w:hAnsi="宋体" w:cs="仿宋_GB2312"/>
          <w:kern w:val="0"/>
          <w:sz w:val="24"/>
        </w:rPr>
        <w:t>），解密完成后各投标人的电子投标文件的实质性内容将自动显示在网页中。</w:t>
      </w:r>
    </w:p>
    <w:p>
      <w:pPr>
        <w:pStyle w:val="7"/>
        <w:jc w:val="center"/>
        <w:rPr>
          <w:rFonts w:ascii="黑体" w:eastAsia="黑体"/>
          <w:sz w:val="32"/>
        </w:rPr>
      </w:pPr>
      <w:bookmarkStart w:id="57" w:name="_Toc23497"/>
      <w:bookmarkStart w:id="58" w:name="_Toc14062"/>
      <w:r>
        <w:rPr>
          <w:rFonts w:hint="eastAsia" w:ascii="黑体" w:eastAsia="黑体"/>
          <w:sz w:val="32"/>
        </w:rPr>
        <w:t>6. 评标</w:t>
      </w:r>
      <w:bookmarkEnd w:id="56"/>
      <w:bookmarkEnd w:id="57"/>
      <w:bookmarkEnd w:id="58"/>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 评标委员会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6.1.1 评标由招标人依法组建的评标委员会负责。评标委员会成员人数以及技术、经济等方面专家的确定方式见投标人须知前附表。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6.1.2 评标委员会成员有下列情形之一的，应当回避：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（1）招标人或投标人的主要负责人的近亲属；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（2）项目主管部门或者行政监督部门的人员；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（3）与投标人有经济利益关系，可能影响对投标公正评审的；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（4）曾因在招标、评标以及其他与招标投标有关活动中从事违法行为而受过行政处罚或刑事处罚的。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6.2 评标原则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评标活动遵循公平、公正、科学和择优的原则。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6.3 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评标委员会按照第三章“评标办法”规定的方法、评审因素、标准和程序对投标文件进行评审。第三章“评标办法”没有规定的方法、评审因素和标准，不作为评标依据。</w:t>
      </w:r>
    </w:p>
    <w:p>
      <w:pPr>
        <w:pStyle w:val="7"/>
        <w:jc w:val="center"/>
        <w:rPr>
          <w:rFonts w:ascii="黑体" w:eastAsia="黑体"/>
          <w:sz w:val="32"/>
        </w:rPr>
      </w:pPr>
      <w:bookmarkStart w:id="59" w:name="_Toc18596"/>
      <w:bookmarkStart w:id="60" w:name="_Toc18148"/>
      <w:bookmarkStart w:id="61" w:name="_Toc430166817"/>
      <w:r>
        <w:rPr>
          <w:rFonts w:hint="eastAsia" w:ascii="黑体" w:eastAsia="黑体"/>
          <w:sz w:val="32"/>
        </w:rPr>
        <w:t>7. 合同授予</w:t>
      </w:r>
      <w:bookmarkEnd w:id="59"/>
      <w:bookmarkEnd w:id="60"/>
      <w:bookmarkEnd w:id="61"/>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7.1 定标方式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除投标人须知前附表规定评标委员会直接确定中标人外，招标人依据评标委员会推荐的中标候选人确定中标人。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7.2 中标通知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宋体"/>
          <w:sz w:val="24"/>
        </w:rPr>
        <w:t>在发出中标公告后请采购人、中标人登录周口市公共资源交易中心网（http://jyzx.zhoukou.gov.cn）自行下载中标通知书</w:t>
      </w:r>
      <w:r>
        <w:rPr>
          <w:rFonts w:hint="eastAsia" w:ascii="宋体" w:hAnsi="宋体" w:cs="仿宋_GB2312"/>
          <w:kern w:val="0"/>
          <w:sz w:val="24"/>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7.3 履约担保</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无</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 签订合同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7.4.1 中标人应当</w:t>
      </w:r>
      <w:r>
        <w:rPr>
          <w:rFonts w:hint="eastAsia" w:ascii="宋体" w:hAnsi="宋体" w:cs="仿宋_GB2312"/>
          <w:kern w:val="0"/>
          <w:sz w:val="24"/>
          <w:lang w:val="en-US" w:eastAsia="zh-CN"/>
        </w:rPr>
        <w:t>在中标公告</w:t>
      </w:r>
      <w:r>
        <w:rPr>
          <w:rFonts w:hint="eastAsia" w:ascii="宋体" w:hAnsi="宋体" w:cs="仿宋_GB2312"/>
          <w:kern w:val="0"/>
          <w:sz w:val="24"/>
        </w:rPr>
        <w:t>发</w:t>
      </w:r>
      <w:r>
        <w:rPr>
          <w:rFonts w:hint="eastAsia" w:ascii="宋体" w:hAnsi="宋体" w:cs="仿宋_GB2312"/>
          <w:kern w:val="0"/>
          <w:sz w:val="24"/>
          <w:highlight w:val="none"/>
          <w:lang w:val="en-US" w:eastAsia="zh-CN"/>
        </w:rPr>
        <w:t>布2个工作日</w:t>
      </w:r>
      <w:r>
        <w:rPr>
          <w:rFonts w:hint="eastAsia" w:ascii="宋体" w:hAnsi="宋体" w:cs="仿宋_GB2312"/>
          <w:kern w:val="0"/>
          <w:sz w:val="24"/>
          <w:highlight w:val="none"/>
        </w:rPr>
        <w:t>内</w:t>
      </w:r>
      <w:r>
        <w:rPr>
          <w:rFonts w:hint="eastAsia" w:ascii="宋体" w:hAnsi="宋体" w:cs="仿宋_GB2312"/>
          <w:kern w:val="0"/>
          <w:sz w:val="24"/>
          <w:highlight w:val="none"/>
          <w:lang w:val="en-US" w:eastAsia="zh-CN"/>
        </w:rPr>
        <w:t>领取中标通知书</w:t>
      </w:r>
      <w:r>
        <w:rPr>
          <w:rFonts w:hint="eastAsia" w:ascii="宋体" w:hAnsi="宋体" w:cs="仿宋_GB2312"/>
          <w:kern w:val="0"/>
          <w:sz w:val="24"/>
          <w:highlight w:val="none"/>
        </w:rPr>
        <w:t>，根据招标文件和中标人的投标文件订立书面合同</w:t>
      </w:r>
      <w:r>
        <w:rPr>
          <w:rFonts w:hint="eastAsia" w:ascii="宋体" w:hAnsi="宋体" w:cs="仿宋_GB2312"/>
          <w:kern w:val="0"/>
          <w:sz w:val="24"/>
          <w:highlight w:val="none"/>
          <w:lang w:eastAsia="zh-CN"/>
        </w:rPr>
        <w:t>，</w:t>
      </w:r>
      <w:r>
        <w:rPr>
          <w:rFonts w:hint="eastAsia" w:ascii="宋体" w:hAnsi="宋体" w:cs="仿宋_GB2312"/>
          <w:kern w:val="0"/>
          <w:sz w:val="24"/>
          <w:highlight w:val="none"/>
          <w:lang w:val="en-US" w:eastAsia="zh-CN"/>
        </w:rPr>
        <w:t>并在投标文件中对规定的工期作出</w:t>
      </w:r>
      <w:r>
        <w:rPr>
          <w:rFonts w:hint="eastAsia" w:ascii="宋体" w:hAnsi="宋体" w:cs="仿宋_GB2312"/>
          <w:kern w:val="0"/>
          <w:sz w:val="24"/>
          <w:lang w:val="en-US" w:eastAsia="zh-CN"/>
        </w:rPr>
        <w:t>书面声明</w:t>
      </w:r>
      <w:r>
        <w:rPr>
          <w:rFonts w:hint="eastAsia" w:ascii="宋体" w:hAnsi="宋体" w:cs="仿宋_GB2312"/>
          <w:kern w:val="0"/>
          <w:sz w:val="24"/>
        </w:rPr>
        <w:t>。中标人无正当理由拒签合同的，招标人取消其中标资格，其投标保证金不予退还；给招标人造成的损失超过投标保证金数额的，中标人还应当对超过部分予以赔偿。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7.4.2 发出中标通知书后，招标人无正当理由拒签合同的，招标人向中标人退还投标保证金；给中标人造成损失的，应当赔偿损失。</w:t>
      </w:r>
    </w:p>
    <w:p>
      <w:pPr>
        <w:pStyle w:val="7"/>
        <w:jc w:val="center"/>
        <w:rPr>
          <w:rFonts w:ascii="黑体" w:eastAsia="黑体"/>
          <w:sz w:val="32"/>
        </w:rPr>
      </w:pPr>
      <w:bookmarkStart w:id="62" w:name="_Toc31224"/>
      <w:bookmarkStart w:id="63" w:name="_Toc19427"/>
      <w:r>
        <w:rPr>
          <w:rFonts w:hint="eastAsia" w:ascii="黑体" w:eastAsia="黑体"/>
          <w:sz w:val="32"/>
        </w:rPr>
        <w:t>8. 重新招标和不再招标</w:t>
      </w:r>
      <w:bookmarkEnd w:id="62"/>
      <w:bookmarkEnd w:id="6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8.1 重新招标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有下列情形之一的，招标人将重新招标：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（1）投标截止时间止，投标人少于3个的；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（2）经评标委员会评审后否决所有投标的。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8.2 不再招标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重新招标后投标人仍少于3 个或者所有投标被否决的，属于必须审批或核准的工程建设项目，经原审批或核准部门批准后不再进行招标。</w:t>
      </w:r>
    </w:p>
    <w:p>
      <w:pPr>
        <w:pStyle w:val="7"/>
        <w:jc w:val="center"/>
        <w:rPr>
          <w:rFonts w:ascii="黑体" w:eastAsia="黑体"/>
          <w:sz w:val="32"/>
        </w:rPr>
      </w:pPr>
      <w:bookmarkStart w:id="64" w:name="_Toc29761"/>
      <w:bookmarkStart w:id="65" w:name="_Toc430166818"/>
      <w:bookmarkStart w:id="66" w:name="_Toc1776"/>
      <w:r>
        <w:rPr>
          <w:rFonts w:hint="eastAsia" w:ascii="黑体" w:eastAsia="黑体"/>
          <w:sz w:val="32"/>
        </w:rPr>
        <w:t>9. 纪律和监督</w:t>
      </w:r>
      <w:bookmarkEnd w:id="64"/>
      <w:bookmarkEnd w:id="65"/>
      <w:bookmarkEnd w:id="6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9.1 对招标人的纪律要求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招标人不得泄漏招标投标活动中应当保密的情况和资料，不得与投标人串通损害国家利益、社会公共利益或者他人合法权益。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9.2 对投标人的纪律要求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投标人不得相互串通投标或者与招标人串通投标，不得向招标人或者评标委员会成员行贿</w:t>
      </w:r>
      <w:r>
        <w:rPr>
          <w:rFonts w:hint="eastAsia" w:ascii="宋体" w:hAnsi="宋体" w:cs="仿宋_GB2312"/>
          <w:kern w:val="0"/>
          <w:sz w:val="24"/>
          <w:highlight w:val="none"/>
        </w:rPr>
        <w:t>谋取中标，不得以他人名义投标或者以其他方式弄虚作假骗取中标；投标人不得以任何方式干扰、影响评标工作</w:t>
      </w:r>
      <w:r>
        <w:rPr>
          <w:rFonts w:hint="eastAsia" w:ascii="宋体" w:hAnsi="宋体" w:cs="仿宋_GB2312"/>
          <w:kern w:val="0"/>
          <w:sz w:val="24"/>
          <w:highlight w:val="none"/>
          <w:lang w:eastAsia="zh-CN"/>
        </w:rPr>
        <w:t>，</w:t>
      </w:r>
      <w:r>
        <w:rPr>
          <w:rFonts w:hint="eastAsia" w:ascii="宋体" w:hAnsi="宋体" w:cs="仿宋_GB2312"/>
          <w:kern w:val="0"/>
          <w:sz w:val="24"/>
          <w:highlight w:val="none"/>
          <w:lang w:val="en-US" w:eastAsia="zh-CN"/>
        </w:rPr>
        <w:t>针对此项在投标文件中附承诺函，否则视为不响应招标文件要求</w:t>
      </w:r>
      <w:r>
        <w:rPr>
          <w:rFonts w:hint="eastAsia" w:ascii="宋体" w:hAnsi="宋体" w:cs="仿宋_GB2312"/>
          <w:kern w:val="0"/>
          <w:sz w:val="24"/>
          <w:highlight w:val="none"/>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9.3 对评标委员会成员的纪律要求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9.4 对与评标活动有关的工作人员的纪律要求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9.5 投诉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投标人和其他利害关系人认为本次招标活动违反法律、法规和规章规定的，有权向有关行政监督部门投诉。</w:t>
      </w:r>
    </w:p>
    <w:p>
      <w:pPr>
        <w:pStyle w:val="7"/>
        <w:jc w:val="center"/>
        <w:rPr>
          <w:rFonts w:ascii="黑体" w:eastAsia="黑体"/>
          <w:sz w:val="32"/>
        </w:rPr>
      </w:pPr>
      <w:bookmarkStart w:id="67" w:name="_Toc14541"/>
      <w:bookmarkStart w:id="68" w:name="_Toc430166819"/>
      <w:bookmarkStart w:id="69" w:name="_Toc32160"/>
      <w:r>
        <w:rPr>
          <w:rFonts w:hint="eastAsia" w:ascii="黑体" w:eastAsia="黑体"/>
          <w:sz w:val="32"/>
        </w:rPr>
        <w:t>10. 需要补充的其他内容</w:t>
      </w:r>
      <w:bookmarkEnd w:id="67"/>
      <w:bookmarkEnd w:id="68"/>
      <w:bookmarkEnd w:id="69"/>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ind w:firstLine="560" w:firstLineChars="200"/>
        <w:jc w:val="left"/>
        <w:rPr>
          <w:rFonts w:ascii="宋体" w:hAnsi="宋体" w:cs="仿宋_GB2312"/>
          <w:kern w:val="0"/>
          <w:sz w:val="28"/>
          <w:szCs w:val="28"/>
        </w:rPr>
      </w:pPr>
    </w:p>
    <w:p>
      <w:pPr>
        <w:rPr>
          <w:rFonts w:hint="eastAsia" w:ascii="宋体" w:hAnsi="宋体"/>
          <w:bCs w:val="0"/>
          <w:sz w:val="36"/>
          <w:szCs w:val="36"/>
        </w:rPr>
      </w:pPr>
      <w:bookmarkStart w:id="70" w:name="_Toc32630"/>
      <w:r>
        <w:rPr>
          <w:rFonts w:hint="eastAsia" w:ascii="宋体" w:hAnsi="宋体"/>
          <w:bCs w:val="0"/>
          <w:sz w:val="36"/>
          <w:szCs w:val="36"/>
        </w:rPr>
        <w:br w:type="page"/>
      </w:r>
    </w:p>
    <w:p>
      <w:pPr>
        <w:pStyle w:val="6"/>
        <w:spacing w:before="0" w:after="0" w:line="360" w:lineRule="auto"/>
        <w:jc w:val="center"/>
        <w:rPr>
          <w:rFonts w:ascii="宋体" w:hAnsi="宋体"/>
          <w:bCs w:val="0"/>
          <w:sz w:val="36"/>
          <w:szCs w:val="36"/>
        </w:rPr>
      </w:pPr>
      <w:r>
        <w:rPr>
          <w:rFonts w:hint="eastAsia" w:ascii="宋体" w:hAnsi="宋体"/>
          <w:bCs w:val="0"/>
          <w:sz w:val="36"/>
          <w:szCs w:val="36"/>
        </w:rPr>
        <w:t>第三章 评标办法（综合评估法）</w:t>
      </w:r>
      <w:bookmarkEnd w:id="70"/>
    </w:p>
    <w:p/>
    <w:tbl>
      <w:tblPr>
        <w:tblStyle w:val="48"/>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41"/>
        <w:gridCol w:w="1"/>
        <w:gridCol w:w="1941"/>
        <w:gridCol w:w="6475"/>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95" w:hRule="exact"/>
          <w:jc w:val="center"/>
        </w:trPr>
        <w:tc>
          <w:tcPr>
            <w:tcW w:w="1291" w:type="dxa"/>
            <w:gridSpan w:val="2"/>
            <w:vAlign w:val="center"/>
          </w:tcPr>
          <w:p>
            <w:pPr>
              <w:pStyle w:val="16"/>
              <w:spacing w:line="400" w:lineRule="exact"/>
              <w:jc w:val="center"/>
              <w:rPr>
                <w:rFonts w:hAnsi="宋体"/>
                <w:b/>
                <w:color w:val="auto"/>
                <w:sz w:val="21"/>
                <w:szCs w:val="21"/>
              </w:rPr>
            </w:pPr>
            <w:r>
              <w:rPr>
                <w:rFonts w:hint="eastAsia" w:hAnsi="宋体"/>
                <w:b/>
                <w:color w:val="auto"/>
                <w:sz w:val="21"/>
                <w:szCs w:val="21"/>
              </w:rPr>
              <w:t>条款号</w:t>
            </w:r>
          </w:p>
        </w:tc>
        <w:tc>
          <w:tcPr>
            <w:tcW w:w="1942" w:type="dxa"/>
            <w:gridSpan w:val="2"/>
            <w:vAlign w:val="center"/>
          </w:tcPr>
          <w:p>
            <w:pPr>
              <w:pStyle w:val="16"/>
              <w:spacing w:line="400" w:lineRule="exact"/>
              <w:jc w:val="center"/>
              <w:rPr>
                <w:rFonts w:hAnsi="宋体"/>
                <w:b/>
                <w:color w:val="auto"/>
                <w:sz w:val="21"/>
                <w:szCs w:val="21"/>
              </w:rPr>
            </w:pPr>
            <w:r>
              <w:rPr>
                <w:rFonts w:hint="eastAsia" w:hAnsi="宋体"/>
                <w:b/>
                <w:color w:val="auto"/>
                <w:sz w:val="21"/>
                <w:szCs w:val="21"/>
              </w:rPr>
              <w:t>评审因素</w:t>
            </w:r>
          </w:p>
        </w:tc>
        <w:tc>
          <w:tcPr>
            <w:tcW w:w="6475" w:type="dxa"/>
            <w:vAlign w:val="center"/>
          </w:tcPr>
          <w:p>
            <w:pPr>
              <w:pStyle w:val="16"/>
              <w:spacing w:line="400" w:lineRule="exact"/>
              <w:jc w:val="center"/>
              <w:rPr>
                <w:rFonts w:hAnsi="宋体"/>
                <w:b/>
                <w:color w:val="auto"/>
                <w:sz w:val="21"/>
                <w:szCs w:val="21"/>
              </w:rPr>
            </w:pPr>
            <w:r>
              <w:rPr>
                <w:rFonts w:hint="eastAsia" w:hAnsi="宋体"/>
                <w:b/>
                <w:color w:val="auto"/>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jc w:val="center"/>
        </w:trPr>
        <w:tc>
          <w:tcPr>
            <w:tcW w:w="750" w:type="dxa"/>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2.1.1</w:t>
            </w:r>
          </w:p>
        </w:tc>
        <w:tc>
          <w:tcPr>
            <w:tcW w:w="542" w:type="dxa"/>
            <w:gridSpan w:val="2"/>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形</w:t>
            </w:r>
          </w:p>
          <w:p>
            <w:pPr>
              <w:pStyle w:val="16"/>
              <w:spacing w:line="400" w:lineRule="exact"/>
              <w:jc w:val="center"/>
              <w:rPr>
                <w:rFonts w:hAnsi="宋体"/>
                <w:color w:val="auto"/>
                <w:sz w:val="21"/>
                <w:szCs w:val="21"/>
              </w:rPr>
            </w:pPr>
            <w:r>
              <w:rPr>
                <w:rFonts w:hint="eastAsia" w:hAnsi="宋体"/>
                <w:color w:val="auto"/>
                <w:sz w:val="21"/>
                <w:szCs w:val="21"/>
              </w:rPr>
              <w:t>式</w:t>
            </w:r>
          </w:p>
          <w:p>
            <w:pPr>
              <w:pStyle w:val="16"/>
              <w:spacing w:line="400" w:lineRule="exact"/>
              <w:jc w:val="center"/>
              <w:rPr>
                <w:rFonts w:hAnsi="宋体"/>
                <w:color w:val="auto"/>
                <w:sz w:val="21"/>
                <w:szCs w:val="21"/>
              </w:rPr>
            </w:pPr>
            <w:r>
              <w:rPr>
                <w:rFonts w:hint="eastAsia" w:hAnsi="宋体"/>
                <w:color w:val="auto"/>
                <w:sz w:val="21"/>
                <w:szCs w:val="21"/>
              </w:rPr>
              <w:t>评</w:t>
            </w:r>
          </w:p>
          <w:p>
            <w:pPr>
              <w:pStyle w:val="16"/>
              <w:spacing w:line="400" w:lineRule="exact"/>
              <w:jc w:val="center"/>
              <w:rPr>
                <w:rFonts w:hAnsi="宋体"/>
                <w:color w:val="auto"/>
                <w:sz w:val="21"/>
                <w:szCs w:val="21"/>
              </w:rPr>
            </w:pPr>
            <w:r>
              <w:rPr>
                <w:rFonts w:hint="eastAsia" w:hAnsi="宋体"/>
                <w:color w:val="auto"/>
                <w:sz w:val="21"/>
                <w:szCs w:val="21"/>
              </w:rPr>
              <w:t>审</w:t>
            </w:r>
          </w:p>
          <w:p>
            <w:pPr>
              <w:pStyle w:val="16"/>
              <w:spacing w:line="400" w:lineRule="exact"/>
              <w:jc w:val="center"/>
              <w:rPr>
                <w:rFonts w:hAnsi="宋体"/>
                <w:color w:val="auto"/>
                <w:sz w:val="21"/>
                <w:szCs w:val="21"/>
              </w:rPr>
            </w:pPr>
            <w:r>
              <w:rPr>
                <w:rFonts w:hint="eastAsia" w:hAnsi="宋体"/>
                <w:color w:val="auto"/>
                <w:sz w:val="21"/>
                <w:szCs w:val="21"/>
              </w:rPr>
              <w:t>标</w:t>
            </w:r>
          </w:p>
          <w:p>
            <w:pPr>
              <w:pStyle w:val="16"/>
              <w:spacing w:line="400" w:lineRule="exact"/>
              <w:jc w:val="center"/>
              <w:rPr>
                <w:rFonts w:hAnsi="宋体"/>
                <w:color w:val="auto"/>
                <w:sz w:val="21"/>
                <w:szCs w:val="21"/>
              </w:rPr>
            </w:pPr>
            <w:r>
              <w:rPr>
                <w:rFonts w:hint="eastAsia" w:hAnsi="宋体"/>
                <w:color w:val="auto"/>
                <w:sz w:val="21"/>
                <w:szCs w:val="21"/>
              </w:rPr>
              <w:t>准</w:t>
            </w: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投标人名称</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投标函及投标函附录</w:t>
            </w:r>
          </w:p>
          <w:p>
            <w:pPr>
              <w:pStyle w:val="16"/>
              <w:spacing w:line="400" w:lineRule="exact"/>
              <w:jc w:val="center"/>
              <w:rPr>
                <w:rFonts w:hAnsi="宋体"/>
                <w:color w:val="auto"/>
                <w:sz w:val="21"/>
                <w:szCs w:val="21"/>
              </w:rPr>
            </w:pPr>
            <w:r>
              <w:rPr>
                <w:rFonts w:hint="eastAsia" w:hAnsi="宋体"/>
                <w:color w:val="auto"/>
                <w:sz w:val="21"/>
                <w:szCs w:val="21"/>
              </w:rPr>
              <w:t>签字盖章</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投标文件格式</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符合第八章“投标文件格式”中的要求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报价唯一</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只能有一个有效报价且不超过招标控制价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2.1.2</w:t>
            </w:r>
          </w:p>
        </w:tc>
        <w:tc>
          <w:tcPr>
            <w:tcW w:w="542" w:type="dxa"/>
            <w:gridSpan w:val="2"/>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资</w:t>
            </w:r>
          </w:p>
          <w:p>
            <w:pPr>
              <w:pStyle w:val="16"/>
              <w:spacing w:line="400" w:lineRule="exact"/>
              <w:jc w:val="center"/>
              <w:rPr>
                <w:rFonts w:hAnsi="宋体"/>
                <w:color w:val="auto"/>
                <w:sz w:val="21"/>
                <w:szCs w:val="21"/>
              </w:rPr>
            </w:pPr>
            <w:r>
              <w:rPr>
                <w:rFonts w:hint="eastAsia" w:hAnsi="宋体"/>
                <w:color w:val="auto"/>
                <w:sz w:val="21"/>
                <w:szCs w:val="21"/>
              </w:rPr>
              <w:t>格</w:t>
            </w:r>
          </w:p>
          <w:p>
            <w:pPr>
              <w:pStyle w:val="16"/>
              <w:spacing w:line="400" w:lineRule="exact"/>
              <w:jc w:val="center"/>
              <w:rPr>
                <w:rFonts w:hAnsi="宋体"/>
                <w:color w:val="auto"/>
                <w:sz w:val="21"/>
                <w:szCs w:val="21"/>
              </w:rPr>
            </w:pPr>
            <w:r>
              <w:rPr>
                <w:rFonts w:hint="eastAsia" w:hAnsi="宋体"/>
                <w:color w:val="auto"/>
                <w:sz w:val="21"/>
                <w:szCs w:val="21"/>
              </w:rPr>
              <w:t>评</w:t>
            </w:r>
          </w:p>
          <w:p>
            <w:pPr>
              <w:pStyle w:val="16"/>
              <w:spacing w:line="400" w:lineRule="exact"/>
              <w:jc w:val="center"/>
              <w:rPr>
                <w:rFonts w:hAnsi="宋体"/>
                <w:color w:val="auto"/>
                <w:sz w:val="21"/>
                <w:szCs w:val="21"/>
              </w:rPr>
            </w:pPr>
            <w:r>
              <w:rPr>
                <w:rFonts w:hint="eastAsia" w:hAnsi="宋体"/>
                <w:color w:val="auto"/>
                <w:sz w:val="21"/>
                <w:szCs w:val="21"/>
              </w:rPr>
              <w:t>审</w:t>
            </w:r>
          </w:p>
          <w:p>
            <w:pPr>
              <w:pStyle w:val="16"/>
              <w:spacing w:line="400" w:lineRule="exact"/>
              <w:jc w:val="center"/>
              <w:rPr>
                <w:rFonts w:hAnsi="宋体"/>
                <w:color w:val="auto"/>
                <w:sz w:val="21"/>
                <w:szCs w:val="21"/>
              </w:rPr>
            </w:pPr>
            <w:r>
              <w:rPr>
                <w:rFonts w:hint="eastAsia" w:hAnsi="宋体"/>
                <w:color w:val="auto"/>
                <w:sz w:val="21"/>
                <w:szCs w:val="21"/>
              </w:rPr>
              <w:t>标</w:t>
            </w:r>
          </w:p>
          <w:p>
            <w:pPr>
              <w:pStyle w:val="16"/>
              <w:spacing w:line="400" w:lineRule="exact"/>
              <w:jc w:val="center"/>
              <w:rPr>
                <w:rFonts w:hAnsi="宋体"/>
                <w:color w:val="auto"/>
                <w:sz w:val="21"/>
                <w:szCs w:val="21"/>
              </w:rPr>
            </w:pPr>
            <w:r>
              <w:rPr>
                <w:rFonts w:hint="eastAsia" w:hAnsi="宋体"/>
                <w:color w:val="auto"/>
                <w:sz w:val="21"/>
                <w:szCs w:val="21"/>
              </w:rPr>
              <w:t>准</w:t>
            </w: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营业执照</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资格要求</w:t>
            </w:r>
          </w:p>
        </w:tc>
        <w:tc>
          <w:tcPr>
            <w:tcW w:w="6476"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项目经理资格</w:t>
            </w:r>
          </w:p>
        </w:tc>
        <w:tc>
          <w:tcPr>
            <w:tcW w:w="6476"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信誉要求</w:t>
            </w:r>
          </w:p>
        </w:tc>
        <w:tc>
          <w:tcPr>
            <w:tcW w:w="6476"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2.1.3</w:t>
            </w:r>
          </w:p>
        </w:tc>
        <w:tc>
          <w:tcPr>
            <w:tcW w:w="542" w:type="dxa"/>
            <w:gridSpan w:val="2"/>
            <w:vMerge w:val="restart"/>
            <w:vAlign w:val="center"/>
          </w:tcPr>
          <w:p>
            <w:pPr>
              <w:pStyle w:val="16"/>
              <w:spacing w:line="400" w:lineRule="exact"/>
              <w:jc w:val="center"/>
              <w:rPr>
                <w:rFonts w:hAnsi="宋体"/>
                <w:color w:val="auto"/>
                <w:sz w:val="21"/>
                <w:szCs w:val="21"/>
              </w:rPr>
            </w:pPr>
            <w:r>
              <w:rPr>
                <w:rFonts w:hint="eastAsia" w:hAnsi="宋体"/>
                <w:color w:val="auto"/>
                <w:sz w:val="21"/>
                <w:szCs w:val="21"/>
              </w:rPr>
              <w:t>响</w:t>
            </w:r>
          </w:p>
          <w:p>
            <w:pPr>
              <w:pStyle w:val="16"/>
              <w:spacing w:line="400" w:lineRule="exact"/>
              <w:jc w:val="center"/>
              <w:rPr>
                <w:rFonts w:hAnsi="宋体"/>
                <w:color w:val="auto"/>
                <w:sz w:val="21"/>
                <w:szCs w:val="21"/>
              </w:rPr>
            </w:pPr>
            <w:r>
              <w:rPr>
                <w:rFonts w:hint="eastAsia" w:hAnsi="宋体"/>
                <w:color w:val="auto"/>
                <w:sz w:val="21"/>
                <w:szCs w:val="21"/>
              </w:rPr>
              <w:t>应</w:t>
            </w:r>
          </w:p>
          <w:p>
            <w:pPr>
              <w:pStyle w:val="16"/>
              <w:spacing w:line="400" w:lineRule="exact"/>
              <w:jc w:val="center"/>
              <w:rPr>
                <w:rFonts w:hAnsi="宋体"/>
                <w:color w:val="auto"/>
                <w:sz w:val="21"/>
                <w:szCs w:val="21"/>
              </w:rPr>
            </w:pPr>
            <w:r>
              <w:rPr>
                <w:rFonts w:hint="eastAsia" w:hAnsi="宋体"/>
                <w:color w:val="auto"/>
                <w:sz w:val="21"/>
                <w:szCs w:val="21"/>
              </w:rPr>
              <w:t>性</w:t>
            </w:r>
          </w:p>
          <w:p>
            <w:pPr>
              <w:pStyle w:val="16"/>
              <w:spacing w:line="400" w:lineRule="exact"/>
              <w:jc w:val="center"/>
              <w:rPr>
                <w:rFonts w:hAnsi="宋体"/>
                <w:color w:val="auto"/>
                <w:sz w:val="21"/>
                <w:szCs w:val="21"/>
              </w:rPr>
            </w:pPr>
            <w:r>
              <w:rPr>
                <w:rFonts w:hint="eastAsia" w:hAnsi="宋体"/>
                <w:color w:val="auto"/>
                <w:sz w:val="21"/>
                <w:szCs w:val="21"/>
              </w:rPr>
              <w:t>评</w:t>
            </w:r>
          </w:p>
          <w:p>
            <w:pPr>
              <w:pStyle w:val="16"/>
              <w:spacing w:line="400" w:lineRule="exact"/>
              <w:jc w:val="center"/>
              <w:rPr>
                <w:rFonts w:hAnsi="宋体"/>
                <w:color w:val="auto"/>
                <w:sz w:val="21"/>
                <w:szCs w:val="21"/>
              </w:rPr>
            </w:pPr>
            <w:r>
              <w:rPr>
                <w:rFonts w:hint="eastAsia" w:hAnsi="宋体"/>
                <w:color w:val="auto"/>
                <w:sz w:val="21"/>
                <w:szCs w:val="21"/>
              </w:rPr>
              <w:t>审</w:t>
            </w:r>
          </w:p>
          <w:p>
            <w:pPr>
              <w:pStyle w:val="16"/>
              <w:spacing w:line="400" w:lineRule="exact"/>
              <w:jc w:val="center"/>
              <w:rPr>
                <w:rFonts w:hAnsi="宋体"/>
                <w:color w:val="auto"/>
                <w:sz w:val="21"/>
                <w:szCs w:val="21"/>
              </w:rPr>
            </w:pPr>
            <w:r>
              <w:rPr>
                <w:rFonts w:hint="eastAsia" w:hAnsi="宋体"/>
                <w:color w:val="auto"/>
                <w:sz w:val="21"/>
                <w:szCs w:val="21"/>
              </w:rPr>
              <w:t>标</w:t>
            </w:r>
          </w:p>
          <w:p>
            <w:pPr>
              <w:pStyle w:val="16"/>
              <w:spacing w:line="400" w:lineRule="exact"/>
              <w:jc w:val="center"/>
              <w:rPr>
                <w:rFonts w:hAnsi="宋体"/>
                <w:color w:val="auto"/>
                <w:sz w:val="21"/>
                <w:szCs w:val="21"/>
              </w:rPr>
            </w:pPr>
            <w:r>
              <w:rPr>
                <w:rFonts w:hint="eastAsia" w:hAnsi="宋体"/>
                <w:color w:val="auto"/>
                <w:sz w:val="21"/>
                <w:szCs w:val="21"/>
              </w:rPr>
              <w:t>准</w:t>
            </w: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投标内容</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工期</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质量要求</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投标有效期</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投标保证金</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权利义务</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已标价工程量清单</w:t>
            </w:r>
          </w:p>
        </w:tc>
        <w:tc>
          <w:tcPr>
            <w:tcW w:w="6476"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符合第五章“工程量清单”给出的子目编码、子目名称、子目特征、计量单位和工程量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750" w:type="dxa"/>
            <w:vMerge w:val="continue"/>
            <w:vAlign w:val="center"/>
          </w:tcPr>
          <w:p>
            <w:pPr>
              <w:pStyle w:val="16"/>
              <w:spacing w:line="400" w:lineRule="exact"/>
              <w:jc w:val="center"/>
              <w:rPr>
                <w:rFonts w:hAnsi="宋体"/>
                <w:color w:val="auto"/>
                <w:sz w:val="21"/>
                <w:szCs w:val="21"/>
              </w:rPr>
            </w:pPr>
          </w:p>
        </w:tc>
        <w:tc>
          <w:tcPr>
            <w:tcW w:w="542" w:type="dxa"/>
            <w:gridSpan w:val="2"/>
            <w:vMerge w:val="continue"/>
            <w:vAlign w:val="center"/>
          </w:tcPr>
          <w:p>
            <w:pPr>
              <w:pStyle w:val="16"/>
              <w:spacing w:line="400" w:lineRule="exact"/>
              <w:jc w:val="center"/>
              <w:rPr>
                <w:rFonts w:hAnsi="宋体"/>
                <w:color w:val="auto"/>
                <w:sz w:val="21"/>
                <w:szCs w:val="21"/>
              </w:rPr>
            </w:pPr>
          </w:p>
        </w:tc>
        <w:tc>
          <w:tcPr>
            <w:tcW w:w="1941" w:type="dxa"/>
            <w:vAlign w:val="center"/>
          </w:tcPr>
          <w:p>
            <w:pPr>
              <w:pStyle w:val="16"/>
              <w:spacing w:line="400" w:lineRule="exact"/>
              <w:jc w:val="center"/>
              <w:rPr>
                <w:rFonts w:hAnsi="宋体"/>
                <w:color w:val="auto"/>
                <w:sz w:val="21"/>
                <w:szCs w:val="21"/>
              </w:rPr>
            </w:pPr>
            <w:r>
              <w:rPr>
                <w:rFonts w:hint="eastAsia" w:hAnsi="宋体"/>
                <w:color w:val="auto"/>
                <w:sz w:val="21"/>
                <w:szCs w:val="21"/>
              </w:rPr>
              <w:t>技术标准和要求</w:t>
            </w:r>
          </w:p>
        </w:tc>
        <w:tc>
          <w:tcPr>
            <w:tcW w:w="6476"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符合第七章“技术标准和要求”规定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737" w:hRule="exact"/>
          <w:jc w:val="center"/>
        </w:trPr>
        <w:tc>
          <w:tcPr>
            <w:tcW w:w="1291" w:type="dxa"/>
            <w:gridSpan w:val="2"/>
            <w:vAlign w:val="center"/>
          </w:tcPr>
          <w:p>
            <w:pPr>
              <w:pStyle w:val="16"/>
              <w:spacing w:line="400" w:lineRule="exact"/>
              <w:jc w:val="center"/>
              <w:rPr>
                <w:rFonts w:hAnsi="宋体"/>
                <w:b/>
                <w:color w:val="auto"/>
                <w:sz w:val="21"/>
                <w:szCs w:val="21"/>
              </w:rPr>
            </w:pPr>
            <w:r>
              <w:rPr>
                <w:rFonts w:hint="eastAsia" w:hAnsi="宋体"/>
                <w:b/>
                <w:color w:val="auto"/>
                <w:sz w:val="21"/>
                <w:szCs w:val="21"/>
              </w:rPr>
              <w:t>条款号</w:t>
            </w:r>
          </w:p>
        </w:tc>
        <w:tc>
          <w:tcPr>
            <w:tcW w:w="1942" w:type="dxa"/>
            <w:gridSpan w:val="2"/>
            <w:vAlign w:val="center"/>
          </w:tcPr>
          <w:p>
            <w:pPr>
              <w:pStyle w:val="16"/>
              <w:spacing w:line="400" w:lineRule="exact"/>
              <w:jc w:val="center"/>
              <w:rPr>
                <w:rFonts w:hAnsi="宋体"/>
                <w:b/>
                <w:color w:val="auto"/>
                <w:sz w:val="21"/>
                <w:szCs w:val="21"/>
              </w:rPr>
            </w:pPr>
            <w:r>
              <w:rPr>
                <w:rFonts w:hint="eastAsia" w:hAnsi="宋体"/>
                <w:b/>
                <w:color w:val="auto"/>
                <w:sz w:val="21"/>
                <w:szCs w:val="21"/>
              </w:rPr>
              <w:t>条款内容</w:t>
            </w:r>
          </w:p>
        </w:tc>
        <w:tc>
          <w:tcPr>
            <w:tcW w:w="6475" w:type="dxa"/>
            <w:vAlign w:val="center"/>
          </w:tcPr>
          <w:p>
            <w:pPr>
              <w:pStyle w:val="16"/>
              <w:spacing w:line="400" w:lineRule="exact"/>
              <w:jc w:val="center"/>
              <w:rPr>
                <w:rFonts w:hAnsi="宋体"/>
                <w:b/>
                <w:color w:val="auto"/>
                <w:sz w:val="21"/>
                <w:szCs w:val="21"/>
              </w:rPr>
            </w:pPr>
            <w:r>
              <w:rPr>
                <w:rFonts w:hint="eastAsia" w:hAnsi="宋体"/>
                <w:b/>
                <w:color w:val="auto"/>
                <w:sz w:val="21"/>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1495" w:hRule="atLeast"/>
          <w:jc w:val="center"/>
        </w:trPr>
        <w:tc>
          <w:tcPr>
            <w:tcW w:w="1291" w:type="dxa"/>
            <w:gridSpan w:val="2"/>
            <w:vAlign w:val="center"/>
          </w:tcPr>
          <w:p>
            <w:pPr>
              <w:pStyle w:val="16"/>
              <w:spacing w:line="400" w:lineRule="exact"/>
              <w:jc w:val="center"/>
              <w:rPr>
                <w:rFonts w:hAnsi="宋体"/>
                <w:color w:val="auto"/>
                <w:sz w:val="21"/>
                <w:szCs w:val="21"/>
              </w:rPr>
            </w:pPr>
            <w:r>
              <w:rPr>
                <w:rFonts w:hint="eastAsia" w:hAnsi="宋体"/>
                <w:color w:val="auto"/>
                <w:sz w:val="21"/>
                <w:szCs w:val="21"/>
              </w:rPr>
              <w:t>2.2.1</w:t>
            </w:r>
          </w:p>
        </w:tc>
        <w:tc>
          <w:tcPr>
            <w:tcW w:w="1942" w:type="dxa"/>
            <w:gridSpan w:val="2"/>
            <w:vAlign w:val="center"/>
          </w:tcPr>
          <w:p>
            <w:pPr>
              <w:pStyle w:val="16"/>
              <w:spacing w:line="400" w:lineRule="exact"/>
              <w:jc w:val="center"/>
              <w:rPr>
                <w:rFonts w:hint="eastAsia" w:hAnsi="宋体"/>
                <w:color w:val="auto"/>
                <w:sz w:val="21"/>
                <w:szCs w:val="21"/>
              </w:rPr>
            </w:pPr>
            <w:r>
              <w:rPr>
                <w:rFonts w:hint="eastAsia" w:hAnsi="宋体"/>
                <w:color w:val="auto"/>
                <w:sz w:val="21"/>
                <w:szCs w:val="21"/>
              </w:rPr>
              <w:t>分值组成</w:t>
            </w:r>
          </w:p>
          <w:p>
            <w:pPr>
              <w:pStyle w:val="16"/>
              <w:spacing w:line="400" w:lineRule="exact"/>
              <w:jc w:val="center"/>
              <w:rPr>
                <w:rFonts w:hAnsi="宋体"/>
                <w:color w:val="auto"/>
                <w:sz w:val="21"/>
                <w:szCs w:val="21"/>
              </w:rPr>
            </w:pPr>
            <w:r>
              <w:rPr>
                <w:rFonts w:hint="eastAsia" w:hAnsi="宋体"/>
                <w:color w:val="auto"/>
                <w:sz w:val="21"/>
                <w:szCs w:val="21"/>
              </w:rPr>
              <w:t>（总分100分）</w:t>
            </w:r>
          </w:p>
        </w:tc>
        <w:tc>
          <w:tcPr>
            <w:tcW w:w="6475" w:type="dxa"/>
            <w:vAlign w:val="center"/>
          </w:tcPr>
          <w:p>
            <w:pPr>
              <w:pStyle w:val="16"/>
              <w:spacing w:line="400" w:lineRule="exact"/>
              <w:rPr>
                <w:rFonts w:hAnsi="宋体"/>
                <w:sz w:val="20"/>
                <w:szCs w:val="21"/>
              </w:rPr>
            </w:pPr>
            <w:r>
              <w:rPr>
                <w:rFonts w:hint="eastAsia" w:hAnsi="宋体"/>
                <w:color w:val="auto"/>
                <w:sz w:val="21"/>
                <w:szCs w:val="21"/>
              </w:rPr>
              <w:t>投标报价：30</w:t>
            </w:r>
            <w:r>
              <w:rPr>
                <w:rFonts w:hint="eastAsia" w:hAnsi="宋体"/>
                <w:sz w:val="20"/>
                <w:szCs w:val="21"/>
                <w:lang w:val="en-US" w:eastAsia="zh-CN"/>
              </w:rPr>
              <w:t>分</w:t>
            </w:r>
          </w:p>
          <w:p>
            <w:pPr>
              <w:pStyle w:val="16"/>
              <w:spacing w:line="400" w:lineRule="exact"/>
              <w:rPr>
                <w:rFonts w:hAnsi="宋体"/>
                <w:sz w:val="20"/>
                <w:szCs w:val="21"/>
              </w:rPr>
            </w:pPr>
            <w:r>
              <w:rPr>
                <w:rFonts w:hint="eastAsia" w:hAnsi="宋体"/>
                <w:color w:val="auto"/>
                <w:sz w:val="21"/>
                <w:szCs w:val="21"/>
              </w:rPr>
              <w:t>技术</w:t>
            </w:r>
            <w:r>
              <w:rPr>
                <w:rFonts w:hint="eastAsia" w:hAnsi="宋体"/>
                <w:color w:val="auto"/>
                <w:sz w:val="21"/>
                <w:szCs w:val="21"/>
                <w:lang w:val="en-US" w:eastAsia="zh-CN"/>
              </w:rPr>
              <w:t>部</w:t>
            </w:r>
            <w:r>
              <w:rPr>
                <w:rFonts w:hint="eastAsia" w:hAnsi="宋体"/>
                <w:color w:val="auto"/>
                <w:sz w:val="21"/>
                <w:szCs w:val="21"/>
              </w:rPr>
              <w:t>分：</w:t>
            </w:r>
            <w:r>
              <w:rPr>
                <w:rFonts w:hint="eastAsia" w:hAnsi="宋体"/>
                <w:sz w:val="20"/>
                <w:szCs w:val="21"/>
                <w:lang w:val="en-US" w:eastAsia="zh-CN"/>
              </w:rPr>
              <w:t>42分</w:t>
            </w:r>
          </w:p>
          <w:p>
            <w:pPr>
              <w:pStyle w:val="16"/>
              <w:spacing w:line="400" w:lineRule="exact"/>
              <w:rPr>
                <w:rFonts w:hint="eastAsia" w:hAnsi="宋体" w:eastAsia="宋体"/>
                <w:color w:val="auto"/>
                <w:sz w:val="21"/>
                <w:szCs w:val="21"/>
                <w:u w:val="single"/>
                <w:lang w:eastAsia="zh-CN"/>
              </w:rPr>
            </w:pPr>
            <w:r>
              <w:rPr>
                <w:rFonts w:hint="eastAsia" w:hAnsi="宋体"/>
                <w:color w:val="auto"/>
                <w:sz w:val="21"/>
                <w:szCs w:val="21"/>
              </w:rPr>
              <w:t>商务部分</w:t>
            </w:r>
            <w:r>
              <w:rPr>
                <w:rFonts w:hint="eastAsia" w:hAnsi="宋体"/>
                <w:color w:val="auto"/>
                <w:sz w:val="21"/>
                <w:szCs w:val="21"/>
                <w:lang w:eastAsia="zh-CN"/>
              </w:rPr>
              <w:t>：</w:t>
            </w:r>
            <w:r>
              <w:rPr>
                <w:rFonts w:hint="eastAsia" w:hAnsi="宋体"/>
                <w:sz w:val="20"/>
                <w:szCs w:val="21"/>
                <w:lang w:val="en-US" w:eastAsia="zh-CN"/>
              </w:rPr>
              <w:t>28分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55" w:hRule="atLeast"/>
          <w:jc w:val="center"/>
        </w:trPr>
        <w:tc>
          <w:tcPr>
            <w:tcW w:w="1291" w:type="dxa"/>
            <w:gridSpan w:val="2"/>
            <w:vAlign w:val="center"/>
          </w:tcPr>
          <w:p>
            <w:pPr>
              <w:spacing w:line="400" w:lineRule="exact"/>
              <w:rPr>
                <w:rFonts w:hint="eastAsia" w:ascii="宋体" w:hAnsi="宋体" w:cs="宋体"/>
                <w:szCs w:val="21"/>
              </w:rPr>
            </w:pPr>
            <w:r>
              <w:rPr>
                <w:rFonts w:hint="eastAsia" w:asciiTheme="minorEastAsia" w:hAnsiTheme="minorEastAsia" w:eastAsiaTheme="minorEastAsia" w:cstheme="minorEastAsia"/>
                <w:sz w:val="21"/>
                <w:szCs w:val="21"/>
                <w:lang w:val="en-US" w:eastAsia="zh-CN"/>
              </w:rPr>
              <w:t>2.2.1（1）投标</w:t>
            </w:r>
            <w:r>
              <w:rPr>
                <w:rFonts w:hint="eastAsia" w:ascii="宋体" w:hAnsi="宋体" w:cs="宋体"/>
                <w:szCs w:val="21"/>
              </w:rPr>
              <w:t>报价（30分）</w:t>
            </w:r>
          </w:p>
        </w:tc>
        <w:tc>
          <w:tcPr>
            <w:tcW w:w="1942" w:type="dxa"/>
            <w:gridSpan w:val="2"/>
            <w:vAlign w:val="center"/>
          </w:tcPr>
          <w:p>
            <w:pPr>
              <w:spacing w:line="400" w:lineRule="exact"/>
              <w:rPr>
                <w:rFonts w:hint="eastAsia" w:ascii="宋体" w:hAnsi="宋体" w:cs="宋体"/>
                <w:szCs w:val="21"/>
              </w:rPr>
            </w:pPr>
            <w:r>
              <w:rPr>
                <w:rFonts w:hint="eastAsia" w:ascii="宋体" w:hAnsi="宋体" w:cs="宋体"/>
                <w:szCs w:val="21"/>
              </w:rPr>
              <w:t>报价得分（30分）</w:t>
            </w:r>
          </w:p>
        </w:tc>
        <w:tc>
          <w:tcPr>
            <w:tcW w:w="6475" w:type="dxa"/>
            <w:vAlign w:val="center"/>
          </w:tcPr>
          <w:p>
            <w:pPr>
              <w:spacing w:line="400" w:lineRule="exact"/>
              <w:ind w:firstLine="420" w:firstLineChars="200"/>
              <w:rPr>
                <w:rFonts w:hint="eastAsia" w:ascii="宋体" w:hAnsi="宋体" w:cs="宋体"/>
                <w:szCs w:val="21"/>
              </w:rPr>
            </w:pPr>
            <w:r>
              <w:rPr>
                <w:rFonts w:hint="eastAsia" w:ascii="宋体" w:hAnsi="宋体" w:cs="宋体"/>
                <w:szCs w:val="21"/>
              </w:rPr>
              <w:t>价格采用低价优先法计算，但不保证低价中标，即满足招标文件要求且报价最低的为评标基准价，其价格分为满分。其他</w:t>
            </w:r>
            <w:r>
              <w:rPr>
                <w:rFonts w:hint="eastAsia" w:ascii="宋体" w:hAnsi="宋体" w:cs="宋体"/>
                <w:szCs w:val="21"/>
                <w:lang w:val="en-US" w:eastAsia="zh-CN"/>
              </w:rPr>
              <w:t>投标人</w:t>
            </w:r>
            <w:r>
              <w:rPr>
                <w:rFonts w:hint="eastAsia" w:ascii="宋体" w:hAnsi="宋体" w:cs="宋体"/>
                <w:szCs w:val="21"/>
              </w:rPr>
              <w:t>的价格分统一按照下列公式计算：价格分=（评标基准价÷评标价）×（30分）</w:t>
            </w:r>
          </w:p>
          <w:p>
            <w:pPr>
              <w:spacing w:line="400" w:lineRule="exact"/>
              <w:ind w:firstLine="420" w:firstLineChars="200"/>
              <w:rPr>
                <w:rFonts w:hint="eastAsia" w:ascii="宋体" w:hAnsi="宋体" w:cs="宋体"/>
                <w:szCs w:val="21"/>
              </w:rPr>
            </w:pPr>
            <w:r>
              <w:rPr>
                <w:rFonts w:hint="eastAsia" w:ascii="宋体" w:hAnsi="宋体" w:cs="宋体"/>
                <w:szCs w:val="21"/>
              </w:rPr>
              <w:t>注：</w:t>
            </w:r>
          </w:p>
          <w:p>
            <w:pPr>
              <w:spacing w:line="400" w:lineRule="exact"/>
              <w:ind w:firstLine="420" w:firstLineChars="200"/>
              <w:rPr>
                <w:rFonts w:hint="eastAsia" w:ascii="宋体" w:hAnsi="宋体" w:cs="宋体"/>
                <w:szCs w:val="21"/>
              </w:rPr>
            </w:pPr>
            <w:r>
              <w:rPr>
                <w:rFonts w:hint="eastAsia" w:ascii="宋体" w:hAnsi="宋体" w:cs="宋体"/>
                <w:szCs w:val="21"/>
              </w:rPr>
              <w:t>1.若投标人投标价格均超过控制价，做废标处理。</w:t>
            </w:r>
          </w:p>
          <w:p>
            <w:pPr>
              <w:spacing w:line="400" w:lineRule="exact"/>
              <w:ind w:firstLine="420" w:firstLineChars="200"/>
              <w:rPr>
                <w:rFonts w:hint="eastAsia" w:ascii="宋体" w:hAnsi="宋体" w:cs="宋体"/>
                <w:szCs w:val="21"/>
              </w:rPr>
            </w:pPr>
            <w:r>
              <w:rPr>
                <w:rFonts w:hint="eastAsia" w:ascii="宋体" w:hAnsi="宋体" w:cs="宋体"/>
                <w:szCs w:val="21"/>
              </w:rPr>
              <w:t>2.对小型、微型、监狱企业、残疾人福利性单位投标报价给予</w:t>
            </w:r>
            <w:r>
              <w:rPr>
                <w:rFonts w:hint="eastAsia" w:ascii="宋体" w:hAnsi="宋体" w:cs="宋体"/>
                <w:szCs w:val="21"/>
                <w:lang w:val="en-US" w:eastAsia="zh-CN"/>
              </w:rPr>
              <w:t>5</w:t>
            </w:r>
            <w:r>
              <w:rPr>
                <w:rFonts w:hint="eastAsia" w:ascii="宋体" w:hAnsi="宋体" w:cs="宋体"/>
                <w:szCs w:val="21"/>
              </w:rPr>
              <w:t>%的扣除，用扣除后的价格参与评审。参加本项目的中小企业应当提供《中小企业声明函》（格式详见《政府采购促进中小企业发展暂行办法》）</w:t>
            </w:r>
          </w:p>
          <w:p>
            <w:pPr>
              <w:spacing w:line="400" w:lineRule="exact"/>
              <w:ind w:firstLine="420" w:firstLineChars="200"/>
              <w:rPr>
                <w:rFonts w:hint="eastAsia" w:ascii="宋体" w:hAnsi="宋体" w:cs="宋体"/>
                <w:szCs w:val="21"/>
              </w:rPr>
            </w:pPr>
            <w:r>
              <w:rPr>
                <w:rFonts w:hint="eastAsia" w:ascii="宋体" w:hAnsi="宋体" w:cs="宋体"/>
                <w:szCs w:val="21"/>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48" w:hRule="atLeast"/>
          <w:jc w:val="center"/>
        </w:trPr>
        <w:tc>
          <w:tcPr>
            <w:tcW w:w="1291" w:type="dxa"/>
            <w:gridSpan w:val="2"/>
            <w:vMerge w:val="restart"/>
            <w:vAlign w:val="center"/>
          </w:tcPr>
          <w:p>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2.2.1（2）技术部分(42分）</w:t>
            </w:r>
          </w:p>
        </w:tc>
        <w:tc>
          <w:tcPr>
            <w:tcW w:w="1942" w:type="dxa"/>
            <w:gridSpan w:val="2"/>
            <w:vAlign w:val="center"/>
          </w:tcPr>
          <w:p>
            <w:pPr>
              <w:pStyle w:val="8"/>
              <w:pageBreakBefore w:val="0"/>
              <w:kinsoku/>
              <w:wordWrap/>
              <w:overflowPunct/>
              <w:topLinePunct w:val="0"/>
              <w:bidi w:val="0"/>
              <w:spacing w:before="0" w:after="0"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color w:val="000000" w:themeColor="text1"/>
                <w:sz w:val="21"/>
                <w:szCs w:val="21"/>
              </w:rPr>
              <w:t>内容完整（2分</w:t>
            </w:r>
            <w:r>
              <w:rPr>
                <w:rFonts w:hint="eastAsia" w:asciiTheme="minorEastAsia" w:hAnsiTheme="minorEastAsia" w:eastAsiaTheme="minorEastAsia" w:cstheme="minorEastAsia"/>
                <w:color w:val="000000" w:themeColor="text1"/>
                <w:sz w:val="21"/>
                <w:szCs w:val="21"/>
              </w:rPr>
              <w:t>）</w:t>
            </w:r>
          </w:p>
        </w:tc>
        <w:tc>
          <w:tcPr>
            <w:tcW w:w="6475" w:type="dxa"/>
            <w:vAlign w:val="center"/>
          </w:tcPr>
          <w:p>
            <w:pPr>
              <w:pStyle w:val="131"/>
              <w:pageBreakBefore w:val="0"/>
              <w:kinsoku/>
              <w:wordWrap/>
              <w:overflowPunct/>
              <w:topLinePunct w:val="0"/>
              <w:bidi w:val="0"/>
              <w:spacing w:line="400" w:lineRule="exact"/>
              <w:ind w:firstLine="210"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themeColor="text1"/>
                <w:sz w:val="21"/>
                <w:szCs w:val="21"/>
              </w:rPr>
              <w:t>技术标的主要内容符合招标文件的要求得2分，不提供不得分。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Style w:val="8"/>
              <w:pageBreakBefore w:val="0"/>
              <w:kinsoku/>
              <w:wordWrap/>
              <w:overflowPunct/>
              <w:topLinePunct w:val="0"/>
              <w:bidi w:val="0"/>
              <w:spacing w:before="0" w:after="0"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 w:val="21"/>
                <w:szCs w:val="21"/>
              </w:rPr>
              <w:t>施工方案和技术措施（8分）</w:t>
            </w:r>
          </w:p>
        </w:tc>
        <w:tc>
          <w:tcPr>
            <w:tcW w:w="6475" w:type="dxa"/>
            <w:vAlign w:val="center"/>
          </w:tcPr>
          <w:p>
            <w:pPr>
              <w:pStyle w:val="131"/>
              <w:pageBreakBefore w:val="0"/>
              <w:numPr>
                <w:ilvl w:val="0"/>
                <w:numId w:val="1"/>
              </w:numPr>
              <w:kinsoku/>
              <w:wordWrap/>
              <w:overflowPunct/>
              <w:topLinePunct w:val="0"/>
              <w:bidi w:val="0"/>
              <w:spacing w:line="400" w:lineRule="exact"/>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根据工程量清单及招标文件要求编制施工方案的得4分、 对施工难点具有针对性的</w:t>
            </w:r>
            <w:r>
              <w:rPr>
                <w:rFonts w:hint="eastAsia" w:asciiTheme="minorEastAsia" w:hAnsiTheme="minorEastAsia" w:eastAsiaTheme="minorEastAsia" w:cstheme="minorEastAsia"/>
                <w:color w:val="000000" w:themeColor="text1"/>
                <w:sz w:val="21"/>
                <w:szCs w:val="21"/>
              </w:rPr>
              <w:t>解决措施</w:t>
            </w:r>
            <w:r>
              <w:rPr>
                <w:rFonts w:hint="eastAsia" w:asciiTheme="minorEastAsia" w:hAnsiTheme="minorEastAsia" w:eastAsiaTheme="minorEastAsia" w:cstheme="minorEastAsia"/>
                <w:sz w:val="21"/>
                <w:szCs w:val="21"/>
              </w:rPr>
              <w:t>得2分 、承诺运用先进、合理的施工工艺、施工机械满足项目需求得2分，</w:t>
            </w:r>
          </w:p>
          <w:p>
            <w:pPr>
              <w:pStyle w:val="131"/>
              <w:pageBreakBefore w:val="0"/>
              <w:numPr>
                <w:ilvl w:val="0"/>
                <w:numId w:val="1"/>
              </w:numPr>
              <w:kinsoku/>
              <w:wordWrap/>
              <w:overflowPunct/>
              <w:topLinePunct w:val="0"/>
              <w:bidi w:val="0"/>
              <w:spacing w:line="400" w:lineRule="exact"/>
              <w:ind w:left="0" w:lef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缺项按本项分值扣除、未完全满足招标文件要求本项不得分。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Style w:val="47"/>
              <w:pageBreakBefore w:val="0"/>
              <w:kinsoku/>
              <w:wordWrap/>
              <w:overflowPunct/>
              <w:topLinePunct w:val="0"/>
              <w:bidi w:val="0"/>
              <w:spacing w:line="400" w:lineRule="exact"/>
              <w:ind w:right="-21" w:righ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质量管理体系与措施（6分）</w:t>
            </w:r>
          </w:p>
        </w:tc>
        <w:tc>
          <w:tcPr>
            <w:tcW w:w="6475" w:type="dxa"/>
            <w:vAlign w:val="center"/>
          </w:tcPr>
          <w:p>
            <w:pPr>
              <w:pStyle w:val="131"/>
              <w:pageBreakBefore w:val="0"/>
              <w:numPr>
                <w:ilvl w:val="0"/>
                <w:numId w:val="0"/>
              </w:numPr>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组织机构人员各司其职，有完善的指挥系统得2分；质量监控系统、联络协调系统得2分，对项目质量提出的保证措施得2分。</w:t>
            </w:r>
          </w:p>
          <w:p>
            <w:pPr>
              <w:pStyle w:val="131"/>
              <w:pageBreakBefore w:val="0"/>
              <w:kinsoku/>
              <w:wordWrap/>
              <w:overflowPunct/>
              <w:topLinePunct w:val="0"/>
              <w:bidi w:val="0"/>
              <w:spacing w:line="40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全部满足得6分；</w:t>
            </w:r>
          </w:p>
          <w:p>
            <w:pPr>
              <w:pStyle w:val="131"/>
              <w:pageBreakBefore w:val="0"/>
              <w:kinsoku/>
              <w:wordWrap/>
              <w:overflowPunct/>
              <w:topLinePunct w:val="0"/>
              <w:bidi w:val="0"/>
              <w:spacing w:line="40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2、缺项按本项分值扣除。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Style w:val="47"/>
              <w:pageBreakBefore w:val="0"/>
              <w:kinsoku/>
              <w:wordWrap/>
              <w:overflowPunct/>
              <w:topLinePunct w:val="0"/>
              <w:bidi w:val="0"/>
              <w:spacing w:line="400" w:lineRule="exact"/>
              <w:ind w:right="-21" w:righ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安全管理体系与措施（6分）</w:t>
            </w:r>
          </w:p>
        </w:tc>
        <w:tc>
          <w:tcPr>
            <w:tcW w:w="6475" w:type="dxa"/>
            <w:vAlign w:val="center"/>
          </w:tcPr>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有施工安全生产保障体系、安全责任制和安全管理制度，现场安全管理机构、人员配备满足国家规定（3分）。根据工程特点、周边环境和施工工艺，正确识别现场重大危险源并有相应的安全防护管理措施（3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全部满</w:t>
            </w:r>
            <w:r>
              <w:rPr>
                <w:rFonts w:hint="eastAsia" w:asciiTheme="minorEastAsia" w:hAnsiTheme="minorEastAsia" w:eastAsiaTheme="minorEastAsia" w:cstheme="minorEastAsia"/>
                <w:sz w:val="21"/>
                <w:szCs w:val="21"/>
                <w:lang w:val="en-US" w:eastAsia="zh-CN"/>
              </w:rPr>
              <w:t>足得</w:t>
            </w:r>
            <w:r>
              <w:rPr>
                <w:rFonts w:hint="eastAsia" w:asciiTheme="minorEastAsia" w:hAnsiTheme="minorEastAsia" w:eastAsiaTheme="minorEastAsia" w:cstheme="minorEastAsia"/>
                <w:sz w:val="21"/>
                <w:szCs w:val="21"/>
              </w:rPr>
              <w:t>6分</w:t>
            </w:r>
            <w:r>
              <w:rPr>
                <w:rFonts w:hint="eastAsia" w:asciiTheme="minorEastAsia" w:hAnsiTheme="minorEastAsia" w:eastAsiaTheme="minorEastAsia" w:cstheme="minorEastAsia"/>
                <w:sz w:val="21"/>
                <w:szCs w:val="21"/>
                <w:lang w:eastAsia="zh-CN"/>
              </w:rPr>
              <w:t>；</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2、缺项按本项分值扣除。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Style w:val="47"/>
              <w:pageBreakBefore w:val="0"/>
              <w:kinsoku/>
              <w:wordWrap/>
              <w:overflowPunct/>
              <w:topLinePunct w:val="0"/>
              <w:bidi w:val="0"/>
              <w:spacing w:line="400" w:lineRule="exact"/>
              <w:ind w:right="-21" w:righ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文明施工、环境保护管理体系及施工现场扬尘治理措（10分）</w:t>
            </w:r>
          </w:p>
        </w:tc>
        <w:tc>
          <w:tcPr>
            <w:tcW w:w="6475" w:type="dxa"/>
            <w:vAlign w:val="center"/>
          </w:tcPr>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1、（1） </w:t>
            </w:r>
            <w:r>
              <w:rPr>
                <w:rFonts w:hint="eastAsia" w:asciiTheme="minorEastAsia" w:hAnsiTheme="minorEastAsia" w:eastAsiaTheme="minorEastAsia" w:cstheme="minorEastAsia"/>
                <w:color w:val="000000" w:themeColor="text1"/>
                <w:sz w:val="21"/>
                <w:szCs w:val="21"/>
              </w:rPr>
              <w:t>提供</w:t>
            </w:r>
            <w:r>
              <w:rPr>
                <w:rFonts w:hint="eastAsia" w:asciiTheme="minorEastAsia" w:hAnsiTheme="minorEastAsia" w:eastAsiaTheme="minorEastAsia" w:cstheme="minorEastAsia"/>
                <w:sz w:val="21"/>
                <w:szCs w:val="21"/>
              </w:rPr>
              <w:t>文明施工计划和符合国家相关标准、规范、规章制度（2）有文明保证措施和安全文明措施费用投入使用计划、（3）现场施工区、生活区、办公区等设置满足施工需求和消防安全、（4）施工现场扬尘治理措施符合河南省《城市房屋建筑和市政基础设施工程及道路扬尘污染防治标准》（DBJ41/174）的规定，现场扬尘治理方案符合本项目特点综合得分，满分10分。</w:t>
            </w:r>
          </w:p>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2、缺</w:t>
            </w:r>
            <w:r>
              <w:rPr>
                <w:rFonts w:hint="eastAsia" w:asciiTheme="minorEastAsia" w:hAnsiTheme="minorEastAsia" w:eastAsiaTheme="minorEastAsia" w:cstheme="minorEastAsia"/>
                <w:sz w:val="21"/>
                <w:szCs w:val="21"/>
                <w:lang w:val="en-US" w:eastAsia="zh-CN"/>
              </w:rPr>
              <w:t>一</w:t>
            </w:r>
            <w:r>
              <w:rPr>
                <w:rFonts w:hint="eastAsia" w:asciiTheme="minorEastAsia" w:hAnsiTheme="minorEastAsia" w:eastAsiaTheme="minorEastAsia" w:cstheme="minorEastAsia"/>
                <w:sz w:val="21"/>
                <w:szCs w:val="21"/>
              </w:rPr>
              <w:t>项扣</w:t>
            </w:r>
            <w:r>
              <w:rPr>
                <w:rFonts w:hint="eastAsia" w:asciiTheme="minorEastAsia" w:hAnsiTheme="minorEastAsia" w:eastAsiaTheme="minorEastAsia" w:cstheme="minorEastAsia"/>
                <w:sz w:val="21"/>
                <w:szCs w:val="21"/>
                <w:lang w:val="en-US" w:eastAsia="zh-CN"/>
              </w:rPr>
              <w:t>2.5</w:t>
            </w:r>
            <w:r>
              <w:rPr>
                <w:rFonts w:hint="eastAsia" w:asciiTheme="minorEastAsia" w:hAnsiTheme="minorEastAsia" w:eastAsiaTheme="minorEastAsia" w:cstheme="minorEastAsia"/>
                <w:sz w:val="21"/>
                <w:szCs w:val="21"/>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1973"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拟投入资源配备计划（6分）</w:t>
            </w:r>
          </w:p>
        </w:tc>
        <w:tc>
          <w:tcPr>
            <w:tcW w:w="6475" w:type="dxa"/>
            <w:vAlign w:val="center"/>
          </w:tcPr>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机械：投入机械设备满足本项目安全技术规范和施工进度需要；（2）劳动力：投入劳动人员较好满足施工需要；（3）主要物资计划：主要物资投入较好满足施工需要。（4）人员及施工安全设备配置满足施工需求，全部满足6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2、缺</w:t>
            </w:r>
            <w:r>
              <w:rPr>
                <w:rFonts w:hint="eastAsia" w:asciiTheme="minorEastAsia" w:hAnsiTheme="minorEastAsia" w:eastAsiaTheme="minorEastAsia" w:cstheme="minorEastAsia"/>
                <w:sz w:val="21"/>
                <w:szCs w:val="21"/>
                <w:lang w:val="en-US" w:eastAsia="zh-CN"/>
              </w:rPr>
              <w:t>一</w:t>
            </w:r>
            <w:r>
              <w:rPr>
                <w:rFonts w:hint="eastAsia" w:asciiTheme="minorEastAsia" w:hAnsiTheme="minorEastAsia" w:eastAsiaTheme="minorEastAsia" w:cstheme="minorEastAsia"/>
                <w:sz w:val="21"/>
                <w:szCs w:val="21"/>
              </w:rPr>
              <w:t>项扣</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lang w:val="en-US" w:eastAsia="zh-CN"/>
              </w:rPr>
            </w:pPr>
          </w:p>
        </w:tc>
        <w:tc>
          <w:tcPr>
            <w:tcW w:w="1942" w:type="dxa"/>
            <w:gridSpan w:val="2"/>
            <w:vAlign w:val="center"/>
          </w:tcPr>
          <w:p>
            <w:pPr>
              <w:pStyle w:val="47"/>
              <w:pageBreakBefore w:val="0"/>
              <w:kinsoku/>
              <w:wordWrap/>
              <w:overflowPunct/>
              <w:topLinePunct w:val="0"/>
              <w:bidi w:val="0"/>
              <w:spacing w:line="400" w:lineRule="exact"/>
              <w:ind w:right="-21"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施工总平面布置图</w:t>
            </w:r>
          </w:p>
          <w:p>
            <w:pPr>
              <w:pStyle w:val="47"/>
              <w:pageBreakBefore w:val="0"/>
              <w:kinsoku/>
              <w:wordWrap/>
              <w:overflowPunct/>
              <w:topLinePunct w:val="0"/>
              <w:bidi w:val="0"/>
              <w:spacing w:line="400" w:lineRule="exact"/>
              <w:ind w:right="-21" w:rightChars="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（4分）</w:t>
            </w:r>
          </w:p>
        </w:tc>
        <w:tc>
          <w:tcPr>
            <w:tcW w:w="6475" w:type="dxa"/>
            <w:vAlign w:val="center"/>
          </w:tcPr>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color w:val="000000" w:themeColor="text1"/>
                <w:sz w:val="21"/>
                <w:szCs w:val="21"/>
              </w:rPr>
              <w:t>关键线路准确，计划编制能满足招标文件对工期的要求</w:t>
            </w:r>
            <w:r>
              <w:rPr>
                <w:rFonts w:hint="eastAsia" w:asciiTheme="minorEastAsia" w:hAnsiTheme="minorEastAsia" w:eastAsiaTheme="minorEastAsia" w:cstheme="minorEastAsia"/>
                <w:sz w:val="21"/>
                <w:szCs w:val="21"/>
              </w:rPr>
              <w:t>得4分。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restart"/>
            <w:vAlign w:val="center"/>
          </w:tcPr>
          <w:p>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2.2.1（3）商务部分</w:t>
            </w:r>
          </w:p>
          <w:p>
            <w:pPr>
              <w:spacing w:line="40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（28分）</w:t>
            </w:r>
          </w:p>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ageBreakBefore w:val="0"/>
              <w:kinsoku/>
              <w:wordWrap/>
              <w:overflowPunct/>
              <w:topLinePunct w:val="0"/>
              <w:bidi w:val="0"/>
              <w:spacing w:line="400" w:lineRule="exact"/>
              <w:ind w:firstLine="210"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业绩</w:t>
            </w:r>
          </w:p>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（6分）</w:t>
            </w:r>
          </w:p>
        </w:tc>
        <w:tc>
          <w:tcPr>
            <w:tcW w:w="6475" w:type="dxa"/>
            <w:vAlign w:val="center"/>
          </w:tcPr>
          <w:p>
            <w:pPr>
              <w:pageBreakBefore w:val="0"/>
              <w:numPr>
                <w:ilvl w:val="0"/>
                <w:numId w:val="2"/>
              </w:numPr>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投标人2020年1月1日以来有类似业绩（附合同协议书和中标通知书）。</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附一个业绩得3分，最高得6分，没有不得分。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89"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项目管理人员</w:t>
            </w:r>
          </w:p>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（10分）</w:t>
            </w:r>
          </w:p>
        </w:tc>
        <w:tc>
          <w:tcPr>
            <w:tcW w:w="6475" w:type="dxa"/>
            <w:vAlign w:val="center"/>
          </w:tcPr>
          <w:p>
            <w:pPr>
              <w:pStyle w:val="57"/>
              <w:pageBreakBefore w:val="0"/>
              <w:kinsoku/>
              <w:wordWrap/>
              <w:overflowPunct/>
              <w:topLinePunct w:val="0"/>
              <w:bidi w:val="0"/>
              <w:spacing w:after="0" w:line="40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1、拟派</w:t>
            </w:r>
            <w:r>
              <w:rPr>
                <w:rFonts w:hint="eastAsia" w:asciiTheme="minorEastAsia" w:hAnsiTheme="minorEastAsia" w:eastAsiaTheme="minorEastAsia" w:cstheme="minorEastAsia"/>
                <w:kern w:val="0"/>
                <w:sz w:val="21"/>
                <w:szCs w:val="21"/>
              </w:rPr>
              <w:t>项目管理机构组成</w:t>
            </w:r>
            <w:r>
              <w:rPr>
                <w:rFonts w:hint="eastAsia" w:asciiTheme="minorEastAsia" w:hAnsiTheme="minorEastAsia" w:eastAsiaTheme="minorEastAsia" w:cstheme="minorEastAsia"/>
                <w:sz w:val="21"/>
                <w:szCs w:val="21"/>
              </w:rPr>
              <w:t>人员除项目经理和技术负责人外，五大员（至少应包含施工员、质量员、专职安全员、材料员、资料员、造价员或预算员）配备齐全者得10分。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2、每缺1人扣2分，扣完为止。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47" w:hRule="atLeast"/>
          <w:jc w:val="center"/>
        </w:trPr>
        <w:tc>
          <w:tcPr>
            <w:tcW w:w="1291" w:type="dxa"/>
            <w:gridSpan w:val="2"/>
            <w:vMerge w:val="continue"/>
            <w:vAlign w:val="center"/>
          </w:tcPr>
          <w:p>
            <w:pPr>
              <w:spacing w:line="400" w:lineRule="exact"/>
              <w:ind w:firstLine="420" w:firstLineChars="200"/>
              <w:rPr>
                <w:rFonts w:hint="eastAsia" w:asciiTheme="minorEastAsia" w:hAnsiTheme="minorEastAsia" w:eastAsiaTheme="minorEastAsia" w:cstheme="minorEastAsia"/>
                <w:sz w:val="21"/>
                <w:szCs w:val="21"/>
              </w:rPr>
            </w:pPr>
          </w:p>
        </w:tc>
        <w:tc>
          <w:tcPr>
            <w:tcW w:w="1942" w:type="dxa"/>
            <w:gridSpan w:val="2"/>
            <w:vAlign w:val="center"/>
          </w:tcPr>
          <w:p>
            <w:pPr>
              <w:pageBreakBefore w:val="0"/>
              <w:kinsoku/>
              <w:wordWrap/>
              <w:overflowPunct/>
              <w:topLinePunct w:val="0"/>
              <w:bidi w:val="0"/>
              <w:spacing w:line="40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服务承诺</w:t>
            </w:r>
          </w:p>
          <w:p>
            <w:pPr>
              <w:pStyle w:val="57"/>
              <w:pageBreakBefore w:val="0"/>
              <w:kinsoku/>
              <w:wordWrap/>
              <w:overflowPunct/>
              <w:topLinePunct w:val="0"/>
              <w:bidi w:val="0"/>
              <w:spacing w:after="0" w:line="400" w:lineRule="exact"/>
              <w:ind w:firstLine="210"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（12分）</w:t>
            </w:r>
          </w:p>
        </w:tc>
        <w:tc>
          <w:tcPr>
            <w:tcW w:w="6475" w:type="dxa"/>
            <w:vAlign w:val="center"/>
          </w:tcPr>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1、能做到连续施工，不因资金问题影响工程进度，不拖欠农民工工资承诺的（3分），没有不得分。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2、保证工程质量措施（3分），没有不得分。</w:t>
            </w:r>
          </w:p>
          <w:p>
            <w:pPr>
              <w:pageBreakBefore w:val="0"/>
              <w:tabs>
                <w:tab w:val="left" w:pos="5130"/>
              </w:tabs>
              <w:kinsoku/>
              <w:wordWrap/>
              <w:overflowPunct/>
              <w:topLinePunct w:val="0"/>
              <w:bidi w:val="0"/>
              <w:adjustRightInd w:val="0"/>
              <w:snapToGrid w:val="0"/>
              <w:spacing w:line="400" w:lineRule="exact"/>
              <w:textAlignment w:val="auto"/>
              <w:rPr>
                <w:rFonts w:hint="eastAsia" w:asciiTheme="minorEastAsia" w:hAnsiTheme="minorEastAsia" w:eastAsiaTheme="minorEastAsia" w:cstheme="minorEastAsia"/>
                <w:color w:val="000000" w:themeColor="text1"/>
                <w:sz w:val="21"/>
                <w:szCs w:val="21"/>
              </w:rPr>
            </w:pPr>
            <w:r>
              <w:rPr>
                <w:rFonts w:hint="eastAsia" w:asciiTheme="minorEastAsia" w:hAnsiTheme="minorEastAsia" w:eastAsiaTheme="minorEastAsia" w:cstheme="minorEastAsia"/>
                <w:color w:val="000000" w:themeColor="text1"/>
                <w:sz w:val="21"/>
                <w:szCs w:val="21"/>
              </w:rPr>
              <w:t>3、保证工期按时完工措施（3分），没有不得分。</w:t>
            </w:r>
          </w:p>
          <w:p>
            <w:pPr>
              <w:pStyle w:val="57"/>
              <w:pageBreakBefore w:val="0"/>
              <w:kinsoku/>
              <w:wordWrap/>
              <w:overflowPunct/>
              <w:topLinePunct w:val="0"/>
              <w:bidi w:val="0"/>
              <w:spacing w:after="0" w:line="400" w:lineRule="exact"/>
              <w:ind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themeColor="text1"/>
                <w:sz w:val="21"/>
                <w:szCs w:val="21"/>
              </w:rPr>
              <w:t>4、对工程回访保修的承诺（3分），没有不得分。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1991" w:hRule="atLeast"/>
          <w:jc w:val="center"/>
        </w:trPr>
        <w:tc>
          <w:tcPr>
            <w:tcW w:w="9708" w:type="dxa"/>
            <w:gridSpan w:val="5"/>
            <w:vAlign w:val="center"/>
          </w:tcPr>
          <w:p>
            <w:pPr>
              <w:spacing w:line="400" w:lineRule="exact"/>
              <w:rPr>
                <w:rFonts w:ascii="宋体" w:hAnsi="宋体" w:cs="宋体"/>
                <w:szCs w:val="21"/>
              </w:rPr>
            </w:pPr>
            <w:r>
              <w:rPr>
                <w:rFonts w:hint="eastAsia" w:ascii="宋体" w:hAnsi="宋体" w:cs="宋体"/>
                <w:szCs w:val="21"/>
              </w:rPr>
              <w:t>投标人综合得分=</w:t>
            </w:r>
            <w:r>
              <w:rPr>
                <w:rFonts w:hint="eastAsia" w:hAnsi="宋体"/>
                <w:szCs w:val="21"/>
              </w:rPr>
              <w:t>投标报价</w:t>
            </w:r>
            <w:r>
              <w:rPr>
                <w:rFonts w:hint="eastAsia" w:ascii="宋体" w:hAnsi="宋体" w:cs="宋体"/>
                <w:szCs w:val="21"/>
              </w:rPr>
              <w:t>得分＋</w:t>
            </w:r>
            <w:r>
              <w:rPr>
                <w:rFonts w:hint="eastAsia" w:hAnsi="宋体"/>
                <w:szCs w:val="21"/>
              </w:rPr>
              <w:t>技术</w:t>
            </w:r>
            <w:r>
              <w:rPr>
                <w:rFonts w:hint="eastAsia" w:hAnsi="宋体"/>
                <w:szCs w:val="21"/>
                <w:lang w:val="en-US" w:eastAsia="zh-CN"/>
              </w:rPr>
              <w:t>部分</w:t>
            </w:r>
            <w:r>
              <w:rPr>
                <w:rFonts w:hint="eastAsia" w:ascii="宋体" w:hAnsi="宋体" w:cs="宋体"/>
                <w:szCs w:val="21"/>
              </w:rPr>
              <w:t>得分+</w:t>
            </w:r>
            <w:r>
              <w:rPr>
                <w:rFonts w:hint="eastAsia" w:hAnsi="宋体"/>
                <w:szCs w:val="21"/>
              </w:rPr>
              <w:t>商务</w:t>
            </w:r>
            <w:r>
              <w:rPr>
                <w:rFonts w:hint="eastAsia" w:hAnsi="宋体"/>
                <w:szCs w:val="21"/>
                <w:lang w:val="en-US" w:eastAsia="zh-CN"/>
              </w:rPr>
              <w:t>部分</w:t>
            </w:r>
            <w:r>
              <w:rPr>
                <w:rFonts w:hint="eastAsia" w:hAnsi="宋体"/>
                <w:szCs w:val="21"/>
              </w:rPr>
              <w:t>部分</w:t>
            </w:r>
            <w:r>
              <w:rPr>
                <w:rFonts w:hint="eastAsia" w:ascii="宋体" w:hAnsi="宋体" w:cs="宋体"/>
                <w:szCs w:val="21"/>
              </w:rPr>
              <w:t>。</w:t>
            </w:r>
          </w:p>
          <w:p>
            <w:pPr>
              <w:spacing w:line="400" w:lineRule="exact"/>
              <w:rPr>
                <w:rFonts w:ascii="宋体" w:hAnsi="宋体" w:cs="宋体"/>
                <w:szCs w:val="21"/>
              </w:rPr>
            </w:pPr>
            <w:r>
              <w:rPr>
                <w:rFonts w:hint="eastAsia" w:ascii="宋体" w:hAnsi="宋体" w:cs="宋体"/>
                <w:szCs w:val="21"/>
              </w:rPr>
              <w:t>投标人的最终得分：</w:t>
            </w:r>
          </w:p>
          <w:p>
            <w:pPr>
              <w:spacing w:line="400" w:lineRule="exact"/>
              <w:rPr>
                <w:rFonts w:ascii="宋体" w:hAnsi="宋体" w:cs="宋体"/>
                <w:szCs w:val="21"/>
              </w:rPr>
            </w:pPr>
            <w:r>
              <w:rPr>
                <w:rFonts w:hint="eastAsia" w:ascii="宋体" w:hAnsi="宋体" w:cs="宋体"/>
                <w:szCs w:val="21"/>
              </w:rPr>
              <w:t>　　1．在评标委员会完成对</w:t>
            </w:r>
            <w:r>
              <w:rPr>
                <w:rFonts w:hint="eastAsia" w:hAnsi="宋体"/>
                <w:szCs w:val="21"/>
              </w:rPr>
              <w:t>投标报价</w:t>
            </w:r>
            <w:r>
              <w:rPr>
                <w:rFonts w:hint="eastAsia" w:ascii="宋体" w:hAnsi="宋体" w:cs="宋体"/>
                <w:szCs w:val="21"/>
              </w:rPr>
              <w:t>得分、</w:t>
            </w:r>
            <w:r>
              <w:rPr>
                <w:rFonts w:hint="eastAsia" w:hAnsi="宋体"/>
                <w:szCs w:val="21"/>
              </w:rPr>
              <w:t>技术</w:t>
            </w:r>
            <w:r>
              <w:rPr>
                <w:rFonts w:hint="eastAsia" w:ascii="宋体" w:hAnsi="宋体" w:cs="宋体"/>
                <w:szCs w:val="21"/>
              </w:rPr>
              <w:t>得分、</w:t>
            </w:r>
            <w:r>
              <w:rPr>
                <w:rFonts w:hint="eastAsia" w:hAnsi="宋体"/>
                <w:szCs w:val="21"/>
              </w:rPr>
              <w:t>商务部分</w:t>
            </w:r>
            <w:r>
              <w:rPr>
                <w:rFonts w:hint="eastAsia" w:ascii="宋体" w:hAnsi="宋体" w:cs="宋体"/>
                <w:szCs w:val="21"/>
              </w:rPr>
              <w:t>的汇总后取算术平均值，作为该投标人的最终得分。</w:t>
            </w:r>
          </w:p>
          <w:p>
            <w:pPr>
              <w:spacing w:line="400" w:lineRule="exact"/>
              <w:ind w:firstLine="420" w:firstLineChars="200"/>
              <w:rPr>
                <w:rFonts w:ascii="宋体" w:hAnsi="宋体" w:cs="宋体"/>
                <w:szCs w:val="21"/>
              </w:rPr>
            </w:pPr>
            <w:r>
              <w:rPr>
                <w:rFonts w:hint="eastAsia" w:ascii="宋体" w:hAnsi="宋体" w:cs="宋体"/>
                <w:szCs w:val="21"/>
              </w:rPr>
              <w:t>2．本办法计算过程中分值按四舍五入保留两位小数，结果按四舍五入保留两位小数。</w:t>
            </w:r>
          </w:p>
        </w:tc>
      </w:tr>
    </w:tbl>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 评标方法</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本次评标采用综合评估法。评标委员会对满足招标文件实质性要求的投标文件，按照本章第2.2 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 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初步评审标准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2.1.1 形式评审标准：见评标办法前附表。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2.1.2 资格评审标准：见评标办法前附表。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2.1.3 响应性评审标准：见评标办法前附表。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分值构成与评分标准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2.2.1 分值构成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(l）施工组织设计：见评标办法前附表；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(4）其他评分因素：见评标办法前附表。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评标基准价计算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评标基准价计算方法：见评标办法前附表。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2.2.3 投标报价的偏差率计算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投标报价的偏差率计算公式：见评标办法前附表。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2.2.4 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(1）施工组织设计评分标准：见评标办法前附表；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(4）其他因素评分标准：见评标办法前附表。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 评标程序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3.1.1评标委员会依据本章第2.1 款规定的标准对投标文件进行初步评审。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3.1.2 投标人有以下情形之一的，其投标作废标处理：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（1）第二章“总则”第1.4.3 项规定的任何一种情形的；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（2）串通投标或弄虚作假或有其他违法行为的；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（3）不按评标委员会要求澄清、说明或补正的。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3.1.3 投标报价有算术错误的，评标委员会按以下原则对投标报价进行修正，修正的价格经投标人书面确认后具有约束力。投标人不接受修正价格的，其投标作废标处理。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（1）投标文件中的大写金额与小写金额不一致的，以大写金额为准；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（2）总价金额与依据单价计算出的结果不一致的，以单价金额为准修正总价，但单价金额小数点有明显错误的除外。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详细评审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评标委员会按本章第2.2 款规定的量化因素和分值进行打分，并计算出综合评估得分。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(1）按本章第2.2.4(1）目规定的评审因素和分值对</w:t>
      </w:r>
      <w:r>
        <w:rPr>
          <w:rFonts w:hint="eastAsia" w:ascii="宋体" w:hAnsi="宋体" w:cs="仿宋_GB2312"/>
          <w:kern w:val="0"/>
          <w:sz w:val="24"/>
          <w:lang w:val="en-US" w:eastAsia="zh-CN"/>
        </w:rPr>
        <w:t>投标</w:t>
      </w:r>
      <w:r>
        <w:rPr>
          <w:rFonts w:hint="eastAsia" w:ascii="宋体" w:hAnsi="宋体" w:cs="仿宋_GB2312"/>
          <w:kern w:val="0"/>
          <w:sz w:val="24"/>
        </w:rPr>
        <w:t>报价计算出得分A ；</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(2）按本章第2.2.4(2）目规定的评审因素和分值对</w:t>
      </w:r>
      <w:r>
        <w:rPr>
          <w:rFonts w:hint="eastAsia" w:ascii="宋体" w:hAnsi="宋体" w:cs="仿宋_GB2312"/>
          <w:kern w:val="0"/>
          <w:sz w:val="24"/>
          <w:lang w:val="en-US" w:eastAsia="zh-CN"/>
        </w:rPr>
        <w:t>技术部分</w:t>
      </w:r>
      <w:r>
        <w:rPr>
          <w:rFonts w:hint="eastAsia" w:ascii="宋体" w:hAnsi="宋体" w:cs="仿宋_GB2312"/>
          <w:kern w:val="0"/>
          <w:sz w:val="24"/>
        </w:rPr>
        <w:t>计算出得分B；</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(3）按本章第2.2.4(3）目规定的评审因素和分值对</w:t>
      </w:r>
      <w:r>
        <w:rPr>
          <w:rFonts w:hint="eastAsia" w:ascii="宋体" w:hAnsi="宋体" w:cs="仿宋_GB2312"/>
          <w:kern w:val="0"/>
          <w:sz w:val="24"/>
          <w:lang w:val="en-US" w:eastAsia="zh-CN"/>
        </w:rPr>
        <w:t>商务部分</w:t>
      </w:r>
      <w:r>
        <w:rPr>
          <w:rFonts w:hint="eastAsia" w:ascii="宋体" w:hAnsi="宋体" w:cs="仿宋_GB2312"/>
          <w:kern w:val="0"/>
          <w:sz w:val="24"/>
        </w:rPr>
        <w:t>计算出得分C；</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评分分值计算保留小数点后两位，小数点后第三位“四舍五入”。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3.2.3 投标人得分=A+B+C。</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投标文件的澄清和补正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在评标过程中，评标委员会可以书面形式要求投标人对所提交投标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文件中不明确的内容进行书面澄清或说明，或者对细微偏差进行补正。评标委员会不接受投标人主动提出的澄清、说明或补正。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澄清、说明和补正不得改变投标文件的实质性内容（算术性错误修正的除外）。投标人的书面澄清、说明和补正属于投标文件的组成部分。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3.3.3 评标委员会对投标人提交的澄清、说明或补正有疑问的，可以要求投标人进一步澄清、说明或补正，直至满足评标委员会的要求。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评标结果</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3.4.1 除第二章“投标人须知”前附表授权直接确定中标人外，评标委员会按照得分由高到低的顺序推荐中标候选人。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3.4.2 评标委员会完成评标后，应当向招标人提交书面评标报告。</w:t>
      </w: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rPr>
          <w:rFonts w:hint="eastAsia"/>
        </w:rPr>
      </w:pPr>
      <w:bookmarkStart w:id="71" w:name="_Toc28658"/>
      <w:r>
        <w:rPr>
          <w:rFonts w:hint="eastAsia"/>
        </w:rPr>
        <w:br w:type="page"/>
      </w:r>
    </w:p>
    <w:p>
      <w:pPr>
        <w:pStyle w:val="5"/>
        <w:jc w:val="center"/>
        <w:rPr>
          <w:sz w:val="32"/>
          <w:szCs w:val="32"/>
        </w:rPr>
      </w:pPr>
      <w:r>
        <w:rPr>
          <w:rFonts w:hint="eastAsia"/>
          <w:sz w:val="32"/>
          <w:szCs w:val="32"/>
        </w:rPr>
        <w:t>第四章、周口市政府采购合同（工程类）标准文本</w:t>
      </w:r>
      <w:bookmarkEnd w:id="71"/>
    </w:p>
    <w:p>
      <w:pPr>
        <w:ind w:firstLine="880" w:firstLineChars="200"/>
        <w:jc w:val="center"/>
        <w:rPr>
          <w:rFonts w:ascii="方正小标宋简体" w:hAnsi="黑体" w:eastAsia="方正小标宋简体" w:cs="黑体"/>
          <w:sz w:val="44"/>
          <w:szCs w:val="44"/>
        </w:rPr>
      </w:pPr>
    </w:p>
    <w:p>
      <w:pPr>
        <w:pStyle w:val="144"/>
        <w:spacing w:beforeLines="0" w:afterLines="0"/>
        <w:ind w:left="0" w:firstLine="640" w:firstLineChars="200"/>
        <w:rPr>
          <w:rFonts w:ascii="黑体" w:hAnsi="黑体" w:eastAsia="黑体" w:cs="黑体"/>
          <w:sz w:val="32"/>
          <w:szCs w:val="32"/>
        </w:rPr>
      </w:pPr>
    </w:p>
    <w:p>
      <w:pPr>
        <w:pStyle w:val="144"/>
        <w:spacing w:beforeLines="0" w:afterLines="0"/>
        <w:ind w:left="0" w:firstLine="640" w:firstLineChars="200"/>
        <w:rPr>
          <w:rFonts w:ascii="黑体" w:hAnsi="黑体" w:eastAsia="黑体" w:cs="黑体"/>
          <w:sz w:val="32"/>
          <w:szCs w:val="32"/>
        </w:rPr>
      </w:pPr>
    </w:p>
    <w:p>
      <w:pPr>
        <w:pStyle w:val="144"/>
        <w:spacing w:beforeLines="0" w:afterLines="0"/>
        <w:ind w:left="0" w:firstLine="640" w:firstLineChars="200"/>
        <w:rPr>
          <w:rFonts w:ascii="黑体" w:hAnsi="黑体" w:eastAsia="黑体" w:cs="黑体"/>
          <w:sz w:val="32"/>
          <w:szCs w:val="32"/>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政府采购项目名称：</w:t>
      </w: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政府采购项目编号：</w:t>
      </w: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采      购    人：</w:t>
      </w: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供      应    商：</w:t>
      </w: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合  同  签 订 地：</w:t>
      </w:r>
    </w:p>
    <w:p>
      <w:pPr>
        <w:pStyle w:val="144"/>
        <w:spacing w:beforeLines="0" w:afterLines="0"/>
        <w:ind w:left="0" w:firstLine="600" w:firstLineChars="200"/>
        <w:rPr>
          <w:rFonts w:ascii="黑体" w:hAnsi="黑体" w:eastAsia="黑体" w:cs="黑体"/>
          <w:sz w:val="30"/>
          <w:szCs w:val="30"/>
        </w:rPr>
      </w:pPr>
      <w:r>
        <w:rPr>
          <w:rFonts w:hint="eastAsia" w:ascii="黑体" w:hAnsi="黑体" w:eastAsia="黑体" w:cs="黑体"/>
          <w:sz w:val="30"/>
          <w:szCs w:val="30"/>
        </w:rPr>
        <w:t>合 同 签订 时 间：</w:t>
      </w: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firstLine="600" w:firstLineChars="200"/>
        <w:rPr>
          <w:rFonts w:ascii="黑体" w:hAnsi="黑体" w:eastAsia="黑体" w:cs="黑体"/>
          <w:sz w:val="30"/>
          <w:szCs w:val="30"/>
        </w:rPr>
      </w:pPr>
    </w:p>
    <w:p>
      <w:pPr>
        <w:pStyle w:val="144"/>
        <w:spacing w:beforeLines="0" w:afterLines="0"/>
        <w:ind w:left="0"/>
        <w:rPr>
          <w:sz w:val="30"/>
          <w:szCs w:val="30"/>
        </w:rPr>
      </w:pPr>
    </w:p>
    <w:p>
      <w:pPr>
        <w:pStyle w:val="6"/>
        <w:jc w:val="center"/>
      </w:pPr>
      <w:bookmarkStart w:id="72" w:name="_Toc1399"/>
      <w:r>
        <w:rPr>
          <w:rFonts w:hint="eastAsia"/>
        </w:rPr>
        <w:t>合同签订指引</w:t>
      </w:r>
      <w:bookmarkEnd w:id="72"/>
    </w:p>
    <w:p>
      <w:pPr>
        <w:pStyle w:val="144"/>
        <w:spacing w:beforeLines="0" w:afterLines="0" w:line="440" w:lineRule="exact"/>
        <w:ind w:left="0" w:firstLine="420" w:firstLineChars="200"/>
        <w:rPr>
          <w:szCs w:val="21"/>
        </w:rPr>
      </w:pPr>
      <w:r>
        <w:rPr>
          <w:rFonts w:hint="eastAsia"/>
          <w:szCs w:val="21"/>
        </w:rPr>
        <w:t>一、采购人在签订合同时应提供的资料：</w:t>
      </w:r>
    </w:p>
    <w:p>
      <w:pPr>
        <w:pStyle w:val="144"/>
        <w:spacing w:beforeLines="0" w:afterLines="0" w:line="440" w:lineRule="exact"/>
        <w:ind w:left="0" w:firstLine="420" w:firstLineChars="200"/>
        <w:rPr>
          <w:szCs w:val="21"/>
        </w:rPr>
      </w:pPr>
      <w:r>
        <w:rPr>
          <w:rFonts w:hint="eastAsia"/>
          <w:szCs w:val="21"/>
        </w:rPr>
        <w:t>1、该政府采购项目的招标采购文件（以网上发布内容为准）；</w:t>
      </w:r>
    </w:p>
    <w:p>
      <w:pPr>
        <w:pStyle w:val="144"/>
        <w:spacing w:beforeLines="0" w:afterLines="0" w:line="440" w:lineRule="exact"/>
        <w:ind w:left="0" w:firstLine="420" w:firstLineChars="200"/>
        <w:rPr>
          <w:szCs w:val="21"/>
        </w:rPr>
      </w:pPr>
      <w:r>
        <w:rPr>
          <w:rFonts w:hint="eastAsia"/>
          <w:szCs w:val="21"/>
        </w:rPr>
        <w:t>2、该政府采购项目招标文件的澄清和修改内容（公告内容）；</w:t>
      </w:r>
    </w:p>
    <w:p>
      <w:pPr>
        <w:pStyle w:val="144"/>
        <w:spacing w:beforeLines="0" w:afterLines="0" w:line="440" w:lineRule="exact"/>
        <w:ind w:left="0" w:firstLine="420" w:firstLineChars="200"/>
        <w:rPr>
          <w:szCs w:val="21"/>
        </w:rPr>
      </w:pPr>
      <w:r>
        <w:rPr>
          <w:rFonts w:hint="eastAsia"/>
          <w:szCs w:val="21"/>
        </w:rPr>
        <w:t>3、该政府采购项目评审报告；</w:t>
      </w:r>
    </w:p>
    <w:p>
      <w:pPr>
        <w:pStyle w:val="144"/>
        <w:spacing w:beforeLines="0" w:afterLines="0" w:line="440" w:lineRule="exact"/>
        <w:ind w:left="0" w:firstLine="420" w:firstLineChars="200"/>
        <w:rPr>
          <w:szCs w:val="21"/>
        </w:rPr>
      </w:pPr>
      <w:r>
        <w:rPr>
          <w:rFonts w:hint="eastAsia"/>
          <w:szCs w:val="21"/>
        </w:rPr>
        <w:t>4、采购单位法人授权委托书（法人到场并签字的除外）；</w:t>
      </w:r>
    </w:p>
    <w:p>
      <w:pPr>
        <w:pStyle w:val="144"/>
        <w:spacing w:beforeLines="0" w:afterLines="0" w:line="440" w:lineRule="exact"/>
        <w:ind w:left="0" w:firstLine="420" w:firstLineChars="200"/>
        <w:rPr>
          <w:szCs w:val="21"/>
        </w:rPr>
      </w:pPr>
      <w:r>
        <w:rPr>
          <w:rFonts w:hint="eastAsia"/>
          <w:szCs w:val="21"/>
        </w:rPr>
        <w:t>5、采购单位被授权人身份证件（法人到场并签字的除外）；</w:t>
      </w:r>
    </w:p>
    <w:p>
      <w:pPr>
        <w:pStyle w:val="144"/>
        <w:spacing w:beforeLines="0" w:afterLines="0" w:line="440" w:lineRule="exact"/>
        <w:ind w:left="0" w:firstLine="420" w:firstLineChars="200"/>
        <w:rPr>
          <w:szCs w:val="21"/>
        </w:rPr>
      </w:pPr>
      <w:r>
        <w:rPr>
          <w:rFonts w:hint="eastAsia"/>
          <w:szCs w:val="21"/>
        </w:rPr>
        <w:t>6、采购人和中标供应商（或服务商，下同）约定的其它内容（不得超出招标采购文件实质性内容）。</w:t>
      </w:r>
    </w:p>
    <w:p>
      <w:pPr>
        <w:pStyle w:val="144"/>
        <w:spacing w:beforeLines="0" w:afterLines="0" w:line="440" w:lineRule="exact"/>
        <w:ind w:left="0" w:firstLine="420" w:firstLineChars="200"/>
        <w:rPr>
          <w:szCs w:val="21"/>
        </w:rPr>
      </w:pPr>
      <w:r>
        <w:rPr>
          <w:rFonts w:hint="eastAsia"/>
          <w:szCs w:val="21"/>
        </w:rPr>
        <w:t>二、供应商在签订合同时应提供的资料：</w:t>
      </w:r>
    </w:p>
    <w:p>
      <w:pPr>
        <w:pStyle w:val="144"/>
        <w:spacing w:beforeLines="0" w:afterLines="0" w:line="440" w:lineRule="exact"/>
        <w:ind w:left="0" w:firstLine="420" w:firstLineChars="200"/>
        <w:rPr>
          <w:szCs w:val="21"/>
        </w:rPr>
      </w:pPr>
      <w:r>
        <w:rPr>
          <w:rFonts w:hint="eastAsia"/>
          <w:szCs w:val="21"/>
        </w:rPr>
        <w:t>1、该政府采购项目的投标文件（纸质或DPF格式的电子投标文件）；</w:t>
      </w:r>
    </w:p>
    <w:p>
      <w:pPr>
        <w:pStyle w:val="144"/>
        <w:spacing w:beforeLines="0" w:afterLines="0" w:line="440" w:lineRule="exact"/>
        <w:ind w:left="0" w:firstLine="420" w:firstLineChars="200"/>
        <w:rPr>
          <w:szCs w:val="21"/>
        </w:rPr>
      </w:pPr>
      <w:r>
        <w:rPr>
          <w:rFonts w:hint="eastAsia"/>
          <w:szCs w:val="21"/>
        </w:rPr>
        <w:t>2、针对该项目评审时评审委员会提出的质询答复（纸质并签章）；</w:t>
      </w:r>
    </w:p>
    <w:p>
      <w:pPr>
        <w:pStyle w:val="144"/>
        <w:spacing w:beforeLines="0" w:afterLines="0" w:line="440" w:lineRule="exact"/>
        <w:ind w:left="0" w:firstLine="420" w:firstLineChars="200"/>
        <w:rPr>
          <w:szCs w:val="21"/>
        </w:rPr>
      </w:pPr>
      <w:r>
        <w:rPr>
          <w:rFonts w:hint="eastAsia"/>
          <w:szCs w:val="21"/>
        </w:rPr>
        <w:t>3、该政府采购项目中标通知书；</w:t>
      </w:r>
    </w:p>
    <w:p>
      <w:pPr>
        <w:pStyle w:val="144"/>
        <w:spacing w:beforeLines="0" w:afterLines="0" w:line="440" w:lineRule="exact"/>
        <w:ind w:left="0" w:firstLine="420" w:firstLineChars="200"/>
        <w:rPr>
          <w:szCs w:val="21"/>
        </w:rPr>
      </w:pPr>
      <w:r>
        <w:rPr>
          <w:rFonts w:hint="eastAsia"/>
          <w:szCs w:val="21"/>
        </w:rPr>
        <w:t>4、供应商法人授权委托书（法人到场并签字的除外）；</w:t>
      </w:r>
    </w:p>
    <w:p>
      <w:pPr>
        <w:pStyle w:val="144"/>
        <w:spacing w:beforeLines="0" w:afterLines="0" w:line="440" w:lineRule="exact"/>
        <w:ind w:left="0" w:firstLine="420" w:firstLineChars="200"/>
        <w:rPr>
          <w:szCs w:val="21"/>
        </w:rPr>
      </w:pPr>
      <w:r>
        <w:rPr>
          <w:rFonts w:hint="eastAsia"/>
          <w:szCs w:val="21"/>
        </w:rPr>
        <w:t>5、供应商被授权人身份证件（法人到场并签字的除外）；</w:t>
      </w:r>
    </w:p>
    <w:p>
      <w:pPr>
        <w:pStyle w:val="144"/>
        <w:spacing w:beforeLines="0" w:afterLines="0" w:line="440" w:lineRule="exact"/>
        <w:ind w:left="0" w:firstLine="420" w:firstLineChars="200"/>
        <w:rPr>
          <w:szCs w:val="21"/>
        </w:rPr>
      </w:pPr>
      <w:r>
        <w:rPr>
          <w:rFonts w:hint="eastAsia"/>
          <w:szCs w:val="21"/>
        </w:rPr>
        <w:t>6、供应商和采购人约定的其它内容（不得超出招标采购文件实质性内容）。</w:t>
      </w:r>
    </w:p>
    <w:p>
      <w:pPr>
        <w:pStyle w:val="144"/>
        <w:spacing w:beforeLines="0" w:afterLines="0" w:line="440" w:lineRule="exact"/>
        <w:ind w:left="0" w:firstLine="420" w:firstLineChars="200"/>
        <w:rPr>
          <w:sz w:val="30"/>
          <w:szCs w:val="30"/>
        </w:rPr>
      </w:pPr>
      <w:r>
        <w:rPr>
          <w:rFonts w:hint="eastAsia"/>
          <w:szCs w:val="21"/>
        </w:rPr>
        <w:t>三、本合同签订后二个工作日内有采购人在“周口市政府采购网”上进行合同公示。</w:t>
      </w:r>
    </w:p>
    <w:p>
      <w:pPr>
        <w:pStyle w:val="6"/>
        <w:jc w:val="center"/>
      </w:pPr>
      <w:bookmarkStart w:id="73" w:name="_Toc30000"/>
      <w:r>
        <w:rPr>
          <w:rFonts w:hint="eastAsia"/>
        </w:rPr>
        <w:t>供应商履约验收指引</w:t>
      </w:r>
      <w:bookmarkEnd w:id="73"/>
    </w:p>
    <w:p>
      <w:pPr>
        <w:pStyle w:val="144"/>
        <w:spacing w:beforeLines="0" w:afterLines="0" w:line="440" w:lineRule="exact"/>
        <w:ind w:left="0" w:firstLine="420" w:firstLineChars="200"/>
        <w:rPr>
          <w:szCs w:val="27"/>
        </w:rPr>
      </w:pPr>
      <w:r>
        <w:rPr>
          <w:rFonts w:hint="eastAsia" w:ascii="宋体"/>
          <w:szCs w:val="21"/>
        </w:rPr>
        <w:t>1、供应商不得擅自变更合同标的服务内容；</w:t>
      </w:r>
    </w:p>
    <w:p>
      <w:pPr>
        <w:pStyle w:val="144"/>
        <w:spacing w:beforeLines="0" w:afterLines="0" w:line="440" w:lineRule="exact"/>
        <w:ind w:left="0" w:firstLine="420" w:firstLineChars="200"/>
        <w:rPr>
          <w:rFonts w:ascii="宋体"/>
          <w:szCs w:val="21"/>
        </w:rPr>
      </w:pPr>
      <w:r>
        <w:rPr>
          <w:rFonts w:hint="eastAsia" w:ascii="宋体"/>
          <w:szCs w:val="21"/>
        </w:rPr>
        <w:t>2、不得以次充优，随意降低服务标准和水平；</w:t>
      </w:r>
    </w:p>
    <w:p>
      <w:pPr>
        <w:pStyle w:val="144"/>
        <w:spacing w:beforeLines="0" w:afterLines="0" w:line="440" w:lineRule="exact"/>
        <w:ind w:left="0" w:firstLine="420" w:firstLineChars="200"/>
        <w:rPr>
          <w:rFonts w:ascii="宋体"/>
          <w:szCs w:val="21"/>
        </w:rPr>
      </w:pPr>
      <w:r>
        <w:rPr>
          <w:rFonts w:hint="eastAsia" w:ascii="宋体"/>
          <w:szCs w:val="21"/>
        </w:rPr>
        <w:t>3、对因客观上采购人采购需求发生变化造成的，应提供采、供双方的纸质备忘录材料；</w:t>
      </w:r>
    </w:p>
    <w:p>
      <w:pPr>
        <w:pStyle w:val="144"/>
        <w:spacing w:beforeLines="0" w:afterLines="0" w:line="440" w:lineRule="exact"/>
        <w:ind w:left="0" w:firstLine="420" w:firstLineChars="200"/>
        <w:rPr>
          <w:szCs w:val="21"/>
        </w:rPr>
      </w:pPr>
      <w:r>
        <w:rPr>
          <w:rFonts w:hint="eastAsia"/>
          <w:szCs w:val="21"/>
        </w:rPr>
        <w:t>4、在满足验收条件5个工作日内通知采购人组织验收；</w:t>
      </w:r>
    </w:p>
    <w:p>
      <w:pPr>
        <w:pStyle w:val="144"/>
        <w:spacing w:beforeLines="0" w:afterLines="0" w:line="440" w:lineRule="exact"/>
        <w:ind w:left="0" w:firstLine="420" w:firstLineChars="200"/>
        <w:rPr>
          <w:rFonts w:ascii="宋体"/>
          <w:szCs w:val="21"/>
        </w:rPr>
      </w:pPr>
      <w:r>
        <w:rPr>
          <w:rFonts w:hint="eastAsia"/>
          <w:szCs w:val="21"/>
        </w:rPr>
        <w:t>5、</w:t>
      </w:r>
      <w:r>
        <w:rPr>
          <w:rFonts w:hint="eastAsia" w:ascii="宋体"/>
          <w:szCs w:val="21"/>
        </w:rPr>
        <w:t>供应商应提供需验收服务的清单、标准、达到的水平等量化资料；</w:t>
      </w:r>
    </w:p>
    <w:p>
      <w:pPr>
        <w:pStyle w:val="144"/>
        <w:spacing w:beforeLines="0" w:afterLines="0" w:line="440" w:lineRule="exact"/>
        <w:ind w:left="0" w:firstLine="420" w:firstLineChars="200"/>
        <w:rPr>
          <w:rFonts w:ascii="宋体"/>
          <w:szCs w:val="21"/>
        </w:rPr>
      </w:pPr>
      <w:r>
        <w:rPr>
          <w:rFonts w:hint="eastAsia" w:ascii="宋体"/>
          <w:szCs w:val="21"/>
        </w:rPr>
        <w:t>6、采、供双方约定的验收机构及相关人员组成情况。</w:t>
      </w:r>
    </w:p>
    <w:p>
      <w:pPr>
        <w:pStyle w:val="144"/>
        <w:spacing w:beforeLines="0" w:afterLines="0" w:line="440" w:lineRule="exact"/>
        <w:ind w:left="0" w:firstLine="420" w:firstLineChars="200"/>
        <w:rPr>
          <w:szCs w:val="21"/>
        </w:rPr>
      </w:pPr>
      <w:r>
        <w:rPr>
          <w:rFonts w:hint="eastAsia" w:ascii="宋体"/>
          <w:szCs w:val="21"/>
        </w:rPr>
        <w:t>7、督促采购人在项目验收结束并达到相关要求后一个工作日内，在</w:t>
      </w:r>
      <w:r>
        <w:rPr>
          <w:rFonts w:hint="eastAsia"/>
          <w:szCs w:val="21"/>
        </w:rPr>
        <w:t>“周口市政府采购网”上进行“履约验收”公示。</w:t>
      </w:r>
    </w:p>
    <w:p>
      <w:pPr>
        <w:pStyle w:val="144"/>
        <w:spacing w:beforeLines="0" w:afterLines="0" w:line="440" w:lineRule="exact"/>
        <w:ind w:left="0" w:firstLine="420" w:firstLineChars="200"/>
        <w:rPr>
          <w:szCs w:val="21"/>
        </w:rPr>
      </w:pPr>
    </w:p>
    <w:p>
      <w:pPr>
        <w:pStyle w:val="144"/>
        <w:spacing w:beforeLines="0" w:afterLines="0" w:line="60" w:lineRule="auto"/>
        <w:ind w:left="0" w:firstLine="420" w:firstLineChars="200"/>
        <w:rPr>
          <w:szCs w:val="21"/>
        </w:rPr>
      </w:pPr>
    </w:p>
    <w:p>
      <w:pPr>
        <w:pStyle w:val="6"/>
        <w:jc w:val="center"/>
      </w:pPr>
      <w:bookmarkStart w:id="74" w:name="_Toc9625"/>
      <w:bookmarkStart w:id="75" w:name="_Toc20858"/>
      <w:r>
        <w:rPr>
          <w:rFonts w:hint="eastAsia"/>
        </w:rPr>
        <w:t>合同内容</w:t>
      </w:r>
      <w:bookmarkEnd w:id="74"/>
      <w:bookmarkEnd w:id="75"/>
    </w:p>
    <w:p>
      <w:pPr>
        <w:ind w:firstLine="420" w:firstLineChars="200"/>
        <w:rPr>
          <w:rFonts w:eastAsia="黑体"/>
        </w:rPr>
      </w:pPr>
    </w:p>
    <w:p>
      <w:pPr>
        <w:spacing w:line="460" w:lineRule="exact"/>
        <w:jc w:val="center"/>
        <w:rPr>
          <w:rFonts w:ascii="黑体" w:hAnsi="黑体" w:eastAsia="黑体"/>
          <w:sz w:val="32"/>
          <w:szCs w:val="32"/>
        </w:rPr>
      </w:pPr>
      <w:bookmarkStart w:id="76" w:name="_Toc427566452"/>
      <w:bookmarkStart w:id="77" w:name="_Toc351203494"/>
      <w:bookmarkStart w:id="78" w:name="_Toc428024701"/>
      <w:r>
        <w:rPr>
          <w:rFonts w:hint="eastAsia" w:ascii="黑体" w:hAnsi="黑体" w:eastAsia="黑体"/>
          <w:sz w:val="32"/>
          <w:szCs w:val="32"/>
        </w:rPr>
        <w:t>第一部分协议书</w:t>
      </w:r>
    </w:p>
    <w:p>
      <w:pPr>
        <w:spacing w:line="460" w:lineRule="exact"/>
        <w:ind w:firstLine="803" w:firstLineChars="200"/>
        <w:rPr>
          <w:b/>
          <w:sz w:val="40"/>
          <w:szCs w:val="32"/>
        </w:rPr>
      </w:pPr>
    </w:p>
    <w:p>
      <w:pPr>
        <w:spacing w:line="460" w:lineRule="exact"/>
        <w:ind w:firstLine="420" w:firstLineChars="200"/>
      </w:pPr>
      <w:r>
        <w:rPr>
          <w:rFonts w:hint="eastAsia"/>
        </w:rPr>
        <w:t>发包人（全称）：</w:t>
      </w:r>
    </w:p>
    <w:p>
      <w:pPr>
        <w:spacing w:line="460" w:lineRule="exact"/>
        <w:ind w:firstLine="420" w:firstLineChars="200"/>
      </w:pPr>
      <w:r>
        <w:rPr>
          <w:rFonts w:hint="eastAsia"/>
        </w:rPr>
        <w:t>承包人（全称）：</w:t>
      </w:r>
    </w:p>
    <w:p>
      <w:pPr>
        <w:spacing w:line="460" w:lineRule="exact"/>
        <w:ind w:firstLine="420" w:firstLineChars="200"/>
      </w:pPr>
      <w:r>
        <w:rPr>
          <w:rFonts w:hint="eastAsia"/>
        </w:rPr>
        <w:t>依照《中华人民共和国</w:t>
      </w:r>
      <w:r>
        <w:rPr>
          <w:rFonts w:hint="eastAsia"/>
          <w:lang w:val="en-US" w:eastAsia="zh-CN"/>
        </w:rPr>
        <w:t>民法典</w:t>
      </w:r>
      <w:r>
        <w:rPr>
          <w:rFonts w:hint="eastAsia"/>
        </w:rPr>
        <w:t>》、《中华人民共和国采购法》《中华人民共和国招标投标法》《中华人民共和国建筑法》及其他有关法律、行政法规，遵循平等、自愿、公平和诚实信用的原则，双方就本建设工程施工事项协商一致，订立本合同。</w:t>
      </w:r>
    </w:p>
    <w:p>
      <w:pPr>
        <w:ind w:firstLine="422" w:firstLineChars="200"/>
        <w:rPr>
          <w:b/>
        </w:rPr>
      </w:pPr>
      <w:r>
        <w:rPr>
          <w:rFonts w:hint="eastAsia"/>
          <w:b/>
        </w:rPr>
        <w:t>一、工程概况</w:t>
      </w:r>
    </w:p>
    <w:p>
      <w:pPr>
        <w:spacing w:line="460" w:lineRule="exact"/>
        <w:ind w:firstLine="420" w:firstLineChars="200"/>
      </w:pPr>
      <w:r>
        <w:rPr>
          <w:rFonts w:hint="eastAsia"/>
        </w:rPr>
        <w:t>工程名称：</w:t>
      </w:r>
    </w:p>
    <w:p>
      <w:pPr>
        <w:ind w:firstLine="420" w:firstLineChars="200"/>
        <w:rPr>
          <w:rFonts w:ascii="仿宋_GB2312" w:hAnsi="黑体" w:eastAsia="仿宋_GB2312"/>
        </w:rPr>
      </w:pPr>
      <w:r>
        <w:rPr>
          <w:rFonts w:hint="eastAsia"/>
        </w:rPr>
        <w:t>工程地点：</w:t>
      </w:r>
    </w:p>
    <w:p>
      <w:pPr>
        <w:spacing w:line="460" w:lineRule="exact"/>
        <w:ind w:firstLine="420" w:firstLineChars="200"/>
      </w:pPr>
      <w:r>
        <w:rPr>
          <w:rFonts w:hint="eastAsia"/>
        </w:rPr>
        <w:t>工程内容：</w:t>
      </w:r>
    </w:p>
    <w:p>
      <w:pPr>
        <w:spacing w:line="460" w:lineRule="exact"/>
        <w:ind w:firstLine="420" w:firstLineChars="200"/>
      </w:pPr>
      <w:r>
        <w:rPr>
          <w:rFonts w:hint="eastAsia"/>
        </w:rPr>
        <w:t>工程立项批准文号：</w:t>
      </w:r>
    </w:p>
    <w:p>
      <w:pPr>
        <w:spacing w:line="460" w:lineRule="exact"/>
        <w:ind w:firstLine="420" w:firstLineChars="200"/>
      </w:pPr>
      <w:r>
        <w:rPr>
          <w:rFonts w:hint="eastAsia"/>
        </w:rPr>
        <w:t>资金来源：</w:t>
      </w:r>
    </w:p>
    <w:p>
      <w:pPr>
        <w:ind w:firstLine="422" w:firstLineChars="200"/>
        <w:rPr>
          <w:b/>
        </w:rPr>
      </w:pPr>
      <w:r>
        <w:rPr>
          <w:rFonts w:hint="eastAsia"/>
          <w:b/>
        </w:rPr>
        <w:t>二、工程承包范围</w:t>
      </w:r>
    </w:p>
    <w:p>
      <w:pPr>
        <w:spacing w:line="460" w:lineRule="exact"/>
        <w:ind w:firstLine="420" w:firstLineChars="200"/>
        <w:rPr>
          <w:u w:val="single"/>
        </w:rPr>
      </w:pPr>
      <w:r>
        <w:rPr>
          <w:rFonts w:hint="eastAsia"/>
        </w:rPr>
        <w:t>承包范围：</w:t>
      </w:r>
      <w:r>
        <w:rPr>
          <w:rFonts w:hint="eastAsia"/>
          <w:u w:val="single"/>
        </w:rPr>
        <w:t>工程量清单中包含的所有内容</w:t>
      </w:r>
    </w:p>
    <w:p>
      <w:pPr>
        <w:ind w:firstLine="422" w:firstLineChars="200"/>
        <w:rPr>
          <w:b/>
        </w:rPr>
      </w:pPr>
      <w:r>
        <w:rPr>
          <w:rFonts w:hint="eastAsia"/>
          <w:b/>
        </w:rPr>
        <w:t>三、合同工期</w:t>
      </w:r>
    </w:p>
    <w:p>
      <w:pPr>
        <w:spacing w:line="460" w:lineRule="exact"/>
        <w:ind w:firstLine="420" w:firstLineChars="200"/>
      </w:pPr>
      <w:r>
        <w:rPr>
          <w:rFonts w:hint="eastAsia"/>
        </w:rPr>
        <w:t>开工日期：年月日</w:t>
      </w:r>
    </w:p>
    <w:p>
      <w:pPr>
        <w:spacing w:line="460" w:lineRule="exact"/>
        <w:ind w:firstLine="420" w:firstLineChars="200"/>
      </w:pPr>
      <w:r>
        <w:rPr>
          <w:rFonts w:hint="eastAsia"/>
        </w:rPr>
        <w:t>竣工日期：年月日</w:t>
      </w:r>
    </w:p>
    <w:p>
      <w:pPr>
        <w:spacing w:line="460" w:lineRule="exact"/>
        <w:ind w:firstLine="420" w:firstLineChars="200"/>
      </w:pPr>
      <w:r>
        <w:rPr>
          <w:rFonts w:hint="eastAsia"/>
        </w:rPr>
        <w:t>合同工期总日历天数：</w:t>
      </w:r>
      <w:r>
        <w:rPr>
          <w:rFonts w:hint="eastAsia"/>
          <w:u w:val="single"/>
        </w:rPr>
        <w:t>日历</w:t>
      </w:r>
      <w:r>
        <w:rPr>
          <w:rFonts w:hint="eastAsia"/>
        </w:rPr>
        <w:t>天（有效工期）</w:t>
      </w:r>
    </w:p>
    <w:p>
      <w:pPr>
        <w:ind w:firstLine="422" w:firstLineChars="200"/>
        <w:rPr>
          <w:b/>
        </w:rPr>
      </w:pPr>
      <w:r>
        <w:rPr>
          <w:rFonts w:hint="eastAsia"/>
          <w:b/>
        </w:rPr>
        <w:t>四、质量标准</w:t>
      </w:r>
    </w:p>
    <w:p>
      <w:pPr>
        <w:spacing w:line="460" w:lineRule="exact"/>
        <w:ind w:firstLine="420" w:firstLineChars="200"/>
      </w:pPr>
      <w:r>
        <w:rPr>
          <w:rFonts w:hint="eastAsia"/>
        </w:rPr>
        <w:t>工程质量标准：</w:t>
      </w:r>
      <w:r>
        <w:rPr>
          <w:rFonts w:hint="eastAsia"/>
          <w:u w:val="single"/>
        </w:rPr>
        <w:t>合格</w:t>
      </w:r>
    </w:p>
    <w:p>
      <w:pPr>
        <w:ind w:firstLine="422" w:firstLineChars="200"/>
        <w:rPr>
          <w:b/>
        </w:rPr>
      </w:pPr>
      <w:r>
        <w:rPr>
          <w:rFonts w:hint="eastAsia"/>
          <w:b/>
        </w:rPr>
        <w:t>五、合同价款</w:t>
      </w:r>
    </w:p>
    <w:p>
      <w:pPr>
        <w:spacing w:line="460" w:lineRule="exact"/>
        <w:ind w:firstLine="420" w:firstLineChars="200"/>
        <w:rPr>
          <w:u w:val="single"/>
        </w:rPr>
      </w:pPr>
      <w:r>
        <w:rPr>
          <w:rFonts w:hint="eastAsia"/>
        </w:rPr>
        <w:t xml:space="preserve">金额（大写）：(人民币)  </w:t>
      </w:r>
    </w:p>
    <w:p>
      <w:pPr>
        <w:spacing w:line="460" w:lineRule="exact"/>
        <w:ind w:firstLine="420" w:firstLineChars="200"/>
      </w:pPr>
      <w:r>
        <w:rPr>
          <w:rFonts w:hint="eastAsia" w:ascii="宋体" w:hAnsi="宋体"/>
        </w:rPr>
        <w:t xml:space="preserve"> ￥：</w:t>
      </w:r>
      <w:r>
        <w:rPr>
          <w:rFonts w:hint="eastAsia"/>
        </w:rPr>
        <w:t xml:space="preserve">元(人民币)  </w:t>
      </w:r>
    </w:p>
    <w:p>
      <w:pPr>
        <w:ind w:firstLine="422" w:firstLineChars="200"/>
        <w:rPr>
          <w:b/>
        </w:rPr>
      </w:pPr>
      <w:r>
        <w:rPr>
          <w:rFonts w:hint="eastAsia"/>
          <w:b/>
        </w:rPr>
        <w:t>六、组成合同的文件</w:t>
      </w:r>
    </w:p>
    <w:p>
      <w:pPr>
        <w:spacing w:line="460" w:lineRule="exact"/>
        <w:ind w:firstLine="420" w:firstLineChars="200"/>
        <w:rPr>
          <w:rFonts w:ascii="宋体" w:hAnsi="宋体"/>
        </w:rPr>
      </w:pPr>
      <w:r>
        <w:rPr>
          <w:rFonts w:hint="eastAsia" w:ascii="宋体" w:hAnsi="宋体"/>
        </w:rPr>
        <w:t>组成本合同的文件包括：</w:t>
      </w:r>
    </w:p>
    <w:p>
      <w:pPr>
        <w:spacing w:line="460" w:lineRule="exact"/>
        <w:ind w:firstLine="420" w:firstLineChars="200"/>
        <w:rPr>
          <w:rFonts w:ascii="宋体" w:hAnsi="宋体"/>
        </w:rPr>
      </w:pPr>
      <w:r>
        <w:rPr>
          <w:rFonts w:hint="eastAsia" w:ascii="宋体" w:hAnsi="宋体"/>
        </w:rPr>
        <w:t>1.本合同协议书</w:t>
      </w:r>
    </w:p>
    <w:p>
      <w:pPr>
        <w:spacing w:line="460" w:lineRule="exact"/>
        <w:ind w:firstLine="420" w:firstLineChars="200"/>
      </w:pPr>
      <w:r>
        <w:rPr>
          <w:rFonts w:hint="eastAsia"/>
        </w:rPr>
        <w:t>2</w:t>
      </w:r>
      <w:r>
        <w:rPr>
          <w:rFonts w:hint="eastAsia" w:ascii="宋体" w:hAnsi="宋体"/>
        </w:rPr>
        <w:t>.</w:t>
      </w:r>
      <w:r>
        <w:rPr>
          <w:rFonts w:hint="eastAsia"/>
        </w:rPr>
        <w:t>中标通知书</w:t>
      </w:r>
    </w:p>
    <w:p>
      <w:pPr>
        <w:spacing w:line="460" w:lineRule="exact"/>
        <w:ind w:firstLine="420" w:firstLineChars="200"/>
      </w:pPr>
      <w:r>
        <w:rPr>
          <w:rFonts w:hint="eastAsia"/>
        </w:rPr>
        <w:t>3</w:t>
      </w:r>
      <w:r>
        <w:rPr>
          <w:rFonts w:hint="eastAsia" w:ascii="宋体" w:hAnsi="宋体"/>
        </w:rPr>
        <w:t>.</w:t>
      </w:r>
      <w:r>
        <w:rPr>
          <w:rFonts w:hint="eastAsia"/>
        </w:rPr>
        <w:t>投标书及其附件</w:t>
      </w:r>
    </w:p>
    <w:p>
      <w:pPr>
        <w:spacing w:line="460" w:lineRule="exact"/>
        <w:ind w:firstLine="420" w:firstLineChars="200"/>
      </w:pPr>
      <w:r>
        <w:rPr>
          <w:rFonts w:hint="eastAsia"/>
        </w:rPr>
        <w:t>4</w:t>
      </w:r>
      <w:r>
        <w:rPr>
          <w:rFonts w:hint="eastAsia" w:ascii="宋体" w:hAnsi="宋体"/>
        </w:rPr>
        <w:t>.</w:t>
      </w:r>
      <w:r>
        <w:rPr>
          <w:rFonts w:hint="eastAsia"/>
        </w:rPr>
        <w:t>本合同专用条款</w:t>
      </w:r>
    </w:p>
    <w:p>
      <w:pPr>
        <w:spacing w:line="460" w:lineRule="exact"/>
        <w:ind w:firstLine="420" w:firstLineChars="200"/>
      </w:pPr>
      <w:r>
        <w:rPr>
          <w:rFonts w:hint="eastAsia"/>
        </w:rPr>
        <w:t>5</w:t>
      </w:r>
      <w:r>
        <w:rPr>
          <w:rFonts w:hint="eastAsia" w:ascii="宋体" w:hAnsi="宋体"/>
        </w:rPr>
        <w:t>.</w:t>
      </w:r>
      <w:r>
        <w:rPr>
          <w:rFonts w:hint="eastAsia"/>
        </w:rPr>
        <w:t>本合同通用条款</w:t>
      </w:r>
    </w:p>
    <w:p>
      <w:pPr>
        <w:tabs>
          <w:tab w:val="left" w:pos="6345"/>
        </w:tabs>
        <w:spacing w:line="460" w:lineRule="exact"/>
        <w:ind w:firstLine="420" w:firstLineChars="200"/>
      </w:pPr>
      <w:r>
        <w:rPr>
          <w:rFonts w:hint="eastAsia"/>
        </w:rPr>
        <w:t>6</w:t>
      </w:r>
      <w:r>
        <w:rPr>
          <w:rFonts w:hint="eastAsia" w:ascii="宋体" w:hAnsi="宋体"/>
        </w:rPr>
        <w:t>.</w:t>
      </w:r>
      <w:r>
        <w:rPr>
          <w:rFonts w:hint="eastAsia"/>
        </w:rPr>
        <w:t>标准、规范及有关技术文件</w:t>
      </w:r>
      <w:r>
        <w:tab/>
      </w:r>
    </w:p>
    <w:p>
      <w:pPr>
        <w:spacing w:line="460" w:lineRule="exact"/>
        <w:ind w:firstLine="420" w:firstLineChars="200"/>
      </w:pPr>
      <w:r>
        <w:rPr>
          <w:rFonts w:hint="eastAsia"/>
        </w:rPr>
        <w:t>7</w:t>
      </w:r>
      <w:r>
        <w:rPr>
          <w:rFonts w:hint="eastAsia" w:ascii="宋体" w:hAnsi="宋体"/>
        </w:rPr>
        <w:t>.</w:t>
      </w:r>
      <w:r>
        <w:rPr>
          <w:rFonts w:hint="eastAsia"/>
        </w:rPr>
        <w:t>图纸（含图纸会审纪要、路灯效果图及技术参数）</w:t>
      </w:r>
    </w:p>
    <w:p>
      <w:pPr>
        <w:spacing w:line="460" w:lineRule="exact"/>
        <w:ind w:firstLine="420" w:firstLineChars="200"/>
      </w:pPr>
      <w:r>
        <w:rPr>
          <w:rFonts w:hint="eastAsia"/>
        </w:rPr>
        <w:t>8</w:t>
      </w:r>
      <w:r>
        <w:rPr>
          <w:rFonts w:hint="eastAsia" w:ascii="宋体" w:hAnsi="宋体"/>
        </w:rPr>
        <w:t>.</w:t>
      </w:r>
      <w:r>
        <w:rPr>
          <w:rFonts w:hint="eastAsia"/>
        </w:rPr>
        <w:t>工程量清单</w:t>
      </w:r>
    </w:p>
    <w:p>
      <w:pPr>
        <w:spacing w:line="460" w:lineRule="exact"/>
        <w:ind w:firstLine="420" w:firstLineChars="200"/>
      </w:pPr>
      <w:r>
        <w:rPr>
          <w:rFonts w:hint="eastAsia"/>
        </w:rPr>
        <w:t>9</w:t>
      </w:r>
      <w:r>
        <w:rPr>
          <w:rFonts w:hint="eastAsia" w:ascii="宋体" w:hAnsi="宋体"/>
        </w:rPr>
        <w:t>.</w:t>
      </w:r>
      <w:r>
        <w:rPr>
          <w:rFonts w:hint="eastAsia"/>
        </w:rPr>
        <w:t>工程报价单或预算书</w:t>
      </w:r>
    </w:p>
    <w:p>
      <w:pPr>
        <w:spacing w:line="460" w:lineRule="exact"/>
        <w:ind w:firstLine="420" w:firstLineChars="200"/>
      </w:pPr>
      <w:r>
        <w:rPr>
          <w:rFonts w:hint="eastAsia"/>
        </w:rPr>
        <w:t>双方有关工程的洽商、变更等书面协议或文件视为本合同的组成部分。</w:t>
      </w:r>
    </w:p>
    <w:p>
      <w:pPr>
        <w:spacing w:line="460" w:lineRule="exact"/>
        <w:ind w:firstLine="422" w:firstLineChars="200"/>
        <w:rPr>
          <w:b/>
        </w:rPr>
      </w:pPr>
      <w:r>
        <w:rPr>
          <w:rFonts w:hint="eastAsia"/>
          <w:b/>
        </w:rPr>
        <w:t>七、本协议书中有关词语含义与本合同第二部分《通用条款》中分别赋予它们的定义相同。</w:t>
      </w:r>
    </w:p>
    <w:p>
      <w:pPr>
        <w:spacing w:line="460" w:lineRule="exact"/>
        <w:ind w:firstLine="422" w:firstLineChars="200"/>
        <w:rPr>
          <w:b/>
        </w:rPr>
      </w:pPr>
      <w:r>
        <w:rPr>
          <w:rFonts w:hint="eastAsia"/>
          <w:b/>
        </w:rPr>
        <w:t>八、承包人向发包人承诺按照合同约定进行施工、竣工并在质量保修期内承担工程质量保修责任。</w:t>
      </w:r>
    </w:p>
    <w:p>
      <w:pPr>
        <w:spacing w:line="460" w:lineRule="exact"/>
        <w:ind w:firstLine="422" w:firstLineChars="200"/>
        <w:rPr>
          <w:b/>
        </w:rPr>
      </w:pPr>
      <w:r>
        <w:rPr>
          <w:rFonts w:hint="eastAsia"/>
          <w:b/>
        </w:rPr>
        <w:t>九、发包人向承包人承诺按照合同约定的期限和支付方式支付合同价款及其他应当支付的款项。</w:t>
      </w:r>
    </w:p>
    <w:p>
      <w:pPr>
        <w:spacing w:line="460" w:lineRule="exact"/>
        <w:ind w:firstLine="422" w:firstLineChars="200"/>
        <w:rPr>
          <w:b/>
        </w:rPr>
      </w:pPr>
      <w:r>
        <w:rPr>
          <w:rFonts w:hint="eastAsia"/>
          <w:b/>
        </w:rPr>
        <w:t>十、合同生效</w:t>
      </w:r>
    </w:p>
    <w:p>
      <w:pPr>
        <w:spacing w:line="460" w:lineRule="exact"/>
        <w:ind w:firstLine="420" w:firstLineChars="200"/>
      </w:pPr>
      <w:r>
        <w:rPr>
          <w:rFonts w:hint="eastAsia"/>
        </w:rPr>
        <w:t>合同订立时间：年月日</w:t>
      </w:r>
    </w:p>
    <w:p>
      <w:pPr>
        <w:spacing w:line="460" w:lineRule="exact"/>
        <w:ind w:firstLine="420" w:firstLineChars="200"/>
      </w:pPr>
      <w:r>
        <w:rPr>
          <w:rFonts w:hint="eastAsia"/>
        </w:rPr>
        <w:t>合同订立地点：</w:t>
      </w:r>
    </w:p>
    <w:p>
      <w:pPr>
        <w:spacing w:line="460" w:lineRule="exact"/>
        <w:ind w:firstLine="420" w:firstLineChars="200"/>
      </w:pPr>
      <w:r>
        <w:rPr>
          <w:rFonts w:hint="eastAsia"/>
        </w:rPr>
        <w:t>本合同双方约定：</w:t>
      </w:r>
      <w:r>
        <w:rPr>
          <w:rFonts w:hint="eastAsia"/>
          <w:u w:val="single"/>
        </w:rPr>
        <w:t>双方签字盖章后生效</w:t>
      </w:r>
    </w:p>
    <w:p>
      <w:pPr>
        <w:spacing w:line="460" w:lineRule="exact"/>
        <w:ind w:firstLine="420" w:firstLineChars="200"/>
      </w:pPr>
      <w:r>
        <w:rPr>
          <w:rFonts w:hint="eastAsia"/>
        </w:rPr>
        <w:t>发包人：（公章）承包人：（公章）</w:t>
      </w:r>
    </w:p>
    <w:p>
      <w:pPr>
        <w:spacing w:line="460" w:lineRule="exact"/>
        <w:ind w:firstLine="420" w:firstLineChars="200"/>
      </w:pPr>
      <w:r>
        <w:rPr>
          <w:rFonts w:hint="eastAsia"/>
        </w:rPr>
        <w:t>住所：住所：</w:t>
      </w:r>
    </w:p>
    <w:p>
      <w:pPr>
        <w:spacing w:line="460" w:lineRule="exact"/>
        <w:ind w:firstLine="420" w:firstLineChars="200"/>
      </w:pPr>
      <w:r>
        <w:rPr>
          <w:rFonts w:hint="eastAsia"/>
        </w:rPr>
        <w:t>法定代表人：法定代表人：</w:t>
      </w:r>
    </w:p>
    <w:p>
      <w:pPr>
        <w:spacing w:line="460" w:lineRule="exact"/>
        <w:ind w:firstLine="420" w:firstLineChars="200"/>
      </w:pPr>
      <w:r>
        <w:rPr>
          <w:rFonts w:hint="eastAsia"/>
        </w:rPr>
        <w:t>委托代理人：委托代理人：</w:t>
      </w:r>
    </w:p>
    <w:p>
      <w:pPr>
        <w:spacing w:line="460" w:lineRule="exact"/>
        <w:ind w:firstLine="420" w:firstLineChars="200"/>
      </w:pPr>
      <w:r>
        <w:rPr>
          <w:rFonts w:hint="eastAsia"/>
        </w:rPr>
        <w:t>电话：电话：</w:t>
      </w:r>
    </w:p>
    <w:p>
      <w:pPr>
        <w:spacing w:line="460" w:lineRule="exact"/>
        <w:ind w:firstLine="420" w:firstLineChars="200"/>
      </w:pPr>
      <w:r>
        <w:rPr>
          <w:rFonts w:hint="eastAsia"/>
        </w:rPr>
        <w:t>传真：传真：</w:t>
      </w:r>
    </w:p>
    <w:p>
      <w:pPr>
        <w:spacing w:line="460" w:lineRule="exact"/>
        <w:ind w:firstLine="420" w:firstLineChars="200"/>
      </w:pPr>
      <w:r>
        <w:rPr>
          <w:rFonts w:hint="eastAsia"/>
        </w:rPr>
        <w:t>开户银行：开户银行：</w:t>
      </w:r>
    </w:p>
    <w:p>
      <w:pPr>
        <w:spacing w:line="460" w:lineRule="exact"/>
        <w:ind w:firstLine="420" w:firstLineChars="200"/>
      </w:pPr>
      <w:r>
        <w:rPr>
          <w:rFonts w:hint="eastAsia"/>
        </w:rPr>
        <w:t>账号：账号：</w:t>
      </w:r>
    </w:p>
    <w:p>
      <w:pPr>
        <w:spacing w:line="460" w:lineRule="exact"/>
        <w:ind w:firstLine="420" w:firstLineChars="200"/>
        <w:rPr>
          <w:rFonts w:ascii="黑体" w:eastAsia="黑体"/>
        </w:rPr>
      </w:pPr>
      <w:r>
        <w:rPr>
          <w:rFonts w:hint="eastAsia"/>
        </w:rPr>
        <w:t>邮政编码：邮政编码：</w:t>
      </w:r>
    </w:p>
    <w:p>
      <w:pPr>
        <w:pStyle w:val="7"/>
        <w:ind w:firstLine="482" w:firstLineChars="200"/>
        <w:rPr>
          <w:rFonts w:ascii="黑体" w:eastAsia="黑体"/>
          <w:szCs w:val="24"/>
        </w:rPr>
      </w:pPr>
    </w:p>
    <w:p>
      <w:pPr>
        <w:pStyle w:val="6"/>
        <w:jc w:val="center"/>
      </w:pPr>
      <w:bookmarkStart w:id="79" w:name="_Toc9299"/>
      <w:bookmarkStart w:id="80" w:name="_Toc11508"/>
      <w:r>
        <w:rPr>
          <w:rFonts w:hint="eastAsia"/>
        </w:rPr>
        <w:t>第二部分 通用合同条款</w:t>
      </w:r>
      <w:bookmarkEnd w:id="76"/>
      <w:bookmarkEnd w:id="77"/>
      <w:bookmarkEnd w:id="78"/>
      <w:bookmarkEnd w:id="79"/>
      <w:bookmarkEnd w:id="80"/>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137"/>
        <w:spacing w:before="0" w:beforeAutospacing="0" w:after="0" w:afterAutospacing="0" w:line="360" w:lineRule="auto"/>
        <w:ind w:firstLine="120" w:firstLineChars="50"/>
        <w:jc w:val="both"/>
        <w:rPr>
          <w:rFonts w:hint="default"/>
        </w:rPr>
      </w:pPr>
    </w:p>
    <w:p>
      <w:pPr>
        <w:pStyle w:val="137"/>
        <w:spacing w:before="0" w:beforeAutospacing="0" w:after="0" w:afterAutospacing="0" w:line="360" w:lineRule="auto"/>
        <w:ind w:firstLine="480" w:firstLineChars="200"/>
        <w:jc w:val="both"/>
        <w:rPr>
          <w:rFonts w:hint="default"/>
        </w:rPr>
      </w:pPr>
      <w:r>
        <w:t>参见建设工程施工合同</w:t>
      </w:r>
    </w:p>
    <w:p>
      <w:pPr>
        <w:pStyle w:val="137"/>
        <w:spacing w:before="0" w:beforeAutospacing="0" w:after="0" w:afterAutospacing="0" w:line="360" w:lineRule="auto"/>
        <w:ind w:firstLine="480" w:firstLineChars="200"/>
        <w:jc w:val="both"/>
        <w:rPr>
          <w:rFonts w:hint="default"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pPr>
        <w:pStyle w:val="137"/>
        <w:spacing w:before="0" w:beforeAutospacing="0" w:after="0" w:afterAutospacing="0" w:line="360" w:lineRule="auto"/>
        <w:ind w:firstLine="480" w:firstLineChars="200"/>
        <w:jc w:val="both"/>
        <w:rPr>
          <w:rFonts w:hint="default"/>
        </w:rPr>
      </w:pPr>
      <w:r>
        <w:t>通用合同条款内容。</w:t>
      </w:r>
    </w:p>
    <w:p>
      <w:pPr>
        <w:spacing w:line="360" w:lineRule="auto"/>
        <w:rPr>
          <w:rFonts w:ascii="黑体" w:eastAsia="黑体"/>
        </w:rPr>
      </w:pPr>
    </w:p>
    <w:p>
      <w:pPr>
        <w:pStyle w:val="6"/>
      </w:pPr>
      <w:bookmarkStart w:id="81" w:name="_Toc3127"/>
      <w:bookmarkStart w:id="82" w:name="_Toc6554"/>
      <w:bookmarkStart w:id="83" w:name="_Toc427566453"/>
      <w:bookmarkStart w:id="84" w:name="_Toc428024702"/>
      <w:r>
        <w:rPr>
          <w:rFonts w:hint="eastAsia"/>
        </w:rPr>
        <w:t>第三部分 专用合同条款</w:t>
      </w:r>
      <w:bookmarkEnd w:id="81"/>
      <w:bookmarkEnd w:id="82"/>
      <w:bookmarkEnd w:id="83"/>
      <w:bookmarkEnd w:id="84"/>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rPr>
          <w:b/>
          <w:bCs/>
        </w:rPr>
      </w:pPr>
    </w:p>
    <w:p>
      <w:pPr>
        <w:spacing w:line="400" w:lineRule="exact"/>
        <w:ind w:firstLine="422" w:firstLineChars="200"/>
        <w:rPr>
          <w:b/>
        </w:rPr>
      </w:pPr>
      <w:r>
        <w:rPr>
          <w:rFonts w:hint="eastAsia"/>
          <w:b/>
        </w:rPr>
        <w:t>一、词语定义及合同文件</w:t>
      </w:r>
    </w:p>
    <w:p>
      <w:pPr>
        <w:spacing w:line="400" w:lineRule="exact"/>
        <w:ind w:firstLine="422" w:firstLineChars="200"/>
        <w:rPr>
          <w:b/>
        </w:rPr>
      </w:pPr>
      <w:r>
        <w:rPr>
          <w:rFonts w:hint="eastAsia"/>
          <w:b/>
        </w:rPr>
        <w:t>2. 合同文件及解释顺序</w:t>
      </w:r>
    </w:p>
    <w:p>
      <w:pPr>
        <w:spacing w:line="400" w:lineRule="exact"/>
        <w:ind w:firstLine="420" w:firstLineChars="200"/>
        <w:rPr>
          <w:u w:val="single"/>
        </w:rPr>
      </w:pPr>
      <w:r>
        <w:rPr>
          <w:rFonts w:hint="eastAsia"/>
        </w:rPr>
        <w:t>合同文件组成及解释顺序</w:t>
      </w:r>
      <w:r>
        <w:rPr>
          <w:rFonts w:hint="eastAsia"/>
          <w:u w:val="single"/>
        </w:rPr>
        <w:t>执行通用条款第2. 1、2.2条</w:t>
      </w:r>
    </w:p>
    <w:p>
      <w:pPr>
        <w:spacing w:line="400" w:lineRule="exact"/>
        <w:ind w:firstLine="422" w:firstLineChars="200"/>
        <w:rPr>
          <w:b/>
        </w:rPr>
      </w:pPr>
      <w:r>
        <w:rPr>
          <w:rFonts w:hint="eastAsia"/>
          <w:b/>
        </w:rPr>
        <w:t>3．语言文字和适用法律、标准及规范</w:t>
      </w:r>
    </w:p>
    <w:p>
      <w:pPr>
        <w:spacing w:line="400" w:lineRule="exact"/>
        <w:ind w:firstLine="420" w:firstLineChars="200"/>
      </w:pPr>
      <w:r>
        <w:rPr>
          <w:rFonts w:hint="eastAsia"/>
        </w:rPr>
        <w:t>3.1本合同除使用汉语外，还使用</w:t>
      </w:r>
      <w:r>
        <w:rPr>
          <w:rFonts w:hint="eastAsia" w:ascii="宋体" w:hAnsi="宋体"/>
          <w:u w:val="single"/>
        </w:rPr>
        <w:t>/</w:t>
      </w:r>
      <w:r>
        <w:rPr>
          <w:rFonts w:hint="eastAsia"/>
        </w:rPr>
        <w:t>语言文字。</w:t>
      </w:r>
    </w:p>
    <w:p>
      <w:pPr>
        <w:spacing w:line="400" w:lineRule="exact"/>
        <w:ind w:firstLine="420" w:firstLineChars="200"/>
      </w:pPr>
      <w:r>
        <w:rPr>
          <w:rFonts w:hint="eastAsia"/>
        </w:rPr>
        <w:t>3.2适用法律和法规</w:t>
      </w:r>
    </w:p>
    <w:p>
      <w:pPr>
        <w:spacing w:line="400" w:lineRule="exact"/>
        <w:ind w:firstLine="420" w:firstLineChars="200"/>
        <w:rPr>
          <w:u w:val="single"/>
        </w:rPr>
      </w:pPr>
      <w:r>
        <w:rPr>
          <w:rFonts w:hint="eastAsia"/>
        </w:rPr>
        <w:t>需要明示的法律、行政法规：</w:t>
      </w:r>
      <w:r>
        <w:rPr>
          <w:rFonts w:hint="eastAsia"/>
          <w:u w:val="single"/>
        </w:rPr>
        <w:t>现行的国家或地方有关市政工程的法律、法规。</w:t>
      </w:r>
    </w:p>
    <w:p>
      <w:pPr>
        <w:spacing w:line="400" w:lineRule="exact"/>
        <w:ind w:firstLine="420" w:firstLineChars="200"/>
      </w:pPr>
      <w:r>
        <w:rPr>
          <w:rFonts w:hint="eastAsia"/>
        </w:rPr>
        <w:t>3.3适用标准、规范</w:t>
      </w:r>
    </w:p>
    <w:p>
      <w:pPr>
        <w:spacing w:line="400" w:lineRule="exact"/>
        <w:ind w:firstLine="420" w:firstLineChars="200"/>
        <w:rPr>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20" w:firstLineChars="200"/>
        <w:rPr>
          <w:rFonts w:ascii="宋体" w:hAnsi="宋体"/>
          <w:u w:val="single"/>
        </w:rPr>
      </w:pPr>
      <w:r>
        <w:rPr>
          <w:rFonts w:hint="eastAsia"/>
        </w:rPr>
        <w:t>发包人提供标准、规范的时间：</w:t>
      </w:r>
      <w:r>
        <w:rPr>
          <w:rFonts w:hint="eastAsia" w:ascii="宋体" w:hAnsi="宋体"/>
          <w:u w:val="single"/>
        </w:rPr>
        <w:t>/</w:t>
      </w:r>
    </w:p>
    <w:p>
      <w:pPr>
        <w:spacing w:line="400" w:lineRule="exact"/>
        <w:ind w:firstLine="420" w:firstLineChars="200"/>
        <w:rPr>
          <w:rFonts w:ascii="宋体" w:hAnsi="宋体"/>
          <w:u w:val="single"/>
        </w:rPr>
      </w:pPr>
      <w:r>
        <w:rPr>
          <w:rFonts w:hint="eastAsia"/>
        </w:rPr>
        <w:t>国内没有相应标准、规范时的约定：</w:t>
      </w:r>
      <w:r>
        <w:rPr>
          <w:rFonts w:hint="eastAsia" w:ascii="宋体" w:hAnsi="宋体"/>
          <w:u w:val="single"/>
        </w:rPr>
        <w:t>由发包人拟派工程师解决。</w:t>
      </w:r>
    </w:p>
    <w:p>
      <w:pPr>
        <w:spacing w:line="400" w:lineRule="exact"/>
        <w:ind w:firstLine="422" w:firstLineChars="200"/>
        <w:rPr>
          <w:b/>
        </w:rPr>
      </w:pPr>
      <w:r>
        <w:rPr>
          <w:rFonts w:hint="eastAsia"/>
          <w:b/>
        </w:rPr>
        <w:t>4.图纸</w:t>
      </w:r>
    </w:p>
    <w:p>
      <w:pPr>
        <w:spacing w:line="400" w:lineRule="exact"/>
        <w:ind w:firstLine="420" w:firstLineChars="200"/>
        <w:rPr>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22" w:firstLineChars="200"/>
        <w:rPr>
          <w:b/>
        </w:rPr>
      </w:pPr>
      <w:r>
        <w:rPr>
          <w:rFonts w:hint="eastAsia"/>
          <w:b/>
        </w:rPr>
        <w:t>二、双方一般权利和义务</w:t>
      </w:r>
    </w:p>
    <w:p>
      <w:pPr>
        <w:spacing w:line="400" w:lineRule="exact"/>
        <w:ind w:firstLine="422" w:firstLineChars="200"/>
        <w:rPr>
          <w:b/>
        </w:rPr>
      </w:pPr>
      <w:r>
        <w:rPr>
          <w:rFonts w:hint="eastAsia"/>
          <w:b/>
        </w:rPr>
        <w:t>5.工程师</w:t>
      </w:r>
    </w:p>
    <w:p>
      <w:pPr>
        <w:spacing w:line="400" w:lineRule="exact"/>
        <w:ind w:firstLine="420" w:firstLineChars="200"/>
      </w:pPr>
      <w:r>
        <w:rPr>
          <w:rFonts w:hint="eastAsia"/>
        </w:rPr>
        <w:t>5.2监理单位委派的工程师</w:t>
      </w:r>
    </w:p>
    <w:p>
      <w:pPr>
        <w:spacing w:line="400" w:lineRule="exact"/>
        <w:ind w:firstLine="420" w:firstLineChars="200"/>
        <w:rPr>
          <w:u w:val="single"/>
        </w:rPr>
      </w:pPr>
      <w:r>
        <w:rPr>
          <w:rFonts w:hint="eastAsia"/>
        </w:rPr>
        <w:t>姓名：职务：</w:t>
      </w:r>
      <w:r>
        <w:rPr>
          <w:rFonts w:hint="eastAsia"/>
          <w:u w:val="single"/>
        </w:rPr>
        <w:t>总监理工程师</w:t>
      </w:r>
    </w:p>
    <w:p>
      <w:pPr>
        <w:spacing w:line="400" w:lineRule="exact"/>
        <w:ind w:firstLine="420" w:firstLineChars="200"/>
        <w:rPr>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20" w:firstLineChars="200"/>
        <w:rPr>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20" w:firstLineChars="200"/>
      </w:pPr>
      <w:r>
        <w:rPr>
          <w:rFonts w:hint="eastAsia"/>
        </w:rPr>
        <w:t>5.3发包人派驻的工程师</w:t>
      </w:r>
    </w:p>
    <w:p>
      <w:pPr>
        <w:spacing w:line="400" w:lineRule="exact"/>
        <w:ind w:firstLine="420" w:firstLineChars="200"/>
        <w:rPr>
          <w:u w:val="single"/>
        </w:rPr>
      </w:pPr>
      <w:r>
        <w:rPr>
          <w:rFonts w:hint="eastAsia"/>
        </w:rPr>
        <w:t>姓名：职务：</w:t>
      </w:r>
      <w:r>
        <w:rPr>
          <w:rFonts w:hint="eastAsia"/>
          <w:u w:val="single"/>
        </w:rPr>
        <w:t>工程师</w:t>
      </w:r>
    </w:p>
    <w:p>
      <w:pPr>
        <w:spacing w:line="400" w:lineRule="exact"/>
        <w:ind w:firstLine="420" w:firstLineChars="200"/>
        <w:rPr>
          <w:u w:val="single"/>
        </w:rPr>
      </w:pPr>
      <w:r>
        <w:rPr>
          <w:rFonts w:hint="eastAsia"/>
        </w:rPr>
        <w:t>职权：</w:t>
      </w:r>
      <w:r>
        <w:rPr>
          <w:rFonts w:hint="eastAsia"/>
          <w:u w:val="single"/>
        </w:rPr>
        <w:t>作为发包方代表处理与本工程建设相关的一切事宜。</w:t>
      </w:r>
    </w:p>
    <w:p>
      <w:pPr>
        <w:spacing w:line="400" w:lineRule="exact"/>
        <w:ind w:firstLine="420" w:firstLineChars="200"/>
        <w:rPr>
          <w:u w:val="single"/>
        </w:rPr>
      </w:pPr>
      <w:r>
        <w:rPr>
          <w:rFonts w:hint="eastAsia"/>
        </w:rPr>
        <w:t>5.6不实行监理的，工程师的职权：</w:t>
      </w:r>
      <w:r>
        <w:rPr>
          <w:rFonts w:hint="eastAsia" w:ascii="宋体" w:hAnsi="宋体"/>
          <w:u w:val="single"/>
        </w:rPr>
        <w:t xml:space="preserve">/    </w:t>
      </w:r>
    </w:p>
    <w:p>
      <w:pPr>
        <w:spacing w:line="400" w:lineRule="exact"/>
        <w:ind w:firstLine="422" w:firstLineChars="200"/>
        <w:rPr>
          <w:b/>
        </w:rPr>
      </w:pPr>
      <w:r>
        <w:rPr>
          <w:rFonts w:hint="eastAsia"/>
          <w:b/>
        </w:rPr>
        <w:t>6.项目经理</w:t>
      </w:r>
    </w:p>
    <w:p>
      <w:pPr>
        <w:spacing w:line="480" w:lineRule="exact"/>
        <w:ind w:firstLine="420" w:firstLineChars="200"/>
        <w:rPr>
          <w:u w:val="single"/>
        </w:rPr>
      </w:pPr>
      <w:r>
        <w:rPr>
          <w:rFonts w:hint="eastAsia"/>
        </w:rPr>
        <w:t>姓名：职务：</w:t>
      </w:r>
      <w:r>
        <w:rPr>
          <w:rFonts w:hint="eastAsia"/>
          <w:u w:val="single"/>
        </w:rPr>
        <w:t>项目经理</w:t>
      </w:r>
    </w:p>
    <w:p>
      <w:pPr>
        <w:spacing w:line="480" w:lineRule="exact"/>
        <w:ind w:firstLine="422" w:firstLineChars="200"/>
        <w:rPr>
          <w:b/>
        </w:rPr>
      </w:pPr>
      <w:r>
        <w:rPr>
          <w:rFonts w:hint="eastAsia"/>
          <w:b/>
        </w:rPr>
        <w:t>7.发包人工作</w:t>
      </w:r>
    </w:p>
    <w:p>
      <w:pPr>
        <w:spacing w:line="480" w:lineRule="exact"/>
        <w:ind w:firstLine="420" w:firstLineChars="200"/>
      </w:pPr>
      <w:r>
        <w:rPr>
          <w:rFonts w:hint="eastAsia"/>
        </w:rPr>
        <w:t>7.1发包人应按约定的时间和要求完成以下工作：</w:t>
      </w:r>
    </w:p>
    <w:p>
      <w:pPr>
        <w:spacing w:line="480" w:lineRule="exact"/>
        <w:ind w:firstLine="420" w:firstLineChars="200"/>
      </w:pPr>
      <w:r>
        <w:rPr>
          <w:rFonts w:hint="eastAsia"/>
        </w:rPr>
        <w:t>（1）施工场地具备施工条件的要求及完成的时间：</w:t>
      </w:r>
    </w:p>
    <w:p>
      <w:pPr>
        <w:spacing w:line="480" w:lineRule="exact"/>
        <w:ind w:firstLine="420" w:firstLineChars="200"/>
        <w:rPr>
          <w:u w:val="single"/>
        </w:rPr>
      </w:pPr>
      <w:r>
        <w:rPr>
          <w:rFonts w:hint="eastAsia"/>
          <w:u w:val="single"/>
        </w:rPr>
        <w:t>已具备开工条件</w:t>
      </w:r>
    </w:p>
    <w:p>
      <w:pPr>
        <w:spacing w:line="480" w:lineRule="exact"/>
        <w:ind w:firstLine="420" w:firstLineChars="200"/>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20" w:firstLineChars="200"/>
      </w:pPr>
      <w:r>
        <w:rPr>
          <w:rFonts w:hint="eastAsia"/>
        </w:rPr>
        <w:t>（3）施工场地与公共道路的开通时间和要求：</w:t>
      </w:r>
      <w:r>
        <w:rPr>
          <w:rFonts w:hint="eastAsia"/>
          <w:u w:val="single"/>
        </w:rPr>
        <w:t>已开通</w:t>
      </w:r>
    </w:p>
    <w:p>
      <w:pPr>
        <w:spacing w:line="480" w:lineRule="exact"/>
        <w:ind w:firstLine="420" w:firstLineChars="200"/>
        <w:rPr>
          <w:u w:val="single"/>
        </w:rPr>
      </w:pPr>
      <w:r>
        <w:rPr>
          <w:rFonts w:hint="eastAsia"/>
        </w:rPr>
        <w:t>（4）工程地质和地下管线资料的提供时间：</w:t>
      </w:r>
      <w:r>
        <w:rPr>
          <w:rFonts w:hint="eastAsia"/>
          <w:u w:val="single"/>
        </w:rPr>
        <w:t>开工前 天</w:t>
      </w:r>
    </w:p>
    <w:p>
      <w:pPr>
        <w:spacing w:line="480" w:lineRule="exact"/>
        <w:ind w:firstLine="420" w:firstLineChars="200"/>
      </w:pPr>
      <w:r>
        <w:rPr>
          <w:rFonts w:hint="eastAsia"/>
        </w:rPr>
        <w:t>（5）由发包人办理的施工所需证件、批件的名称和完成时间：</w:t>
      </w:r>
      <w:r>
        <w:rPr>
          <w:rFonts w:hint="eastAsia"/>
          <w:u w:val="single"/>
        </w:rPr>
        <w:t>开工前 天（因施工单位的原因导致所需证件不能及时办理的，施工单位不得因此要求顺延工期）</w:t>
      </w:r>
    </w:p>
    <w:p>
      <w:pPr>
        <w:spacing w:line="480" w:lineRule="exact"/>
        <w:ind w:firstLine="420" w:firstLineChars="200"/>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20" w:firstLineChars="200"/>
        <w:rPr>
          <w:u w:val="single"/>
        </w:rPr>
      </w:pPr>
      <w:r>
        <w:rPr>
          <w:rFonts w:hint="eastAsia"/>
        </w:rPr>
        <w:t>（7）图纸会审和设计交底时间：</w:t>
      </w:r>
      <w:r>
        <w:rPr>
          <w:rFonts w:hint="eastAsia"/>
          <w:u w:val="single"/>
        </w:rPr>
        <w:t>开工前 天</w:t>
      </w:r>
    </w:p>
    <w:p>
      <w:pPr>
        <w:spacing w:line="480" w:lineRule="exact"/>
        <w:ind w:firstLine="420" w:firstLineChars="200"/>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20" w:firstLineChars="200"/>
        <w:rPr>
          <w:u w:val="single"/>
        </w:rPr>
      </w:pPr>
      <w:r>
        <w:rPr>
          <w:rFonts w:hint="eastAsia"/>
        </w:rPr>
        <w:t>（9）双方约定发包人应做的其他工作：</w:t>
      </w:r>
      <w:r>
        <w:rPr>
          <w:rFonts w:hint="eastAsia"/>
          <w:u w:val="single"/>
        </w:rPr>
        <w:t>双方协商</w:t>
      </w:r>
    </w:p>
    <w:p>
      <w:pPr>
        <w:spacing w:line="480" w:lineRule="exact"/>
        <w:ind w:firstLine="420" w:firstLineChars="200"/>
        <w:rPr>
          <w:u w:val="single"/>
        </w:rPr>
      </w:pPr>
      <w:r>
        <w:rPr>
          <w:rFonts w:hint="eastAsia"/>
        </w:rPr>
        <w:t>7.2发包人委托承包人办理的工作：</w:t>
      </w:r>
      <w:r>
        <w:rPr>
          <w:rFonts w:hint="eastAsia"/>
          <w:u w:val="single"/>
        </w:rPr>
        <w:t>承包方协助发包方做好施工期间与周边关系的协调工作。</w:t>
      </w:r>
    </w:p>
    <w:p>
      <w:pPr>
        <w:spacing w:line="480" w:lineRule="exact"/>
        <w:ind w:firstLine="420" w:firstLineChars="200"/>
      </w:pPr>
      <w:r>
        <w:rPr>
          <w:rFonts w:hint="eastAsia"/>
        </w:rPr>
        <w:t>8.承包人工作</w:t>
      </w:r>
    </w:p>
    <w:p>
      <w:pPr>
        <w:spacing w:line="480" w:lineRule="exact"/>
        <w:ind w:firstLine="420" w:firstLineChars="200"/>
      </w:pPr>
      <w:r>
        <w:rPr>
          <w:rFonts w:hint="eastAsia"/>
        </w:rPr>
        <w:t>8.1承包人应按约定时间和要求，完成以下工作：</w:t>
      </w:r>
    </w:p>
    <w:p>
      <w:pPr>
        <w:spacing w:line="480" w:lineRule="exact"/>
        <w:ind w:firstLine="420" w:firstLineChars="200"/>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20" w:firstLineChars="200"/>
      </w:pPr>
      <w:r>
        <w:rPr>
          <w:rFonts w:hint="eastAsia"/>
        </w:rPr>
        <w:t>（2）应提供计划、报表的名称及完成时间：</w:t>
      </w:r>
      <w:r>
        <w:rPr>
          <w:rFonts w:hint="eastAsia"/>
          <w:u w:val="single"/>
        </w:rPr>
        <w:t>开工前 日提供正式总进度计划表、详细的分部工程施工计划、资金使用计划等一式三份，每月 日提供当月实际完成工程量，报当月签证、变更和下月施工计划表。以上计划必须经过监理工程师签字认可后报发包人。</w:t>
      </w:r>
    </w:p>
    <w:p>
      <w:pPr>
        <w:spacing w:line="480" w:lineRule="exact"/>
        <w:ind w:firstLine="420" w:firstLineChars="200"/>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20" w:firstLineChars="200"/>
        <w:rPr>
          <w:u w:val="single"/>
        </w:rPr>
      </w:pPr>
      <w:r>
        <w:rPr>
          <w:rFonts w:hint="eastAsia"/>
        </w:rPr>
        <w:t>（4）向发包人提供的办公和生活房屋及设施的要求：</w:t>
      </w:r>
      <w:r>
        <w:rPr>
          <w:rFonts w:hint="eastAsia"/>
          <w:u w:val="single"/>
        </w:rPr>
        <w:t>双方协商。</w:t>
      </w:r>
    </w:p>
    <w:p>
      <w:pPr>
        <w:spacing w:line="480" w:lineRule="exact"/>
        <w:ind w:firstLine="420" w:firstLineChars="200"/>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20" w:firstLineChars="200"/>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20" w:firstLineChars="200"/>
      </w:pPr>
      <w:r>
        <w:rPr>
          <w:rFonts w:hint="eastAsia"/>
        </w:rPr>
        <w:t>（7）施工场地周围地下管线和邻近建筑物、构筑物（含文物保护建筑）、古树名木的保护要求及费用承担：</w:t>
      </w:r>
    </w:p>
    <w:p>
      <w:pPr>
        <w:spacing w:line="480" w:lineRule="exact"/>
        <w:ind w:firstLine="420" w:firstLineChars="200"/>
      </w:pPr>
      <w:r>
        <w:rPr>
          <w:rFonts w:hint="eastAsia"/>
        </w:rPr>
        <w:t>（8）施工场地清洁卫生的要求：</w:t>
      </w:r>
    </w:p>
    <w:p>
      <w:pPr>
        <w:spacing w:line="480" w:lineRule="exact"/>
        <w:ind w:firstLine="420" w:firstLineChars="200"/>
      </w:pPr>
      <w:r>
        <w:rPr>
          <w:rFonts w:hint="eastAsia"/>
        </w:rPr>
        <w:t>（9）双方约定承包人应做的其他工作：</w:t>
      </w:r>
    </w:p>
    <w:p>
      <w:pPr>
        <w:ind w:firstLine="422" w:firstLineChars="200"/>
        <w:rPr>
          <w:b/>
        </w:rPr>
      </w:pPr>
      <w:r>
        <w:rPr>
          <w:rFonts w:hint="eastAsia"/>
          <w:b/>
        </w:rPr>
        <w:t>三、施工组织设计和工期</w:t>
      </w:r>
    </w:p>
    <w:p>
      <w:pPr>
        <w:spacing w:line="480" w:lineRule="exact"/>
        <w:ind w:firstLine="422" w:firstLineChars="200"/>
        <w:rPr>
          <w:b/>
          <w:color w:val="FFFFFF"/>
        </w:rPr>
      </w:pPr>
      <w:r>
        <w:rPr>
          <w:rFonts w:hint="eastAsia"/>
          <w:b/>
        </w:rPr>
        <w:t>9.进度计划</w:t>
      </w:r>
    </w:p>
    <w:p>
      <w:pPr>
        <w:spacing w:line="480" w:lineRule="exact"/>
        <w:ind w:firstLine="420" w:firstLineChars="200"/>
      </w:pPr>
      <w:r>
        <w:rPr>
          <w:rFonts w:hint="eastAsia"/>
        </w:rPr>
        <w:t>9.1承包人提供施工组织设计（施工方案）和进度计划的时间：</w:t>
      </w:r>
    </w:p>
    <w:p>
      <w:pPr>
        <w:spacing w:line="400" w:lineRule="exact"/>
        <w:ind w:firstLine="420" w:firstLineChars="200"/>
        <w:rPr>
          <w:u w:val="single"/>
        </w:rPr>
      </w:pPr>
      <w:r>
        <w:rPr>
          <w:rFonts w:hint="eastAsia"/>
          <w:u w:val="single"/>
        </w:rPr>
        <w:t>实施前 天提交施工组织设计（施工方案）和进度计划（含时标网络计划）</w:t>
      </w:r>
    </w:p>
    <w:p>
      <w:pPr>
        <w:spacing w:line="400" w:lineRule="exact"/>
        <w:ind w:firstLine="420" w:firstLineChars="200"/>
        <w:rPr>
          <w:u w:val="single"/>
        </w:rPr>
      </w:pPr>
      <w:r>
        <w:rPr>
          <w:rFonts w:hint="eastAsia"/>
        </w:rPr>
        <w:t>工程师确认的时间</w:t>
      </w:r>
      <w:r>
        <w:rPr>
          <w:rFonts w:hint="eastAsia"/>
          <w:u w:val="single"/>
        </w:rPr>
        <w:t>：收到后 个工作日</w:t>
      </w:r>
    </w:p>
    <w:p>
      <w:pPr>
        <w:spacing w:line="400" w:lineRule="exact"/>
        <w:ind w:firstLine="420" w:firstLineChars="200"/>
        <w:rPr>
          <w:u w:val="single"/>
        </w:rPr>
      </w:pPr>
      <w:r>
        <w:rPr>
          <w:rFonts w:hint="eastAsia"/>
        </w:rPr>
        <w:t>9.2群体工程中有关进度计划的要求：</w:t>
      </w:r>
      <w:r>
        <w:rPr>
          <w:rFonts w:hint="eastAsia"/>
          <w:u w:val="single"/>
        </w:rPr>
        <w:t>无</w:t>
      </w:r>
    </w:p>
    <w:p>
      <w:pPr>
        <w:spacing w:line="400" w:lineRule="exact"/>
        <w:ind w:firstLine="420" w:firstLineChars="200"/>
      </w:pPr>
      <w:r>
        <w:rPr>
          <w:rFonts w:hint="eastAsia"/>
        </w:rPr>
        <w:t>13.工期延误</w:t>
      </w:r>
    </w:p>
    <w:p>
      <w:pPr>
        <w:spacing w:line="400" w:lineRule="exact"/>
        <w:ind w:firstLine="420" w:firstLineChars="200"/>
      </w:pPr>
      <w:r>
        <w:rPr>
          <w:rFonts w:hint="eastAsia"/>
        </w:rPr>
        <w:t>13.1双方约定工期顺延的其他情况：</w:t>
      </w:r>
    </w:p>
    <w:p>
      <w:pPr>
        <w:spacing w:line="400" w:lineRule="exact"/>
        <w:ind w:firstLine="422" w:firstLineChars="200"/>
        <w:rPr>
          <w:b/>
        </w:rPr>
      </w:pPr>
      <w:r>
        <w:rPr>
          <w:rFonts w:hint="eastAsia"/>
          <w:b/>
        </w:rPr>
        <w:t>四、质量与验收</w:t>
      </w:r>
    </w:p>
    <w:p>
      <w:pPr>
        <w:spacing w:line="400" w:lineRule="exact"/>
        <w:ind w:firstLine="420" w:firstLineChars="200"/>
      </w:pPr>
      <w:r>
        <w:rPr>
          <w:rFonts w:hint="eastAsia"/>
        </w:rPr>
        <w:t>17.隐蔽工程和中间验收</w:t>
      </w:r>
    </w:p>
    <w:p>
      <w:pPr>
        <w:spacing w:line="400" w:lineRule="exact"/>
        <w:ind w:firstLine="420" w:firstLineChars="200"/>
      </w:pPr>
      <w:r>
        <w:rPr>
          <w:rFonts w:hint="eastAsia"/>
        </w:rPr>
        <w:t>17.1双约定中间验收部位：</w:t>
      </w:r>
    </w:p>
    <w:p>
      <w:pPr>
        <w:spacing w:line="400" w:lineRule="exact"/>
        <w:ind w:firstLine="420" w:firstLineChars="200"/>
      </w:pPr>
      <w:r>
        <w:rPr>
          <w:rFonts w:hint="eastAsia"/>
        </w:rPr>
        <w:t>19.工程试车</w:t>
      </w:r>
    </w:p>
    <w:p>
      <w:pPr>
        <w:spacing w:line="400" w:lineRule="exact"/>
        <w:ind w:firstLine="420" w:firstLineChars="200"/>
        <w:rPr>
          <w:u w:val="single"/>
        </w:rPr>
      </w:pPr>
      <w:r>
        <w:rPr>
          <w:rFonts w:hint="eastAsia"/>
        </w:rPr>
        <w:t>19.5试车费用地承担：</w:t>
      </w:r>
      <w:r>
        <w:rPr>
          <w:rFonts w:hint="eastAsia" w:ascii="宋体" w:hAnsi="宋体"/>
          <w:u w:val="single"/>
        </w:rPr>
        <w:t>无</w:t>
      </w:r>
    </w:p>
    <w:p>
      <w:pPr>
        <w:spacing w:line="400" w:lineRule="exact"/>
        <w:ind w:firstLine="422" w:firstLineChars="200"/>
        <w:rPr>
          <w:b/>
        </w:rPr>
      </w:pPr>
      <w:r>
        <w:rPr>
          <w:rFonts w:hint="eastAsia"/>
          <w:b/>
        </w:rPr>
        <w:t>五、安全施工：</w:t>
      </w:r>
    </w:p>
    <w:p>
      <w:pPr>
        <w:spacing w:line="400" w:lineRule="exact"/>
        <w:ind w:firstLine="420" w:firstLineChars="200"/>
      </w:pPr>
      <w:r>
        <w:rPr>
          <w:rFonts w:hint="eastAsia"/>
        </w:rPr>
        <w:t>遵照国家、建设部、河南省及周口市现行有关规定执行。</w:t>
      </w:r>
    </w:p>
    <w:p>
      <w:pPr>
        <w:spacing w:line="400" w:lineRule="exact"/>
        <w:ind w:firstLine="422" w:firstLineChars="200"/>
        <w:rPr>
          <w:b/>
        </w:rPr>
      </w:pPr>
      <w:r>
        <w:rPr>
          <w:rFonts w:hint="eastAsia"/>
          <w:b/>
        </w:rPr>
        <w:t>六、合同价款及调整</w:t>
      </w:r>
    </w:p>
    <w:p>
      <w:pPr>
        <w:spacing w:line="400" w:lineRule="exact"/>
        <w:ind w:firstLine="422" w:firstLineChars="200"/>
        <w:rPr>
          <w:b/>
        </w:rPr>
      </w:pPr>
      <w:r>
        <w:rPr>
          <w:rFonts w:hint="eastAsia"/>
          <w:b/>
        </w:rPr>
        <w:t>23. 合同价款及调整</w:t>
      </w:r>
    </w:p>
    <w:p>
      <w:pPr>
        <w:spacing w:line="400" w:lineRule="exact"/>
        <w:ind w:firstLine="420" w:firstLineChars="200"/>
      </w:pPr>
      <w:r>
        <w:rPr>
          <w:rFonts w:hint="eastAsia"/>
        </w:rPr>
        <w:t>23.2本合同价款采用</w:t>
      </w:r>
      <w:r>
        <w:rPr>
          <w:rFonts w:hint="eastAsia"/>
          <w:u w:val="single"/>
        </w:rPr>
        <w:t>（1）</w:t>
      </w:r>
      <w:r>
        <w:rPr>
          <w:rFonts w:hint="eastAsia"/>
        </w:rPr>
        <w:t>方式确定。</w:t>
      </w:r>
    </w:p>
    <w:p>
      <w:pPr>
        <w:spacing w:line="400" w:lineRule="exact"/>
        <w:ind w:firstLine="420" w:firstLineChars="200"/>
        <w:rPr>
          <w:u w:val="single"/>
        </w:rPr>
      </w:pPr>
      <w:r>
        <w:rPr>
          <w:rFonts w:hint="eastAsia"/>
        </w:rPr>
        <w:t>（1）采用固定价格合同，合同价款中包括：</w:t>
      </w:r>
    </w:p>
    <w:p>
      <w:pPr>
        <w:spacing w:line="400" w:lineRule="exact"/>
        <w:ind w:firstLine="420" w:firstLineChars="200"/>
      </w:pPr>
      <w:r>
        <w:rPr>
          <w:rFonts w:hint="eastAsia"/>
        </w:rPr>
        <w:t>除下列原因外合同的固定总价均不得改变：</w:t>
      </w:r>
    </w:p>
    <w:p>
      <w:pPr>
        <w:snapToGrid w:val="0"/>
        <w:spacing w:line="400" w:lineRule="exact"/>
        <w:ind w:firstLine="420" w:firstLineChars="200"/>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20" w:firstLineChars="200"/>
      </w:pPr>
      <w:r>
        <w:rPr>
          <w:rFonts w:hint="eastAsia"/>
        </w:rPr>
        <w:t>②如果直接取消某分部分项工程量清单项目，则该项目价款不予支付。</w:t>
      </w:r>
    </w:p>
    <w:p>
      <w:pPr>
        <w:snapToGrid w:val="0"/>
        <w:spacing w:line="400" w:lineRule="exact"/>
        <w:ind w:firstLine="420" w:firstLineChars="200"/>
      </w:pPr>
      <w:r>
        <w:rPr>
          <w:rFonts w:hint="eastAsia"/>
        </w:rPr>
        <w:t>③措施费均为税后的包干价，不因设计变更而调增。</w:t>
      </w:r>
    </w:p>
    <w:p>
      <w:pPr>
        <w:spacing w:line="400" w:lineRule="exact"/>
        <w:ind w:firstLine="420" w:firstLineChars="200"/>
        <w:rPr>
          <w:u w:val="single"/>
        </w:rPr>
      </w:pPr>
      <w:r>
        <w:rPr>
          <w:rFonts w:hint="eastAsia"/>
        </w:rPr>
        <w:t>（2）采用可调价格合同，合同价款调整方法：</w:t>
      </w:r>
    </w:p>
    <w:p>
      <w:pPr>
        <w:spacing w:line="400" w:lineRule="exact"/>
        <w:ind w:firstLine="420" w:firstLineChars="200"/>
        <w:rPr>
          <w:u w:val="single"/>
        </w:rPr>
      </w:pPr>
      <w:r>
        <w:rPr>
          <w:rFonts w:hint="eastAsia"/>
        </w:rPr>
        <w:t>（3）采用成本加酬金合同，有关成本和酬金的约定：</w:t>
      </w:r>
    </w:p>
    <w:p>
      <w:pPr>
        <w:spacing w:line="400" w:lineRule="exact"/>
        <w:ind w:firstLine="420" w:firstLineChars="200"/>
        <w:rPr>
          <w:u w:val="single"/>
        </w:rPr>
      </w:pPr>
      <w:r>
        <w:rPr>
          <w:rFonts w:hint="eastAsia"/>
        </w:rPr>
        <w:t>23.3双方约定合同价款的其他调整因素：</w:t>
      </w:r>
    </w:p>
    <w:p>
      <w:pPr>
        <w:spacing w:line="400" w:lineRule="exact"/>
        <w:ind w:firstLine="422" w:firstLineChars="200"/>
        <w:rPr>
          <w:b/>
        </w:rPr>
      </w:pPr>
      <w:r>
        <w:rPr>
          <w:rFonts w:hint="eastAsia"/>
          <w:b/>
        </w:rPr>
        <w:t>24.工程预付款</w:t>
      </w:r>
    </w:p>
    <w:p>
      <w:pPr>
        <w:spacing w:line="400" w:lineRule="exact"/>
        <w:ind w:firstLine="420" w:firstLineChars="200"/>
        <w:rPr>
          <w:u w:val="single"/>
        </w:rPr>
      </w:pPr>
      <w:r>
        <w:rPr>
          <w:rFonts w:hint="eastAsia"/>
        </w:rPr>
        <w:t>发包人向承包人预付工程款的时间和金额或占合同价款总额的比例：</w:t>
      </w:r>
    </w:p>
    <w:p>
      <w:pPr>
        <w:spacing w:line="480" w:lineRule="exact"/>
        <w:ind w:firstLine="420" w:firstLineChars="200"/>
        <w:rPr>
          <w:u w:val="single"/>
        </w:rPr>
      </w:pPr>
      <w:r>
        <w:rPr>
          <w:rFonts w:hint="eastAsia"/>
        </w:rPr>
        <w:t>扣回工程款的时间、比例：</w:t>
      </w:r>
    </w:p>
    <w:p>
      <w:pPr>
        <w:spacing w:line="480" w:lineRule="exact"/>
        <w:ind w:firstLine="422" w:firstLineChars="200"/>
        <w:rPr>
          <w:b/>
        </w:rPr>
      </w:pPr>
      <w:r>
        <w:rPr>
          <w:rFonts w:hint="eastAsia"/>
          <w:b/>
        </w:rPr>
        <w:t>25.工程量确认</w:t>
      </w:r>
    </w:p>
    <w:p>
      <w:pPr>
        <w:spacing w:line="480" w:lineRule="exact"/>
        <w:ind w:firstLine="420" w:firstLineChars="200"/>
        <w:rPr>
          <w:u w:val="single"/>
        </w:rPr>
      </w:pPr>
      <w:r>
        <w:rPr>
          <w:rFonts w:hint="eastAsia"/>
        </w:rPr>
        <w:t>25.1承包人向工程师提交已完工程量报告的时间：</w:t>
      </w:r>
      <w:r>
        <w:rPr>
          <w:rFonts w:hint="eastAsia"/>
          <w:u w:val="single"/>
        </w:rPr>
        <w:t>每月 日前提供当月已完工程量报表三份，监理工程师在收到后 个工作日内审查完毕并报发包人审核，发包人在收到后 天内审核完毕。</w:t>
      </w:r>
    </w:p>
    <w:p>
      <w:pPr>
        <w:spacing w:line="480" w:lineRule="exact"/>
        <w:ind w:firstLine="422" w:firstLineChars="200"/>
        <w:rPr>
          <w:b/>
        </w:rPr>
      </w:pPr>
      <w:r>
        <w:rPr>
          <w:rFonts w:hint="eastAsia"/>
          <w:b/>
        </w:rPr>
        <w:t>26. 工程款支付</w:t>
      </w:r>
    </w:p>
    <w:p>
      <w:pPr>
        <w:spacing w:line="480" w:lineRule="exact"/>
        <w:ind w:firstLine="420" w:firstLineChars="200"/>
        <w:rPr>
          <w:u w:val="single"/>
        </w:rPr>
      </w:pPr>
      <w:r>
        <w:rPr>
          <w:rFonts w:hint="eastAsia"/>
          <w:u w:val="single"/>
        </w:rPr>
        <w:t>双方约定的工程款（进度款）支付的方式和时间：</w:t>
      </w:r>
      <w:r>
        <w:rPr>
          <w:rFonts w:hint="eastAsia"/>
          <w:u w:val="single"/>
          <w:lang w:val="en-US" w:eastAsia="zh-CN"/>
        </w:rPr>
        <w:t>施工完毕拨款合同总价款的40%，验收合格后拨款合同总价款的30%，决算审计之后拨款合同总价款的27%，剩余3%一年后一次性付清</w:t>
      </w:r>
      <w:r>
        <w:rPr>
          <w:rFonts w:hint="eastAsia"/>
          <w:u w:val="single"/>
        </w:rPr>
        <w:t>。</w:t>
      </w:r>
    </w:p>
    <w:p>
      <w:pPr>
        <w:ind w:firstLine="422" w:firstLineChars="200"/>
        <w:rPr>
          <w:b/>
        </w:rPr>
      </w:pPr>
      <w:r>
        <w:rPr>
          <w:rFonts w:hint="eastAsia"/>
          <w:b/>
        </w:rPr>
        <w:t>七、材料设备供应</w:t>
      </w:r>
    </w:p>
    <w:p>
      <w:pPr>
        <w:spacing w:line="480" w:lineRule="exact"/>
        <w:ind w:firstLine="422" w:firstLineChars="200"/>
        <w:rPr>
          <w:b/>
        </w:rPr>
      </w:pPr>
      <w:r>
        <w:rPr>
          <w:rFonts w:hint="eastAsia"/>
          <w:b/>
        </w:rPr>
        <w:t>27.发包人供应材料设备</w:t>
      </w:r>
    </w:p>
    <w:p>
      <w:pPr>
        <w:spacing w:line="480" w:lineRule="exact"/>
        <w:ind w:firstLine="420" w:firstLineChars="200"/>
      </w:pPr>
      <w:r>
        <w:rPr>
          <w:rFonts w:hint="eastAsia"/>
        </w:rPr>
        <w:t>27.4发包人供应的材料设备与一览表不符时，双方约定发包人承担责任如下：</w:t>
      </w:r>
    </w:p>
    <w:p>
      <w:pPr>
        <w:spacing w:line="480" w:lineRule="exact"/>
        <w:ind w:firstLine="420" w:firstLineChars="200"/>
        <w:rPr>
          <w:u w:val="single"/>
        </w:rPr>
      </w:pPr>
      <w:r>
        <w:rPr>
          <w:rFonts w:hint="eastAsia"/>
        </w:rPr>
        <w:t>（1）材料设备单价与一览表不符：</w:t>
      </w:r>
    </w:p>
    <w:p>
      <w:pPr>
        <w:spacing w:line="480" w:lineRule="exact"/>
        <w:ind w:firstLine="420" w:firstLineChars="200"/>
      </w:pPr>
      <w:r>
        <w:rPr>
          <w:rFonts w:hint="eastAsia"/>
        </w:rPr>
        <w:t>（2）材料设备的品种、规格、型号、质量等级与一览表不符：</w:t>
      </w:r>
    </w:p>
    <w:p>
      <w:pPr>
        <w:spacing w:line="480" w:lineRule="exact"/>
        <w:ind w:firstLine="420" w:firstLineChars="200"/>
        <w:rPr>
          <w:u w:val="single"/>
        </w:rPr>
      </w:pPr>
      <w:r>
        <w:rPr>
          <w:rFonts w:hint="eastAsia"/>
        </w:rPr>
        <w:t>（3）承包人可代为调剂串换的材料：</w:t>
      </w:r>
    </w:p>
    <w:p>
      <w:pPr>
        <w:spacing w:line="480" w:lineRule="exact"/>
        <w:ind w:firstLine="420" w:firstLineChars="200"/>
        <w:rPr>
          <w:u w:val="single"/>
        </w:rPr>
      </w:pPr>
      <w:r>
        <w:rPr>
          <w:rFonts w:hint="eastAsia"/>
        </w:rPr>
        <w:t>（4）到货地点与一览表不符：</w:t>
      </w:r>
    </w:p>
    <w:p>
      <w:pPr>
        <w:spacing w:line="480" w:lineRule="exact"/>
        <w:ind w:firstLine="420" w:firstLineChars="200"/>
        <w:rPr>
          <w:u w:val="single"/>
        </w:rPr>
      </w:pPr>
      <w:r>
        <w:rPr>
          <w:rFonts w:hint="eastAsia"/>
        </w:rPr>
        <w:t>（5）供应数量与一览表不符：</w:t>
      </w:r>
    </w:p>
    <w:p>
      <w:pPr>
        <w:spacing w:line="480" w:lineRule="exact"/>
        <w:ind w:firstLine="420" w:firstLineChars="200"/>
      </w:pPr>
      <w:r>
        <w:rPr>
          <w:rFonts w:hint="eastAsia"/>
        </w:rPr>
        <w:t>（6）到货时间与一览表不符：</w:t>
      </w:r>
    </w:p>
    <w:p>
      <w:pPr>
        <w:spacing w:line="480" w:lineRule="exact"/>
        <w:ind w:firstLine="420" w:firstLineChars="200"/>
      </w:pPr>
      <w:r>
        <w:rPr>
          <w:rFonts w:hint="eastAsia"/>
        </w:rPr>
        <w:t>27.6发包人供应材料设备的结算方法：</w:t>
      </w:r>
    </w:p>
    <w:p>
      <w:pPr>
        <w:spacing w:line="480" w:lineRule="exact"/>
        <w:ind w:firstLine="422" w:firstLineChars="200"/>
        <w:rPr>
          <w:b/>
        </w:rPr>
      </w:pPr>
      <w:r>
        <w:rPr>
          <w:rFonts w:hint="eastAsia"/>
          <w:b/>
        </w:rPr>
        <w:t>28.承包人采购材料设备</w:t>
      </w:r>
    </w:p>
    <w:p>
      <w:pPr>
        <w:spacing w:line="480" w:lineRule="exact"/>
        <w:ind w:firstLine="420" w:firstLineChars="200"/>
      </w:pPr>
      <w:r>
        <w:rPr>
          <w:rFonts w:hint="eastAsia"/>
        </w:rPr>
        <w:t>28．1承包人采购材料设备的约定：</w:t>
      </w:r>
      <w:r>
        <w:rPr>
          <w:rFonts w:hint="eastAsia"/>
          <w:u w:val="single"/>
        </w:rPr>
        <w:t>执行通用条款</w:t>
      </w:r>
    </w:p>
    <w:p>
      <w:pPr>
        <w:spacing w:line="480" w:lineRule="exact"/>
        <w:ind w:firstLine="422" w:firstLineChars="200"/>
        <w:rPr>
          <w:b/>
          <w:u w:val="single"/>
        </w:rPr>
      </w:pPr>
      <w:r>
        <w:rPr>
          <w:rFonts w:hint="eastAsia"/>
          <w:b/>
        </w:rPr>
        <w:t>八、工程变更</w:t>
      </w:r>
      <w:r>
        <w:rPr>
          <w:rFonts w:hint="eastAsia"/>
          <w:u w:val="single"/>
        </w:rPr>
        <w:t>执行通用条款</w:t>
      </w:r>
    </w:p>
    <w:p>
      <w:pPr>
        <w:spacing w:line="480" w:lineRule="exact"/>
        <w:ind w:firstLine="422" w:firstLineChars="200"/>
        <w:rPr>
          <w:b/>
        </w:rPr>
      </w:pPr>
      <w:r>
        <w:rPr>
          <w:rFonts w:hint="eastAsia"/>
          <w:b/>
        </w:rPr>
        <w:t>九、竣工验收与结算</w:t>
      </w:r>
    </w:p>
    <w:p>
      <w:pPr>
        <w:spacing w:line="480" w:lineRule="exact"/>
        <w:ind w:firstLine="422" w:firstLineChars="200"/>
        <w:rPr>
          <w:b/>
        </w:rPr>
      </w:pPr>
      <w:r>
        <w:rPr>
          <w:rFonts w:hint="eastAsia"/>
          <w:b/>
        </w:rPr>
        <w:t>32.竣工验收</w:t>
      </w:r>
    </w:p>
    <w:p>
      <w:pPr>
        <w:spacing w:line="480" w:lineRule="exact"/>
        <w:ind w:firstLine="420" w:firstLineChars="200"/>
      </w:pPr>
      <w:r>
        <w:rPr>
          <w:rFonts w:hint="eastAsia"/>
        </w:rPr>
        <w:t>32.1承包人提供竣工图的约定：</w:t>
      </w:r>
      <w:r>
        <w:rPr>
          <w:rFonts w:hint="eastAsia"/>
          <w:u w:val="single"/>
        </w:rPr>
        <w:t>提交竣工报告的同时提交竣工图 套</w:t>
      </w:r>
    </w:p>
    <w:p>
      <w:pPr>
        <w:spacing w:line="480" w:lineRule="exact"/>
        <w:ind w:firstLine="420" w:firstLineChars="200"/>
        <w:rPr>
          <w:u w:val="single"/>
        </w:rPr>
      </w:pPr>
      <w:r>
        <w:rPr>
          <w:rFonts w:hint="eastAsia"/>
        </w:rPr>
        <w:t>32.6中间交工工程的范围和竣工时间：</w:t>
      </w:r>
      <w:r>
        <w:rPr>
          <w:rFonts w:hint="eastAsia"/>
          <w:u w:val="single"/>
        </w:rPr>
        <w:t>发包方和承包方协商</w:t>
      </w:r>
    </w:p>
    <w:p>
      <w:pPr>
        <w:spacing w:line="480" w:lineRule="exact"/>
        <w:ind w:firstLine="422" w:firstLineChars="200"/>
        <w:rPr>
          <w:b/>
        </w:rPr>
      </w:pPr>
      <w:r>
        <w:rPr>
          <w:rFonts w:hint="eastAsia"/>
          <w:b/>
        </w:rPr>
        <w:t>十、违约、索赔和争议</w:t>
      </w:r>
    </w:p>
    <w:p>
      <w:pPr>
        <w:spacing w:line="480" w:lineRule="exact"/>
        <w:ind w:firstLine="422" w:firstLineChars="200"/>
        <w:rPr>
          <w:b/>
        </w:rPr>
      </w:pPr>
      <w:r>
        <w:rPr>
          <w:rFonts w:hint="eastAsia"/>
          <w:b/>
        </w:rPr>
        <w:t>35.违约</w:t>
      </w:r>
    </w:p>
    <w:p>
      <w:pPr>
        <w:spacing w:line="480" w:lineRule="exact"/>
        <w:ind w:firstLine="420" w:firstLineChars="200"/>
      </w:pPr>
      <w:r>
        <w:rPr>
          <w:rFonts w:hint="eastAsia"/>
        </w:rPr>
        <w:t>35.1本合同中关于发包人违约的具体责任如下：</w:t>
      </w:r>
    </w:p>
    <w:p>
      <w:pPr>
        <w:spacing w:line="480" w:lineRule="exact"/>
        <w:ind w:firstLine="420" w:firstLineChars="200"/>
        <w:rPr>
          <w:u w:val="single"/>
        </w:rPr>
      </w:pPr>
      <w:r>
        <w:rPr>
          <w:rFonts w:hint="eastAsia"/>
        </w:rPr>
        <w:t>本合同通用条款第24条约定发包人违约应承担的违约责任：</w:t>
      </w:r>
    </w:p>
    <w:p>
      <w:pPr>
        <w:spacing w:line="480" w:lineRule="exact"/>
        <w:ind w:firstLine="420" w:firstLineChars="200"/>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20" w:firstLineChars="200"/>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20" w:firstLineChars="200"/>
        <w:rPr>
          <w:u w:val="single"/>
        </w:rPr>
      </w:pPr>
      <w:r>
        <w:rPr>
          <w:rFonts w:hint="eastAsia"/>
        </w:rPr>
        <w:t>双方约定的发包人其他违约责任：</w:t>
      </w:r>
      <w:r>
        <w:rPr>
          <w:rFonts w:hint="eastAsia"/>
          <w:u w:val="single"/>
        </w:rPr>
        <w:t>双方协商解决</w:t>
      </w:r>
    </w:p>
    <w:p>
      <w:pPr>
        <w:spacing w:line="480" w:lineRule="exact"/>
        <w:ind w:firstLine="420" w:firstLineChars="200"/>
      </w:pPr>
      <w:r>
        <w:rPr>
          <w:rFonts w:hint="eastAsia"/>
        </w:rPr>
        <w:t>35.2本合同中关于承包人违约的具体责任如下：</w:t>
      </w:r>
    </w:p>
    <w:p>
      <w:pPr>
        <w:spacing w:line="480" w:lineRule="exact"/>
        <w:ind w:firstLine="420" w:firstLineChars="200"/>
        <w:rPr>
          <w:u w:val="single"/>
        </w:rPr>
      </w:pPr>
      <w:r>
        <w:rPr>
          <w:rFonts w:hint="eastAsia"/>
        </w:rPr>
        <w:t>本合同通用条款第14.2款约定承包人违约应承担的违约责任：</w:t>
      </w:r>
      <w:r>
        <w:rPr>
          <w:rFonts w:hint="eastAsia"/>
          <w:u w:val="single"/>
        </w:rPr>
        <w:t xml:space="preserve">承包人不能按约定的竣工日期或监理工程师同意顺延的工期竣工的，每延期一天承包人应向发包人支付合同价款 </w:t>
      </w:r>
      <w:r>
        <w:rPr>
          <w:rFonts w:hint="eastAsia" w:ascii="宋体" w:hAnsi="宋体"/>
          <w:u w:val="single"/>
        </w:rPr>
        <w:t>‰</w:t>
      </w:r>
      <w:r>
        <w:rPr>
          <w:rFonts w:hint="eastAsia"/>
          <w:u w:val="single"/>
        </w:rPr>
        <w:t>的违约金，并承担因此给发包方造成的其它经济损失。</w:t>
      </w:r>
    </w:p>
    <w:p>
      <w:pPr>
        <w:spacing w:line="480" w:lineRule="exact"/>
        <w:ind w:firstLine="420" w:firstLineChars="200"/>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 %的违约金</w:t>
      </w:r>
    </w:p>
    <w:p>
      <w:pPr>
        <w:spacing w:line="480" w:lineRule="exact"/>
        <w:ind w:firstLine="420" w:firstLineChars="200"/>
        <w:rPr>
          <w:u w:val="single"/>
        </w:rPr>
      </w:pPr>
      <w:r>
        <w:rPr>
          <w:rFonts w:hint="eastAsia"/>
        </w:rPr>
        <w:t>双方约定的承包人其他违约责任：</w:t>
      </w:r>
      <w:r>
        <w:rPr>
          <w:rFonts w:hint="eastAsia"/>
          <w:u w:val="single"/>
        </w:rPr>
        <w:t>双方协商解决</w:t>
      </w:r>
    </w:p>
    <w:p>
      <w:pPr>
        <w:spacing w:line="480" w:lineRule="exact"/>
        <w:ind w:firstLine="422" w:firstLineChars="200"/>
        <w:rPr>
          <w:b/>
        </w:rPr>
      </w:pPr>
      <w:r>
        <w:rPr>
          <w:rFonts w:hint="eastAsia"/>
          <w:b/>
        </w:rPr>
        <w:t>37.争议</w:t>
      </w:r>
    </w:p>
    <w:p>
      <w:pPr>
        <w:spacing w:line="480" w:lineRule="exact"/>
        <w:ind w:firstLine="420" w:firstLineChars="200"/>
      </w:pPr>
      <w:r>
        <w:rPr>
          <w:rFonts w:hint="eastAsia"/>
        </w:rPr>
        <w:t>37.1双方约定，在履行合同过程中产生争议时：</w:t>
      </w:r>
    </w:p>
    <w:p>
      <w:pPr>
        <w:spacing w:line="360" w:lineRule="auto"/>
        <w:ind w:firstLine="420" w:firstLineChars="200"/>
      </w:pPr>
      <w:r>
        <w:rPr>
          <w:rFonts w:hint="eastAsia"/>
        </w:rPr>
        <w:t>（1）</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20" w:firstLineChars="200"/>
      </w:pPr>
      <w:r>
        <w:rPr>
          <w:rFonts w:hint="eastAsia"/>
        </w:rPr>
        <w:t>（2）</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20" w:firstLineChars="200"/>
      </w:pPr>
      <w:r>
        <w:rPr>
          <w:rFonts w:hint="eastAsia"/>
        </w:rPr>
        <w:t>（3）甲、乙双方均有权利向本项目具有监管职能的政府采购监督管理部门举报反映对方在合同履约中的违法违纪行为。</w:t>
      </w:r>
    </w:p>
    <w:p>
      <w:pPr>
        <w:spacing w:line="480" w:lineRule="exact"/>
        <w:ind w:firstLine="422" w:firstLineChars="200"/>
        <w:rPr>
          <w:b/>
        </w:rPr>
      </w:pPr>
      <w:r>
        <w:rPr>
          <w:rFonts w:hint="eastAsia"/>
          <w:b/>
        </w:rPr>
        <w:t>十一、其他</w:t>
      </w:r>
    </w:p>
    <w:p>
      <w:pPr>
        <w:spacing w:line="480" w:lineRule="exact"/>
        <w:ind w:firstLine="422" w:firstLineChars="200"/>
        <w:rPr>
          <w:b/>
        </w:rPr>
      </w:pPr>
      <w:r>
        <w:rPr>
          <w:rFonts w:hint="eastAsia"/>
          <w:b/>
        </w:rPr>
        <w:t>38. 工程分包</w:t>
      </w:r>
    </w:p>
    <w:p>
      <w:pPr>
        <w:spacing w:line="480" w:lineRule="exact"/>
        <w:ind w:firstLine="420" w:firstLineChars="200"/>
        <w:rPr>
          <w:u w:val="single"/>
        </w:rPr>
      </w:pPr>
      <w:r>
        <w:rPr>
          <w:rFonts w:hint="eastAsia"/>
        </w:rPr>
        <w:t>38.1本工程发包人同意承包人分包的工程：</w:t>
      </w:r>
    </w:p>
    <w:p>
      <w:pPr>
        <w:spacing w:line="480" w:lineRule="exact"/>
        <w:ind w:firstLine="420" w:firstLineChars="200"/>
        <w:rPr>
          <w:u w:val="single"/>
        </w:rPr>
      </w:pPr>
      <w:r>
        <w:rPr>
          <w:rFonts w:hint="eastAsia"/>
        </w:rPr>
        <w:t>分包施工单位为：</w:t>
      </w:r>
      <w:r>
        <w:rPr>
          <w:rFonts w:hint="eastAsia"/>
          <w:u w:val="single"/>
        </w:rPr>
        <w:t xml:space="preserve">                /                                                         </w:t>
      </w:r>
    </w:p>
    <w:p>
      <w:pPr>
        <w:spacing w:line="480" w:lineRule="exact"/>
        <w:ind w:firstLine="422" w:firstLineChars="200"/>
        <w:rPr>
          <w:b/>
        </w:rPr>
      </w:pPr>
      <w:r>
        <w:rPr>
          <w:rFonts w:hint="eastAsia"/>
          <w:b/>
        </w:rPr>
        <w:t>39.不可抗力</w:t>
      </w:r>
    </w:p>
    <w:p>
      <w:pPr>
        <w:spacing w:line="480" w:lineRule="exact"/>
        <w:ind w:firstLine="420" w:firstLineChars="200"/>
      </w:pPr>
      <w:r>
        <w:rPr>
          <w:rFonts w:hint="eastAsia"/>
        </w:rPr>
        <w:t>39.1双方关于不可抗力的约定：</w:t>
      </w:r>
      <w:r>
        <w:rPr>
          <w:rFonts w:hint="eastAsia"/>
          <w:u w:val="single"/>
        </w:rPr>
        <w:t>执行通用条款</w:t>
      </w:r>
    </w:p>
    <w:p>
      <w:pPr>
        <w:spacing w:line="480" w:lineRule="exact"/>
        <w:ind w:firstLine="422" w:firstLineChars="200"/>
        <w:rPr>
          <w:b/>
        </w:rPr>
      </w:pPr>
      <w:r>
        <w:rPr>
          <w:rFonts w:hint="eastAsia"/>
          <w:b/>
        </w:rPr>
        <w:t>40.保险</w:t>
      </w:r>
    </w:p>
    <w:p>
      <w:pPr>
        <w:spacing w:line="480" w:lineRule="exact"/>
        <w:ind w:firstLine="420" w:firstLineChars="200"/>
      </w:pPr>
      <w:r>
        <w:rPr>
          <w:rFonts w:hint="eastAsia"/>
        </w:rPr>
        <w:t>40.6本工程双方约定投保内容如下：</w:t>
      </w:r>
    </w:p>
    <w:p>
      <w:pPr>
        <w:spacing w:line="480" w:lineRule="exact"/>
        <w:ind w:firstLine="420" w:firstLineChars="200"/>
        <w:rPr>
          <w:u w:val="single"/>
        </w:rPr>
      </w:pPr>
      <w:r>
        <w:rPr>
          <w:rFonts w:hint="eastAsia"/>
        </w:rPr>
        <w:t>（1）发包人投保内容：</w:t>
      </w:r>
      <w:r>
        <w:rPr>
          <w:rFonts w:hint="eastAsia"/>
          <w:u w:val="single"/>
        </w:rPr>
        <w:t>执行通用条款</w:t>
      </w:r>
    </w:p>
    <w:p>
      <w:pPr>
        <w:spacing w:line="480" w:lineRule="exact"/>
        <w:ind w:firstLine="420" w:firstLineChars="200"/>
        <w:rPr>
          <w:u w:val="single"/>
        </w:rPr>
      </w:pPr>
      <w:r>
        <w:rPr>
          <w:rFonts w:hint="eastAsia"/>
        </w:rPr>
        <w:t>发包人委托承包人办理的保险事项：</w:t>
      </w:r>
    </w:p>
    <w:p>
      <w:pPr>
        <w:spacing w:line="480" w:lineRule="exact"/>
        <w:ind w:firstLine="420" w:firstLineChars="200"/>
      </w:pPr>
      <w:r>
        <w:rPr>
          <w:rFonts w:hint="eastAsia"/>
        </w:rPr>
        <w:t>（2）承包人的投保内容：</w:t>
      </w:r>
    </w:p>
    <w:p>
      <w:pPr>
        <w:spacing w:line="480" w:lineRule="exact"/>
        <w:ind w:firstLine="422" w:firstLineChars="200"/>
        <w:rPr>
          <w:b/>
        </w:rPr>
      </w:pPr>
      <w:r>
        <w:rPr>
          <w:rFonts w:hint="eastAsia"/>
          <w:b/>
        </w:rPr>
        <w:t>41.担保</w:t>
      </w:r>
    </w:p>
    <w:p>
      <w:pPr>
        <w:spacing w:line="480" w:lineRule="exact"/>
        <w:ind w:firstLine="420" w:firstLineChars="200"/>
      </w:pPr>
      <w:r>
        <w:rPr>
          <w:rFonts w:hint="eastAsia"/>
        </w:rPr>
        <w:t>41.3本工程双方承包人提供履约担保，担保事项如下：</w:t>
      </w:r>
    </w:p>
    <w:p>
      <w:pPr>
        <w:spacing w:line="480" w:lineRule="exact"/>
        <w:ind w:firstLine="420" w:firstLineChars="200"/>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20" w:firstLineChars="200"/>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20" w:firstLineChars="200"/>
        <w:rPr>
          <w:u w:val="single"/>
        </w:rPr>
      </w:pPr>
      <w:r>
        <w:rPr>
          <w:rFonts w:hint="eastAsia"/>
        </w:rPr>
        <w:t>（3）双方约定的其他担保事项：</w:t>
      </w:r>
    </w:p>
    <w:p>
      <w:pPr>
        <w:spacing w:line="480" w:lineRule="exact"/>
        <w:ind w:firstLine="422" w:firstLineChars="200"/>
        <w:rPr>
          <w:b/>
        </w:rPr>
      </w:pPr>
      <w:r>
        <w:rPr>
          <w:rFonts w:hint="eastAsia"/>
          <w:b/>
        </w:rPr>
        <w:t>46.合同份数</w:t>
      </w:r>
    </w:p>
    <w:p>
      <w:pPr>
        <w:spacing w:line="480" w:lineRule="exact"/>
        <w:ind w:firstLine="420" w:firstLineChars="200"/>
        <w:rPr>
          <w:u w:val="single"/>
        </w:rPr>
      </w:pPr>
      <w:r>
        <w:rPr>
          <w:rFonts w:hint="eastAsia"/>
        </w:rPr>
        <w:t>46.1双方约定合同份数：</w:t>
      </w:r>
      <w:r>
        <w:rPr>
          <w:rFonts w:hint="eastAsia"/>
          <w:u w:val="single"/>
        </w:rPr>
        <w:t>一式陆份，正本贰份，副本肆份。</w:t>
      </w:r>
    </w:p>
    <w:p>
      <w:pPr>
        <w:spacing w:line="480" w:lineRule="exact"/>
        <w:ind w:firstLine="420" w:firstLineChars="200"/>
      </w:pPr>
      <w:r>
        <w:rPr>
          <w:rFonts w:hint="eastAsia"/>
        </w:rPr>
        <w:t>47.补充条款</w:t>
      </w:r>
    </w:p>
    <w:p>
      <w:pPr>
        <w:spacing w:line="480" w:lineRule="exact"/>
        <w:ind w:firstLine="420" w:firstLineChars="200"/>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20" w:firstLineChars="200"/>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  元违约金，项目经理和技术负责人与投标文件不一致时，每发现一人，承包人应向发包人支付违约金 元。承包人必须在发包人指定的时间内安排原计划配备人员到场，否则，发包人有权终止合同，承包人赔偿因此给发包人带来的损失。</w:t>
      </w:r>
    </w:p>
    <w:p>
      <w:pPr>
        <w:spacing w:line="480" w:lineRule="exact"/>
        <w:ind w:firstLine="420" w:firstLineChars="200"/>
        <w:rPr>
          <w:u w:val="single"/>
        </w:rPr>
      </w:pPr>
      <w:r>
        <w:rPr>
          <w:rFonts w:hint="eastAsia"/>
          <w:u w:val="single"/>
        </w:rPr>
        <w:t>3、承包人派驻施工现场的项目经理每周应有 个工作日在施工现场，特殊原因应向监理工程师及发包方派驻工地代表请假，无故不到施工现场或请假但未被批准仍不到施工现场按缺席处理，每发现项目经理或技术负责人一天不到施工现场的，承包方应向发包方支付 元违约金。</w:t>
      </w:r>
    </w:p>
    <w:p>
      <w:pPr>
        <w:spacing w:line="480" w:lineRule="exact"/>
        <w:ind w:firstLine="420" w:firstLineChars="200"/>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20" w:firstLineChars="200"/>
        <w:rPr>
          <w:u w:val="single"/>
        </w:rPr>
      </w:pPr>
      <w:r>
        <w:rPr>
          <w:rFonts w:hint="eastAsia"/>
          <w:u w:val="single"/>
        </w:rPr>
        <w:t>5、人工费按国家和地方有关文件规定执行。</w:t>
      </w:r>
    </w:p>
    <w:p>
      <w:pPr>
        <w:spacing w:line="480" w:lineRule="exact"/>
        <w:ind w:firstLine="420" w:firstLineChars="200"/>
        <w:rPr>
          <w:u w:val="single"/>
        </w:rPr>
      </w:pPr>
      <w:r>
        <w:rPr>
          <w:rFonts w:hint="eastAsia"/>
          <w:u w:val="single"/>
        </w:rPr>
        <w:t>6、施工过程中如遇国家、地方等政策性调整，按规定执行。</w:t>
      </w:r>
    </w:p>
    <w:p>
      <w:pPr>
        <w:spacing w:line="440" w:lineRule="exact"/>
        <w:ind w:firstLine="420" w:firstLineChars="200"/>
        <w:rPr>
          <w:u w:val="single"/>
        </w:rPr>
      </w:pPr>
      <w:r>
        <w:rPr>
          <w:rFonts w:hint="eastAsia"/>
          <w:u w:val="single"/>
        </w:rPr>
        <w:t>7、在保修期内给水工程的维护和维修，由承包方负责并承担全部费用。</w:t>
      </w:r>
    </w:p>
    <w:p>
      <w:pPr>
        <w:spacing w:line="480" w:lineRule="exact"/>
        <w:ind w:firstLine="420" w:firstLineChars="200"/>
      </w:pPr>
      <w:r>
        <w:rPr>
          <w:rFonts w:hint="eastAsia"/>
        </w:rPr>
        <w:t>本合同未尽事宜，双方另行协商，协商内容作为本合同的附件，与本合同具有同等法律效力。</w:t>
      </w:r>
    </w:p>
    <w:p>
      <w:pPr>
        <w:spacing w:line="360" w:lineRule="auto"/>
        <w:rPr>
          <w:rFonts w:ascii="黑体" w:hAnsi="黑体" w:eastAsia="黑体"/>
          <w:sz w:val="44"/>
          <w:szCs w:val="44"/>
        </w:rPr>
      </w:pPr>
      <w:r>
        <w:rPr>
          <w:rFonts w:hint="eastAsia" w:ascii="黑体" w:hAnsi="黑体" w:eastAsia="黑体"/>
          <w:sz w:val="28"/>
          <w:szCs w:val="28"/>
        </w:rPr>
        <w:t>附件1：</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48"/>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pPr>
              <w:spacing w:line="360" w:lineRule="auto"/>
              <w:jc w:val="center"/>
              <w:rPr>
                <w:rFonts w:ascii="宋体" w:hAnsi="宋体"/>
                <w:szCs w:val="21"/>
              </w:rPr>
            </w:pPr>
            <w:r>
              <w:rPr>
                <w:rFonts w:hint="eastAsia" w:ascii="宋体" w:hAnsi="宋体"/>
                <w:szCs w:val="21"/>
              </w:rPr>
              <w:t>建设</w:t>
            </w:r>
          </w:p>
          <w:p>
            <w:pPr>
              <w:spacing w:line="360" w:lineRule="auto"/>
              <w:jc w:val="center"/>
              <w:rPr>
                <w:rFonts w:ascii="宋体" w:hAnsi="宋体"/>
                <w:szCs w:val="21"/>
              </w:rPr>
            </w:pPr>
            <w:r>
              <w:rPr>
                <w:rFonts w:hint="eastAsia" w:ascii="宋体" w:hAnsi="宋体"/>
                <w:szCs w:val="21"/>
              </w:rPr>
              <w:t>规模</w:t>
            </w:r>
          </w:p>
        </w:tc>
        <w:tc>
          <w:tcPr>
            <w:tcW w:w="1319" w:type="dxa"/>
            <w:vAlign w:val="center"/>
          </w:tcPr>
          <w:p>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pPr>
              <w:spacing w:line="360" w:lineRule="auto"/>
              <w:ind w:right="-78" w:rightChars="-37"/>
              <w:jc w:val="center"/>
              <w:rPr>
                <w:rFonts w:ascii="宋体" w:hAnsi="宋体"/>
                <w:szCs w:val="21"/>
              </w:rPr>
            </w:pPr>
            <w:r>
              <w:rPr>
                <w:rFonts w:hint="eastAsia" w:ascii="宋体" w:hAnsi="宋体"/>
                <w:szCs w:val="21"/>
              </w:rPr>
              <w:t>结构</w:t>
            </w:r>
          </w:p>
        </w:tc>
        <w:tc>
          <w:tcPr>
            <w:tcW w:w="709" w:type="dxa"/>
            <w:vAlign w:val="center"/>
          </w:tcPr>
          <w:p>
            <w:pPr>
              <w:spacing w:line="360" w:lineRule="auto"/>
              <w:jc w:val="center"/>
              <w:rPr>
                <w:rFonts w:ascii="宋体" w:hAnsi="宋体"/>
                <w:szCs w:val="21"/>
              </w:rPr>
            </w:pPr>
            <w:r>
              <w:rPr>
                <w:rFonts w:hint="eastAsia" w:ascii="宋体" w:hAnsi="宋体"/>
                <w:szCs w:val="21"/>
              </w:rPr>
              <w:t>层数</w:t>
            </w:r>
          </w:p>
        </w:tc>
        <w:tc>
          <w:tcPr>
            <w:tcW w:w="877" w:type="dxa"/>
            <w:vAlign w:val="center"/>
          </w:tcPr>
          <w:p>
            <w:pPr>
              <w:spacing w:line="360" w:lineRule="auto"/>
              <w:jc w:val="center"/>
              <w:rPr>
                <w:rFonts w:ascii="宋体" w:hAnsi="宋体"/>
                <w:szCs w:val="21"/>
              </w:rPr>
            </w:pPr>
            <w:r>
              <w:rPr>
                <w:rFonts w:hint="eastAsia" w:ascii="宋体" w:hAnsi="宋体"/>
                <w:szCs w:val="21"/>
              </w:rPr>
              <w:t>跨度</w:t>
            </w:r>
          </w:p>
          <w:p>
            <w:pPr>
              <w:spacing w:line="360" w:lineRule="auto"/>
              <w:jc w:val="center"/>
              <w:rPr>
                <w:rFonts w:ascii="宋体" w:hAnsi="宋体"/>
                <w:szCs w:val="21"/>
              </w:rPr>
            </w:pPr>
            <w:r>
              <w:rPr>
                <w:rFonts w:hint="eastAsia" w:ascii="宋体" w:hAnsi="宋体"/>
                <w:szCs w:val="21"/>
              </w:rPr>
              <w:t>（米）</w:t>
            </w:r>
          </w:p>
        </w:tc>
        <w:tc>
          <w:tcPr>
            <w:tcW w:w="800" w:type="dxa"/>
            <w:vAlign w:val="center"/>
          </w:tcPr>
          <w:p>
            <w:pPr>
              <w:spacing w:line="360" w:lineRule="auto"/>
              <w:jc w:val="center"/>
              <w:rPr>
                <w:rFonts w:ascii="宋体" w:hAnsi="宋体"/>
                <w:szCs w:val="21"/>
              </w:rPr>
            </w:pPr>
            <w:r>
              <w:rPr>
                <w:rFonts w:hint="eastAsia" w:ascii="宋体" w:hAnsi="宋体"/>
                <w:szCs w:val="21"/>
              </w:rPr>
              <w:t>设备</w:t>
            </w:r>
          </w:p>
          <w:p>
            <w:pPr>
              <w:spacing w:line="360" w:lineRule="auto"/>
              <w:jc w:val="center"/>
              <w:rPr>
                <w:rFonts w:ascii="宋体" w:hAnsi="宋体"/>
                <w:szCs w:val="21"/>
              </w:rPr>
            </w:pPr>
            <w:r>
              <w:rPr>
                <w:rFonts w:hint="eastAsia" w:ascii="宋体" w:hAnsi="宋体"/>
                <w:szCs w:val="21"/>
              </w:rPr>
              <w:t>安装</w:t>
            </w:r>
          </w:p>
          <w:p>
            <w:pPr>
              <w:spacing w:line="360" w:lineRule="auto"/>
              <w:jc w:val="center"/>
              <w:rPr>
                <w:rFonts w:ascii="宋体" w:hAnsi="宋体"/>
                <w:szCs w:val="21"/>
              </w:rPr>
            </w:pPr>
            <w:r>
              <w:rPr>
                <w:rFonts w:hint="eastAsia" w:ascii="宋体" w:hAnsi="宋体"/>
                <w:szCs w:val="21"/>
              </w:rPr>
              <w:t>内容</w:t>
            </w:r>
          </w:p>
        </w:tc>
        <w:tc>
          <w:tcPr>
            <w:tcW w:w="850" w:type="dxa"/>
            <w:vAlign w:val="center"/>
          </w:tcPr>
          <w:p>
            <w:pPr>
              <w:spacing w:line="360" w:lineRule="auto"/>
              <w:jc w:val="center"/>
              <w:rPr>
                <w:rFonts w:ascii="宋体" w:hAnsi="宋体"/>
                <w:szCs w:val="21"/>
              </w:rPr>
            </w:pPr>
            <w:r>
              <w:rPr>
                <w:rFonts w:hint="eastAsia" w:ascii="宋体" w:hAnsi="宋体"/>
                <w:szCs w:val="21"/>
              </w:rPr>
              <w:t>工程</w:t>
            </w:r>
          </w:p>
          <w:p>
            <w:pPr>
              <w:spacing w:line="360" w:lineRule="auto"/>
              <w:jc w:val="center"/>
              <w:rPr>
                <w:rFonts w:ascii="宋体" w:hAnsi="宋体"/>
                <w:szCs w:val="21"/>
              </w:rPr>
            </w:pPr>
            <w:r>
              <w:rPr>
                <w:rFonts w:hint="eastAsia" w:ascii="宋体" w:hAnsi="宋体"/>
                <w:szCs w:val="21"/>
              </w:rPr>
              <w:t>造价</w:t>
            </w:r>
          </w:p>
          <w:p>
            <w:pPr>
              <w:spacing w:line="360" w:lineRule="auto"/>
              <w:jc w:val="center"/>
              <w:rPr>
                <w:rFonts w:ascii="宋体" w:hAnsi="宋体"/>
                <w:szCs w:val="21"/>
              </w:rPr>
            </w:pPr>
            <w:r>
              <w:rPr>
                <w:rFonts w:hint="eastAsia" w:ascii="宋体" w:hAnsi="宋体"/>
                <w:szCs w:val="21"/>
              </w:rPr>
              <w:t>（元）</w:t>
            </w:r>
          </w:p>
        </w:tc>
        <w:tc>
          <w:tcPr>
            <w:tcW w:w="709" w:type="dxa"/>
            <w:vAlign w:val="center"/>
          </w:tcPr>
          <w:p>
            <w:pPr>
              <w:spacing w:line="360" w:lineRule="auto"/>
              <w:jc w:val="center"/>
              <w:rPr>
                <w:rFonts w:ascii="宋体" w:hAnsi="宋体"/>
                <w:szCs w:val="21"/>
              </w:rPr>
            </w:pPr>
            <w:r>
              <w:rPr>
                <w:rFonts w:hint="eastAsia" w:ascii="宋体" w:hAnsi="宋体"/>
                <w:szCs w:val="21"/>
              </w:rPr>
              <w:t>开工</w:t>
            </w:r>
          </w:p>
          <w:p>
            <w:pPr>
              <w:spacing w:line="360" w:lineRule="auto"/>
              <w:jc w:val="center"/>
              <w:rPr>
                <w:rFonts w:ascii="宋体" w:hAnsi="宋体"/>
                <w:szCs w:val="21"/>
              </w:rPr>
            </w:pPr>
            <w:r>
              <w:rPr>
                <w:rFonts w:hint="eastAsia" w:ascii="宋体" w:hAnsi="宋体"/>
                <w:szCs w:val="21"/>
              </w:rPr>
              <w:t>日期</w:t>
            </w:r>
          </w:p>
        </w:tc>
        <w:tc>
          <w:tcPr>
            <w:tcW w:w="709" w:type="dxa"/>
            <w:vAlign w:val="center"/>
          </w:tcPr>
          <w:p>
            <w:pPr>
              <w:spacing w:line="360" w:lineRule="auto"/>
              <w:jc w:val="center"/>
              <w:rPr>
                <w:rFonts w:ascii="宋体" w:hAnsi="宋体"/>
                <w:szCs w:val="21"/>
              </w:rPr>
            </w:pPr>
            <w:r>
              <w:rPr>
                <w:rFonts w:hint="eastAsia" w:ascii="宋体" w:hAnsi="宋体"/>
                <w:szCs w:val="21"/>
              </w:rPr>
              <w:t>竣工</w:t>
            </w:r>
          </w:p>
          <w:p>
            <w:pPr>
              <w:spacing w:line="360" w:lineRule="auto"/>
              <w:jc w:val="center"/>
              <w:rPr>
                <w:rFonts w:ascii="宋体" w:hAnsi="宋体"/>
                <w:szCs w:val="21"/>
              </w:rPr>
            </w:pPr>
            <w:r>
              <w:rPr>
                <w:rFonts w:hint="eastAsia" w:ascii="宋体" w:hAnsi="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ascii="宋体" w:hAnsi="宋体"/>
                <w:szCs w:val="21"/>
              </w:rPr>
            </w:pPr>
          </w:p>
        </w:tc>
        <w:tc>
          <w:tcPr>
            <w:tcW w:w="900" w:type="dxa"/>
            <w:vAlign w:val="center"/>
          </w:tcPr>
          <w:p>
            <w:pPr>
              <w:spacing w:line="360" w:lineRule="auto"/>
              <w:ind w:firstLine="420" w:firstLineChars="200"/>
              <w:rPr>
                <w:rFonts w:ascii="宋体" w:hAnsi="宋体"/>
                <w:szCs w:val="21"/>
              </w:rPr>
            </w:pPr>
          </w:p>
        </w:tc>
        <w:tc>
          <w:tcPr>
            <w:tcW w:w="1319" w:type="dxa"/>
            <w:vAlign w:val="center"/>
          </w:tcPr>
          <w:p>
            <w:pPr>
              <w:spacing w:line="360" w:lineRule="auto"/>
              <w:ind w:firstLine="420" w:firstLineChars="200"/>
              <w:rPr>
                <w:rFonts w:ascii="宋体" w:hAnsi="宋体"/>
                <w:szCs w:val="21"/>
              </w:rPr>
            </w:pPr>
          </w:p>
        </w:tc>
        <w:tc>
          <w:tcPr>
            <w:tcW w:w="682"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877" w:type="dxa"/>
            <w:vAlign w:val="center"/>
          </w:tcPr>
          <w:p>
            <w:pPr>
              <w:spacing w:line="360" w:lineRule="auto"/>
              <w:ind w:firstLine="420" w:firstLineChars="200"/>
              <w:rPr>
                <w:rFonts w:ascii="宋体" w:hAnsi="宋体"/>
                <w:szCs w:val="21"/>
              </w:rPr>
            </w:pPr>
          </w:p>
        </w:tc>
        <w:tc>
          <w:tcPr>
            <w:tcW w:w="800" w:type="dxa"/>
            <w:vAlign w:val="center"/>
          </w:tcPr>
          <w:p>
            <w:pPr>
              <w:spacing w:line="360" w:lineRule="auto"/>
              <w:ind w:firstLine="420" w:firstLineChars="200"/>
              <w:rPr>
                <w:rFonts w:ascii="宋体" w:hAnsi="宋体"/>
                <w:szCs w:val="21"/>
              </w:rPr>
            </w:pPr>
          </w:p>
        </w:tc>
        <w:tc>
          <w:tcPr>
            <w:tcW w:w="850"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ascii="宋体" w:hAnsi="宋体"/>
                <w:szCs w:val="21"/>
              </w:rPr>
            </w:pPr>
          </w:p>
        </w:tc>
        <w:tc>
          <w:tcPr>
            <w:tcW w:w="900" w:type="dxa"/>
            <w:vAlign w:val="center"/>
          </w:tcPr>
          <w:p>
            <w:pPr>
              <w:spacing w:line="360" w:lineRule="auto"/>
              <w:ind w:firstLine="420" w:firstLineChars="200"/>
              <w:rPr>
                <w:rFonts w:ascii="宋体" w:hAnsi="宋体"/>
                <w:szCs w:val="21"/>
              </w:rPr>
            </w:pPr>
          </w:p>
        </w:tc>
        <w:tc>
          <w:tcPr>
            <w:tcW w:w="1319" w:type="dxa"/>
            <w:vAlign w:val="center"/>
          </w:tcPr>
          <w:p>
            <w:pPr>
              <w:spacing w:line="360" w:lineRule="auto"/>
              <w:ind w:firstLine="420" w:firstLineChars="200"/>
              <w:rPr>
                <w:rFonts w:ascii="宋体" w:hAnsi="宋体"/>
                <w:szCs w:val="21"/>
              </w:rPr>
            </w:pPr>
          </w:p>
        </w:tc>
        <w:tc>
          <w:tcPr>
            <w:tcW w:w="682"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877" w:type="dxa"/>
            <w:vAlign w:val="center"/>
          </w:tcPr>
          <w:p>
            <w:pPr>
              <w:spacing w:line="360" w:lineRule="auto"/>
              <w:ind w:firstLine="420" w:firstLineChars="200"/>
              <w:rPr>
                <w:rFonts w:ascii="宋体" w:hAnsi="宋体"/>
                <w:szCs w:val="21"/>
              </w:rPr>
            </w:pPr>
          </w:p>
        </w:tc>
        <w:tc>
          <w:tcPr>
            <w:tcW w:w="800" w:type="dxa"/>
            <w:vAlign w:val="center"/>
          </w:tcPr>
          <w:p>
            <w:pPr>
              <w:spacing w:line="360" w:lineRule="auto"/>
              <w:ind w:firstLine="420" w:firstLineChars="200"/>
              <w:rPr>
                <w:rFonts w:ascii="宋体" w:hAnsi="宋体"/>
                <w:szCs w:val="21"/>
              </w:rPr>
            </w:pPr>
          </w:p>
        </w:tc>
        <w:tc>
          <w:tcPr>
            <w:tcW w:w="850"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ascii="宋体" w:hAnsi="宋体"/>
                <w:szCs w:val="21"/>
              </w:rPr>
            </w:pPr>
          </w:p>
        </w:tc>
        <w:tc>
          <w:tcPr>
            <w:tcW w:w="900" w:type="dxa"/>
            <w:vAlign w:val="center"/>
          </w:tcPr>
          <w:p>
            <w:pPr>
              <w:spacing w:line="360" w:lineRule="auto"/>
              <w:ind w:firstLine="420" w:firstLineChars="200"/>
              <w:rPr>
                <w:rFonts w:ascii="宋体" w:hAnsi="宋体"/>
                <w:szCs w:val="21"/>
              </w:rPr>
            </w:pPr>
          </w:p>
        </w:tc>
        <w:tc>
          <w:tcPr>
            <w:tcW w:w="1319" w:type="dxa"/>
            <w:vAlign w:val="center"/>
          </w:tcPr>
          <w:p>
            <w:pPr>
              <w:spacing w:line="360" w:lineRule="auto"/>
              <w:ind w:firstLine="420" w:firstLineChars="200"/>
              <w:rPr>
                <w:rFonts w:ascii="宋体" w:hAnsi="宋体"/>
                <w:szCs w:val="21"/>
              </w:rPr>
            </w:pPr>
          </w:p>
        </w:tc>
        <w:tc>
          <w:tcPr>
            <w:tcW w:w="682"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877" w:type="dxa"/>
            <w:vAlign w:val="center"/>
          </w:tcPr>
          <w:p>
            <w:pPr>
              <w:spacing w:line="360" w:lineRule="auto"/>
              <w:ind w:firstLine="420" w:firstLineChars="200"/>
              <w:rPr>
                <w:rFonts w:ascii="宋体" w:hAnsi="宋体"/>
                <w:szCs w:val="21"/>
              </w:rPr>
            </w:pPr>
          </w:p>
        </w:tc>
        <w:tc>
          <w:tcPr>
            <w:tcW w:w="800" w:type="dxa"/>
            <w:vAlign w:val="center"/>
          </w:tcPr>
          <w:p>
            <w:pPr>
              <w:spacing w:line="360" w:lineRule="auto"/>
              <w:ind w:firstLine="420" w:firstLineChars="200"/>
              <w:rPr>
                <w:rFonts w:ascii="宋体" w:hAnsi="宋体"/>
                <w:szCs w:val="21"/>
              </w:rPr>
            </w:pPr>
          </w:p>
        </w:tc>
        <w:tc>
          <w:tcPr>
            <w:tcW w:w="850"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c>
          <w:tcPr>
            <w:tcW w:w="709" w:type="dxa"/>
            <w:vAlign w:val="center"/>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ascii="宋体" w:hAnsi="宋体"/>
                <w:sz w:val="32"/>
              </w:rPr>
            </w:pPr>
          </w:p>
        </w:tc>
        <w:tc>
          <w:tcPr>
            <w:tcW w:w="900" w:type="dxa"/>
            <w:vAlign w:val="center"/>
          </w:tcPr>
          <w:p>
            <w:pPr>
              <w:spacing w:line="360" w:lineRule="auto"/>
              <w:ind w:firstLine="640" w:firstLineChars="200"/>
              <w:rPr>
                <w:rFonts w:ascii="宋体" w:hAnsi="宋体"/>
                <w:sz w:val="32"/>
              </w:rPr>
            </w:pPr>
          </w:p>
        </w:tc>
        <w:tc>
          <w:tcPr>
            <w:tcW w:w="1319" w:type="dxa"/>
            <w:vAlign w:val="center"/>
          </w:tcPr>
          <w:p>
            <w:pPr>
              <w:spacing w:line="360" w:lineRule="auto"/>
              <w:ind w:firstLine="640" w:firstLineChars="200"/>
              <w:rPr>
                <w:rFonts w:ascii="宋体" w:hAnsi="宋体"/>
                <w:sz w:val="32"/>
              </w:rPr>
            </w:pPr>
          </w:p>
        </w:tc>
        <w:tc>
          <w:tcPr>
            <w:tcW w:w="682"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877" w:type="dxa"/>
            <w:vAlign w:val="center"/>
          </w:tcPr>
          <w:p>
            <w:pPr>
              <w:spacing w:line="360" w:lineRule="auto"/>
              <w:ind w:firstLine="640" w:firstLineChars="200"/>
              <w:rPr>
                <w:rFonts w:ascii="宋体" w:hAnsi="宋体"/>
                <w:sz w:val="32"/>
              </w:rPr>
            </w:pPr>
          </w:p>
        </w:tc>
        <w:tc>
          <w:tcPr>
            <w:tcW w:w="800" w:type="dxa"/>
            <w:vAlign w:val="center"/>
          </w:tcPr>
          <w:p>
            <w:pPr>
              <w:spacing w:line="360" w:lineRule="auto"/>
              <w:ind w:firstLine="640" w:firstLineChars="200"/>
              <w:rPr>
                <w:rFonts w:ascii="宋体" w:hAnsi="宋体"/>
                <w:sz w:val="32"/>
              </w:rPr>
            </w:pPr>
          </w:p>
        </w:tc>
        <w:tc>
          <w:tcPr>
            <w:tcW w:w="850"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c>
          <w:tcPr>
            <w:tcW w:w="709" w:type="dxa"/>
            <w:vAlign w:val="center"/>
          </w:tcPr>
          <w:p>
            <w:pPr>
              <w:spacing w:line="360" w:lineRule="auto"/>
              <w:ind w:firstLine="640" w:firstLineChars="200"/>
              <w:rPr>
                <w:rFonts w:ascii="宋体" w:hAnsi="宋体"/>
                <w:sz w:val="32"/>
              </w:rPr>
            </w:pPr>
          </w:p>
        </w:tc>
      </w:tr>
    </w:tbl>
    <w:p>
      <w:pPr>
        <w:spacing w:line="360" w:lineRule="auto"/>
        <w:ind w:firstLine="643" w:firstLineChars="200"/>
        <w:rPr>
          <w:b/>
          <w:sz w:val="32"/>
        </w:rPr>
      </w:pPr>
    </w:p>
    <w:p>
      <w:pPr>
        <w:spacing w:line="360" w:lineRule="auto"/>
        <w:rPr>
          <w:rFonts w:ascii="黑体" w:hAnsi="黑体" w:eastAsia="黑体"/>
          <w:sz w:val="28"/>
          <w:szCs w:val="28"/>
        </w:rPr>
      </w:pPr>
      <w:r>
        <w:rPr>
          <w:rFonts w:hint="eastAsia" w:ascii="黑体" w:hAnsi="黑体" w:eastAsia="黑体"/>
          <w:sz w:val="28"/>
          <w:szCs w:val="28"/>
        </w:rPr>
        <w:t>附件2：</w:t>
      </w:r>
    </w:p>
    <w:p>
      <w:pPr>
        <w:spacing w:line="360" w:lineRule="auto"/>
        <w:jc w:val="center"/>
        <w:rPr>
          <w:rFonts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48"/>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szCs w:val="21"/>
              </w:rPr>
            </w:pPr>
            <w:r>
              <w:rPr>
                <w:rFonts w:hint="eastAsia"/>
                <w:szCs w:val="21"/>
              </w:rPr>
              <w:t>材料</w:t>
            </w:r>
          </w:p>
          <w:p>
            <w:pPr>
              <w:jc w:val="center"/>
              <w:rPr>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sz w:val="40"/>
                <w:szCs w:val="32"/>
              </w:rPr>
            </w:pPr>
          </w:p>
        </w:tc>
        <w:tc>
          <w:tcPr>
            <w:tcW w:w="1446"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08" w:type="dxa"/>
            <w:vAlign w:val="center"/>
          </w:tcPr>
          <w:p>
            <w:pPr>
              <w:spacing w:line="360" w:lineRule="auto"/>
              <w:ind w:firstLine="800" w:firstLineChars="200"/>
              <w:rPr>
                <w:sz w:val="40"/>
                <w:szCs w:val="32"/>
              </w:rPr>
            </w:pPr>
          </w:p>
        </w:tc>
        <w:tc>
          <w:tcPr>
            <w:tcW w:w="810" w:type="dxa"/>
            <w:vAlign w:val="center"/>
          </w:tcPr>
          <w:p>
            <w:pPr>
              <w:spacing w:line="360" w:lineRule="auto"/>
              <w:ind w:firstLine="800" w:firstLineChars="200"/>
              <w:rPr>
                <w:sz w:val="40"/>
                <w:szCs w:val="32"/>
              </w:rPr>
            </w:pPr>
          </w:p>
        </w:tc>
        <w:tc>
          <w:tcPr>
            <w:tcW w:w="851" w:type="dxa"/>
            <w:vAlign w:val="center"/>
          </w:tcPr>
          <w:p>
            <w:pPr>
              <w:spacing w:line="360" w:lineRule="auto"/>
              <w:ind w:firstLine="800" w:firstLineChars="200"/>
              <w:rPr>
                <w:sz w:val="40"/>
                <w:szCs w:val="32"/>
              </w:rPr>
            </w:pPr>
          </w:p>
        </w:tc>
        <w:tc>
          <w:tcPr>
            <w:tcW w:w="736" w:type="dxa"/>
            <w:vAlign w:val="center"/>
          </w:tcPr>
          <w:p>
            <w:pPr>
              <w:spacing w:line="360" w:lineRule="auto"/>
              <w:ind w:firstLine="800" w:firstLineChars="200"/>
              <w:rPr>
                <w:sz w:val="40"/>
                <w:szCs w:val="32"/>
              </w:rPr>
            </w:pPr>
          </w:p>
        </w:tc>
        <w:tc>
          <w:tcPr>
            <w:tcW w:w="910" w:type="dxa"/>
            <w:vAlign w:val="center"/>
          </w:tcPr>
          <w:p>
            <w:pPr>
              <w:spacing w:line="360" w:lineRule="auto"/>
              <w:ind w:firstLine="800" w:firstLineChars="200"/>
              <w:rPr>
                <w:sz w:val="40"/>
                <w:szCs w:val="32"/>
              </w:rPr>
            </w:pPr>
          </w:p>
        </w:tc>
        <w:tc>
          <w:tcPr>
            <w:tcW w:w="1088" w:type="dxa"/>
            <w:vAlign w:val="center"/>
          </w:tcPr>
          <w:p>
            <w:pPr>
              <w:spacing w:line="360" w:lineRule="auto"/>
              <w:ind w:firstLine="800" w:firstLineChars="200"/>
              <w:rPr>
                <w:sz w:val="40"/>
                <w:szCs w:val="32"/>
              </w:rPr>
            </w:pPr>
          </w:p>
        </w:tc>
        <w:tc>
          <w:tcPr>
            <w:tcW w:w="878" w:type="dxa"/>
            <w:vAlign w:val="center"/>
          </w:tcPr>
          <w:p>
            <w:pPr>
              <w:spacing w:line="360" w:lineRule="auto"/>
              <w:ind w:firstLine="800" w:firstLineChars="200"/>
              <w:rPr>
                <w:sz w:val="40"/>
                <w:szCs w:val="32"/>
              </w:rPr>
            </w:pPr>
          </w:p>
        </w:tc>
      </w:tr>
    </w:tbl>
    <w:p>
      <w:pPr>
        <w:spacing w:line="360" w:lineRule="auto"/>
        <w:rPr>
          <w:rFonts w:ascii="黑体" w:hAnsi="黑体" w:eastAsia="黑体"/>
          <w:sz w:val="28"/>
          <w:szCs w:val="28"/>
        </w:rPr>
      </w:pPr>
      <w:r>
        <w:rPr>
          <w:rFonts w:hint="eastAsia" w:ascii="黑体" w:hAnsi="黑体" w:eastAsia="黑体"/>
          <w:sz w:val="28"/>
          <w:szCs w:val="28"/>
        </w:rPr>
        <w:t>附件3：</w:t>
      </w:r>
    </w:p>
    <w:p>
      <w:pPr>
        <w:spacing w:line="360" w:lineRule="auto"/>
        <w:rPr>
          <w:b/>
          <w:bCs/>
          <w:sz w:val="32"/>
        </w:rPr>
      </w:pPr>
    </w:p>
    <w:p>
      <w:pPr>
        <w:spacing w:line="360" w:lineRule="auto"/>
        <w:jc w:val="center"/>
        <w:rPr>
          <w:rFonts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rPr>
          <w:b/>
          <w:bCs/>
          <w:sz w:val="18"/>
          <w:szCs w:val="18"/>
        </w:rPr>
      </w:pPr>
    </w:p>
    <w:p>
      <w:pPr>
        <w:spacing w:line="440" w:lineRule="exact"/>
        <w:ind w:firstLine="420" w:firstLineChars="200"/>
        <w:rPr>
          <w:szCs w:val="21"/>
        </w:rPr>
      </w:pPr>
      <w:r>
        <w:rPr>
          <w:rFonts w:hint="eastAsia"/>
          <w:szCs w:val="21"/>
        </w:rPr>
        <w:t>发包人（全称）：</w:t>
      </w:r>
    </w:p>
    <w:p>
      <w:pPr>
        <w:spacing w:line="440" w:lineRule="exact"/>
        <w:ind w:firstLine="420" w:firstLineChars="200"/>
        <w:rPr>
          <w:szCs w:val="21"/>
        </w:rPr>
      </w:pPr>
      <w:r>
        <w:rPr>
          <w:rFonts w:hint="eastAsia"/>
          <w:szCs w:val="21"/>
        </w:rPr>
        <w:t>承包人（全称）：</w:t>
      </w:r>
    </w:p>
    <w:p>
      <w:pPr>
        <w:spacing w:line="440" w:lineRule="exact"/>
        <w:ind w:firstLine="420" w:firstLineChars="200"/>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22" w:firstLineChars="200"/>
        <w:rPr>
          <w:b/>
          <w:szCs w:val="21"/>
        </w:rPr>
      </w:pPr>
      <w:r>
        <w:rPr>
          <w:rFonts w:hint="eastAsia"/>
          <w:b/>
          <w:szCs w:val="21"/>
        </w:rPr>
        <w:t>一、工程质量保修范围和内容</w:t>
      </w:r>
    </w:p>
    <w:p>
      <w:pPr>
        <w:spacing w:line="440" w:lineRule="exact"/>
        <w:ind w:firstLine="420" w:firstLineChars="200"/>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22" w:firstLineChars="200"/>
        <w:rPr>
          <w:b/>
          <w:szCs w:val="21"/>
        </w:rPr>
      </w:pPr>
      <w:r>
        <w:rPr>
          <w:rFonts w:hint="eastAsia"/>
          <w:b/>
          <w:szCs w:val="21"/>
        </w:rPr>
        <w:t>二、质量保修期</w:t>
      </w:r>
    </w:p>
    <w:p>
      <w:pPr>
        <w:spacing w:line="440" w:lineRule="exact"/>
        <w:ind w:firstLine="420" w:firstLineChars="200"/>
        <w:rPr>
          <w:szCs w:val="21"/>
        </w:rPr>
      </w:pPr>
      <w:r>
        <w:rPr>
          <w:rFonts w:hint="eastAsia"/>
          <w:szCs w:val="21"/>
        </w:rPr>
        <w:t>质量保修期从工程实际竣工之日算起。分单项竣工验收的工程，按单项工程分别计算质量保修期。</w:t>
      </w:r>
    </w:p>
    <w:p>
      <w:pPr>
        <w:spacing w:line="440" w:lineRule="exact"/>
        <w:ind w:firstLine="420" w:firstLineChars="200"/>
        <w:rPr>
          <w:szCs w:val="21"/>
        </w:rPr>
      </w:pPr>
      <w:r>
        <w:rPr>
          <w:rFonts w:hint="eastAsia"/>
          <w:szCs w:val="21"/>
        </w:rPr>
        <w:t>质量保修期自竣工验收合格之日起计算。</w:t>
      </w:r>
    </w:p>
    <w:p>
      <w:pPr>
        <w:ind w:firstLine="422" w:firstLineChars="200"/>
        <w:rPr>
          <w:b/>
          <w:szCs w:val="21"/>
        </w:rPr>
      </w:pPr>
      <w:r>
        <w:rPr>
          <w:rFonts w:hint="eastAsia"/>
          <w:b/>
          <w:szCs w:val="21"/>
        </w:rPr>
        <w:t>三、质量保修责任</w:t>
      </w:r>
    </w:p>
    <w:p>
      <w:pPr>
        <w:spacing w:line="440" w:lineRule="exact"/>
        <w:ind w:firstLine="420" w:firstLineChars="200"/>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20" w:firstLineChars="200"/>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20" w:firstLineChars="200"/>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20" w:firstLineChars="200"/>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20" w:firstLineChars="200"/>
        <w:rPr>
          <w:szCs w:val="21"/>
        </w:rPr>
      </w:pPr>
      <w:r>
        <w:rPr>
          <w:rFonts w:hint="eastAsia"/>
          <w:szCs w:val="21"/>
        </w:rPr>
        <w:t>5、监理单位在工程质量保修期内的工作</w:t>
      </w:r>
    </w:p>
    <w:p>
      <w:pPr>
        <w:spacing w:line="440" w:lineRule="exact"/>
        <w:ind w:firstLine="420" w:firstLineChars="200"/>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20" w:firstLineChars="200"/>
        <w:rPr>
          <w:szCs w:val="21"/>
        </w:rPr>
      </w:pPr>
      <w:r>
        <w:rPr>
          <w:rFonts w:hint="eastAsia"/>
          <w:szCs w:val="21"/>
        </w:rPr>
        <w:t>②、审批承包方编制的工程质量缺陷修整方案。</w:t>
      </w:r>
    </w:p>
    <w:p>
      <w:pPr>
        <w:spacing w:line="440" w:lineRule="exact"/>
        <w:ind w:firstLine="420" w:firstLineChars="200"/>
        <w:rPr>
          <w:szCs w:val="21"/>
        </w:rPr>
      </w:pPr>
      <w:r>
        <w:rPr>
          <w:rFonts w:hint="eastAsia"/>
          <w:szCs w:val="21"/>
        </w:rPr>
        <w:t>③、承包方完成工程质量缺陷的修整后，组织有关部门进行验收，并将结果书面上报发包方。</w:t>
      </w:r>
    </w:p>
    <w:p>
      <w:pPr>
        <w:spacing w:line="440" w:lineRule="exact"/>
        <w:ind w:firstLine="420" w:firstLineChars="200"/>
        <w:rPr>
          <w:szCs w:val="21"/>
        </w:rPr>
      </w:pPr>
      <w:r>
        <w:rPr>
          <w:rFonts w:hint="eastAsia"/>
          <w:szCs w:val="21"/>
        </w:rPr>
        <w:t>6、质量保修完成后，由发包人组织验收。</w:t>
      </w:r>
    </w:p>
    <w:p>
      <w:pPr>
        <w:ind w:firstLine="422" w:firstLineChars="200"/>
        <w:rPr>
          <w:b/>
          <w:szCs w:val="21"/>
        </w:rPr>
      </w:pPr>
      <w:r>
        <w:rPr>
          <w:rFonts w:hint="eastAsia"/>
          <w:b/>
          <w:szCs w:val="21"/>
        </w:rPr>
        <w:t>四、保修费用</w:t>
      </w:r>
    </w:p>
    <w:p>
      <w:pPr>
        <w:spacing w:line="440" w:lineRule="exact"/>
        <w:ind w:firstLine="420" w:firstLineChars="200"/>
        <w:rPr>
          <w:szCs w:val="21"/>
        </w:rPr>
      </w:pPr>
      <w:r>
        <w:rPr>
          <w:rFonts w:hint="eastAsia"/>
          <w:szCs w:val="21"/>
        </w:rPr>
        <w:t>保修费用由造成质量缺陷的责任方承担。</w:t>
      </w:r>
    </w:p>
    <w:p>
      <w:pPr>
        <w:ind w:firstLine="422" w:firstLineChars="200"/>
        <w:rPr>
          <w:b/>
          <w:szCs w:val="21"/>
        </w:rPr>
      </w:pPr>
      <w:r>
        <w:rPr>
          <w:rFonts w:hint="eastAsia"/>
          <w:b/>
          <w:szCs w:val="21"/>
        </w:rPr>
        <w:t>五、其他</w:t>
      </w:r>
    </w:p>
    <w:p>
      <w:pPr>
        <w:spacing w:line="440" w:lineRule="exact"/>
        <w:ind w:firstLine="420" w:firstLineChars="200"/>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20" w:firstLineChars="200"/>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20" w:firstLineChars="200"/>
        <w:rPr>
          <w:szCs w:val="21"/>
        </w:rPr>
      </w:pPr>
    </w:p>
    <w:p>
      <w:pPr>
        <w:spacing w:line="360" w:lineRule="auto"/>
        <w:ind w:firstLine="420" w:firstLineChars="200"/>
        <w:rPr>
          <w:szCs w:val="21"/>
        </w:rPr>
      </w:pPr>
    </w:p>
    <w:p>
      <w:pPr>
        <w:spacing w:line="360" w:lineRule="auto"/>
        <w:ind w:firstLine="420" w:firstLineChars="200"/>
        <w:rPr>
          <w:szCs w:val="21"/>
        </w:rPr>
      </w:pPr>
      <w:r>
        <w:rPr>
          <w:rFonts w:hint="eastAsia"/>
          <w:szCs w:val="21"/>
        </w:rPr>
        <w:t>发包人（公章）：                       承包人（公章）：</w:t>
      </w:r>
    </w:p>
    <w:p>
      <w:pPr>
        <w:spacing w:line="360" w:lineRule="auto"/>
        <w:ind w:firstLine="420" w:firstLineChars="200"/>
        <w:rPr>
          <w:szCs w:val="21"/>
        </w:rPr>
      </w:pPr>
    </w:p>
    <w:p>
      <w:pPr>
        <w:spacing w:line="360" w:lineRule="auto"/>
        <w:ind w:firstLine="420" w:firstLineChars="200"/>
        <w:rPr>
          <w:szCs w:val="21"/>
        </w:rPr>
      </w:pPr>
      <w:r>
        <w:rPr>
          <w:rFonts w:hint="eastAsia"/>
          <w:szCs w:val="21"/>
        </w:rPr>
        <w:t>法定代表人或                           法定代表人或</w:t>
      </w:r>
    </w:p>
    <w:p>
      <w:pPr>
        <w:spacing w:line="360" w:lineRule="auto"/>
        <w:ind w:firstLine="420" w:firstLineChars="200"/>
        <w:rPr>
          <w:szCs w:val="21"/>
        </w:rPr>
      </w:pPr>
      <w:r>
        <w:rPr>
          <w:rFonts w:hint="eastAsia"/>
          <w:szCs w:val="21"/>
        </w:rPr>
        <w:t>委托代理人（签字）：                    委托代理人（签字）：</w:t>
      </w:r>
    </w:p>
    <w:p>
      <w:pPr>
        <w:spacing w:line="360" w:lineRule="auto"/>
        <w:ind w:firstLine="420" w:firstLineChars="200"/>
        <w:rPr>
          <w:szCs w:val="21"/>
        </w:rPr>
      </w:pPr>
    </w:p>
    <w:p>
      <w:pPr>
        <w:spacing w:line="360" w:lineRule="auto"/>
        <w:ind w:firstLine="1785" w:firstLineChars="850"/>
      </w:pPr>
      <w:r>
        <w:rPr>
          <w:rFonts w:hint="eastAsia"/>
          <w:szCs w:val="21"/>
        </w:rPr>
        <w:t>年   月   日                         年   月   日</w:t>
      </w:r>
    </w:p>
    <w:p>
      <w:pPr>
        <w:ind w:firstLine="420" w:firstLineChars="200"/>
      </w:pPr>
    </w:p>
    <w:p>
      <w:pPr>
        <w:ind w:firstLine="643" w:firstLineChars="200"/>
        <w:rPr>
          <w:rFonts w:ascii="宋体" w:hAnsi="宋体"/>
          <w:b/>
          <w:kern w:val="44"/>
          <w:sz w:val="32"/>
          <w:szCs w:val="44"/>
        </w:rPr>
      </w:pPr>
    </w:p>
    <w:p>
      <w:pPr>
        <w:pStyle w:val="57"/>
        <w:ind w:firstLine="321"/>
        <w:rPr>
          <w:rFonts w:ascii="宋体" w:hAnsi="宋体"/>
          <w:b/>
          <w:kern w:val="44"/>
          <w:sz w:val="32"/>
          <w:szCs w:val="44"/>
        </w:rPr>
      </w:pPr>
    </w:p>
    <w:p>
      <w:pPr>
        <w:pStyle w:val="57"/>
        <w:ind w:firstLine="321"/>
        <w:rPr>
          <w:rFonts w:ascii="宋体" w:hAnsi="宋体"/>
          <w:b/>
          <w:kern w:val="44"/>
          <w:sz w:val="32"/>
          <w:szCs w:val="44"/>
        </w:rPr>
      </w:pPr>
    </w:p>
    <w:p>
      <w:pPr>
        <w:ind w:firstLine="643" w:firstLineChars="200"/>
        <w:rPr>
          <w:rFonts w:ascii="宋体" w:hAnsi="宋体"/>
          <w:b/>
          <w:kern w:val="44"/>
          <w:sz w:val="32"/>
          <w:szCs w:val="44"/>
        </w:rPr>
      </w:pPr>
    </w:p>
    <w:p>
      <w:pPr>
        <w:ind w:firstLine="643" w:firstLineChars="200"/>
        <w:rPr>
          <w:rFonts w:ascii="黑体" w:hAnsi="黑体" w:eastAsia="黑体"/>
          <w:b/>
          <w:kern w:val="44"/>
          <w:sz w:val="32"/>
          <w:szCs w:val="44"/>
        </w:rPr>
      </w:pPr>
    </w:p>
    <w:p>
      <w:pPr>
        <w:ind w:firstLine="643" w:firstLineChars="200"/>
        <w:rPr>
          <w:rFonts w:ascii="黑体" w:hAnsi="黑体" w:eastAsia="黑体"/>
          <w:b/>
          <w:kern w:val="44"/>
          <w:sz w:val="32"/>
          <w:szCs w:val="44"/>
        </w:rPr>
      </w:pPr>
    </w:p>
    <w:p>
      <w:pPr>
        <w:ind w:firstLine="643" w:firstLineChars="200"/>
        <w:rPr>
          <w:rFonts w:ascii="黑体" w:hAnsi="黑体" w:eastAsia="黑体"/>
          <w:b/>
          <w:kern w:val="44"/>
          <w:sz w:val="32"/>
          <w:szCs w:val="44"/>
        </w:rPr>
      </w:pPr>
    </w:p>
    <w:p/>
    <w:p/>
    <w:p/>
    <w:p/>
    <w:p>
      <w:pPr>
        <w:pStyle w:val="5"/>
        <w:jc w:val="center"/>
      </w:pPr>
      <w:bookmarkStart w:id="85" w:name="_Toc27226"/>
      <w:bookmarkStart w:id="86" w:name="_Toc11393"/>
      <w:r>
        <w:rPr>
          <w:rFonts w:hint="eastAsia"/>
        </w:rPr>
        <w:t>第五章 工程量清单</w:t>
      </w:r>
      <w:bookmarkEnd w:id="85"/>
      <w:bookmarkEnd w:id="86"/>
      <w:r>
        <w:rPr>
          <w:rFonts w:hint="eastAsia"/>
        </w:rPr>
        <w:t>（见电子招标文件附件）</w:t>
      </w: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pStyle w:val="5"/>
        <w:jc w:val="center"/>
      </w:pPr>
      <w:bookmarkStart w:id="87" w:name="_Toc30512"/>
      <w:bookmarkStart w:id="88" w:name="_Toc14385"/>
      <w:r>
        <w:rPr>
          <w:rFonts w:hint="eastAsia"/>
        </w:rPr>
        <w:t>第六章 图纸</w:t>
      </w:r>
      <w:bookmarkEnd w:id="87"/>
      <w:bookmarkEnd w:id="88"/>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pStyle w:val="5"/>
        <w:jc w:val="center"/>
      </w:pPr>
      <w:bookmarkStart w:id="89" w:name="_Toc16856"/>
      <w:bookmarkStart w:id="90" w:name="_Toc14891"/>
      <w:r>
        <w:rPr>
          <w:rFonts w:hint="eastAsia"/>
        </w:rPr>
        <w:t>第七章 技术标准</w:t>
      </w:r>
      <w:bookmarkEnd w:id="89"/>
      <w:bookmarkEnd w:id="90"/>
    </w:p>
    <w:p>
      <w:pPr>
        <w:autoSpaceDE w:val="0"/>
        <w:autoSpaceDN w:val="0"/>
        <w:adjustRightInd w:val="0"/>
        <w:spacing w:line="440" w:lineRule="exact"/>
        <w:ind w:firstLine="700" w:firstLineChars="250"/>
        <w:rPr>
          <w:rFonts w:ascii="宋体" w:hAnsi="宋体" w:cs="仿宋_GB2312"/>
          <w:kern w:val="0"/>
          <w:sz w:val="28"/>
          <w:szCs w:val="28"/>
        </w:rPr>
      </w:pPr>
      <w:r>
        <w:rPr>
          <w:rFonts w:hint="eastAsia" w:ascii="宋体" w:hAnsi="宋体" w:cs="仿宋_GB2312"/>
          <w:kern w:val="0"/>
          <w:sz w:val="28"/>
          <w:szCs w:val="28"/>
        </w:rPr>
        <w:t>一、依据设计施工图纸和技术文件要求，本工程项目的材料、设备、施工必须达到以下现行中华人民共和国及省、市、行业的一切有关法规、规范的要求，如下述标准及规范要求有出入则以较严格者为准。</w:t>
      </w: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黑体" w:hAnsi="黑体" w:eastAsia="黑体"/>
          <w:b/>
          <w:kern w:val="44"/>
          <w:sz w:val="32"/>
          <w:szCs w:val="44"/>
        </w:rPr>
      </w:pPr>
    </w:p>
    <w:p>
      <w:pPr>
        <w:rPr>
          <w:rFonts w:ascii="黑体" w:hAnsi="黑体" w:eastAsia="黑体"/>
          <w:b/>
          <w:kern w:val="44"/>
          <w:sz w:val="32"/>
          <w:szCs w:val="44"/>
        </w:rPr>
      </w:pPr>
    </w:p>
    <w:p>
      <w:pPr>
        <w:rPr>
          <w:rFonts w:hint="eastAsia"/>
        </w:rPr>
      </w:pPr>
      <w:bookmarkStart w:id="91" w:name="_Toc22294"/>
      <w:r>
        <w:rPr>
          <w:rFonts w:hint="eastAsia"/>
        </w:rPr>
        <w:br w:type="page"/>
      </w:r>
    </w:p>
    <w:p>
      <w:pPr>
        <w:pStyle w:val="5"/>
        <w:jc w:val="center"/>
      </w:pPr>
      <w:r>
        <w:rPr>
          <w:rFonts w:hint="eastAsia"/>
        </w:rPr>
        <w:t>第八章 投标文件格式</w:t>
      </w:r>
      <w:bookmarkEnd w:id="91"/>
    </w:p>
    <w:p>
      <w:pPr>
        <w:autoSpaceDE w:val="0"/>
        <w:autoSpaceDN w:val="0"/>
        <w:adjustRightInd w:val="0"/>
        <w:spacing w:line="360" w:lineRule="auto"/>
        <w:ind w:firstLine="2530" w:firstLineChars="900"/>
        <w:jc w:val="right"/>
        <w:rPr>
          <w:rFonts w:ascii="宋体" w:hAnsi="宋体" w:cs="TimesNewRomanPSMT"/>
          <w:b/>
          <w:kern w:val="0"/>
          <w:sz w:val="28"/>
          <w:szCs w:val="28"/>
        </w:rPr>
      </w:pPr>
    </w:p>
    <w:p>
      <w:pPr>
        <w:autoSpaceDE w:val="0"/>
        <w:autoSpaceDN w:val="0"/>
        <w:adjustRightInd w:val="0"/>
        <w:ind w:firstLine="1860" w:firstLineChars="600"/>
        <w:jc w:val="left"/>
        <w:rPr>
          <w:rFonts w:ascii="宋体" w:hAnsi="宋体" w:cs="黑体"/>
          <w:kern w:val="0"/>
          <w:sz w:val="28"/>
          <w:szCs w:val="28"/>
        </w:rPr>
      </w:pPr>
      <w:r>
        <w:rPr>
          <w:rFonts w:hint="eastAsia" w:ascii="新宋体" w:hAnsi="新宋体" w:eastAsia="新宋体" w:cs="黑体"/>
          <w:sz w:val="31"/>
          <w:szCs w:val="31"/>
        </w:rPr>
        <w:t>（项目名称）</w:t>
      </w:r>
    </w:p>
    <w:p>
      <w:pPr>
        <w:autoSpaceDE w:val="0"/>
        <w:autoSpaceDN w:val="0"/>
        <w:adjustRightInd w:val="0"/>
        <w:spacing w:line="360" w:lineRule="auto"/>
        <w:jc w:val="center"/>
        <w:rPr>
          <w:rFonts w:ascii="宋体" w:hAnsi="宋体"/>
          <w:b/>
          <w:sz w:val="32"/>
          <w:szCs w:val="32"/>
          <w:u w:val="single"/>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jc w:val="center"/>
        <w:rPr>
          <w:rFonts w:ascii="宋体" w:hAnsi="宋体" w:cs="黑体"/>
          <w:b/>
          <w:spacing w:val="60"/>
          <w:kern w:val="0"/>
          <w:sz w:val="72"/>
          <w:szCs w:val="72"/>
        </w:rPr>
      </w:pPr>
      <w:r>
        <w:rPr>
          <w:rFonts w:hint="eastAsia" w:ascii="宋体" w:hAnsi="宋体" w:cs="黑体"/>
          <w:b/>
          <w:spacing w:val="60"/>
          <w:kern w:val="0"/>
          <w:sz w:val="72"/>
          <w:szCs w:val="72"/>
        </w:rPr>
        <w:t>投标文件</w:t>
      </w:r>
    </w:p>
    <w:p>
      <w:pPr>
        <w:autoSpaceDE w:val="0"/>
        <w:autoSpaceDN w:val="0"/>
        <w:adjustRightInd w:val="0"/>
        <w:ind w:firstLine="1400" w:firstLineChars="500"/>
        <w:rPr>
          <w:rFonts w:ascii="宋体" w:hAnsi="宋体"/>
          <w:sz w:val="28"/>
          <w:szCs w:val="28"/>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pStyle w:val="16"/>
        <w:spacing w:line="360" w:lineRule="auto"/>
        <w:ind w:firstLine="300" w:firstLineChars="100"/>
        <w:jc w:val="both"/>
        <w:rPr>
          <w:rFonts w:hAnsi="宋体" w:cs="黑体"/>
          <w:color w:val="auto"/>
          <w:sz w:val="30"/>
          <w:szCs w:val="30"/>
          <w:u w:val="single"/>
        </w:rPr>
      </w:pPr>
      <w:r>
        <w:rPr>
          <w:rFonts w:hint="eastAsia" w:hAnsi="宋体" w:cs="黑体"/>
          <w:color w:val="auto"/>
          <w:sz w:val="30"/>
          <w:szCs w:val="30"/>
        </w:rPr>
        <w:t>投标人：（盖单位公章）</w:t>
      </w:r>
    </w:p>
    <w:p>
      <w:pPr>
        <w:pStyle w:val="16"/>
        <w:spacing w:line="360" w:lineRule="auto"/>
        <w:ind w:firstLine="300" w:firstLineChars="100"/>
        <w:rPr>
          <w:rFonts w:hAnsi="宋体" w:cs="黑体"/>
          <w:color w:val="auto"/>
          <w:sz w:val="30"/>
          <w:szCs w:val="30"/>
          <w:u w:val="single"/>
        </w:rPr>
      </w:pPr>
      <w:r>
        <w:rPr>
          <w:rFonts w:hint="eastAsia" w:hAnsi="宋体" w:cs="黑体"/>
          <w:color w:val="auto"/>
          <w:sz w:val="30"/>
          <w:szCs w:val="30"/>
        </w:rPr>
        <w:t>法定代表人或其委托代理人：（签字或盖章）</w:t>
      </w:r>
    </w:p>
    <w:p>
      <w:pPr>
        <w:pStyle w:val="16"/>
        <w:spacing w:line="360" w:lineRule="auto"/>
        <w:jc w:val="center"/>
        <w:rPr>
          <w:rFonts w:hAnsi="宋体" w:cs="黑体"/>
          <w:b/>
          <w:sz w:val="32"/>
          <w:szCs w:val="32"/>
        </w:rPr>
      </w:pPr>
      <w:r>
        <w:rPr>
          <w:rFonts w:hint="eastAsia" w:hAnsi="宋体"/>
          <w:color w:val="auto"/>
          <w:sz w:val="30"/>
          <w:szCs w:val="30"/>
        </w:rPr>
        <w:t>___________年___________月___________ 日</w:t>
      </w:r>
    </w:p>
    <w:p>
      <w:pPr>
        <w:autoSpaceDE w:val="0"/>
        <w:autoSpaceDN w:val="0"/>
        <w:adjustRightInd w:val="0"/>
        <w:spacing w:line="360" w:lineRule="auto"/>
        <w:jc w:val="center"/>
        <w:rPr>
          <w:rFonts w:ascii="宋体" w:hAnsi="宋体" w:cs="黑体"/>
          <w:b/>
          <w:kern w:val="0"/>
          <w:sz w:val="44"/>
          <w:szCs w:val="44"/>
        </w:rPr>
      </w:pPr>
    </w:p>
    <w:p>
      <w:pPr>
        <w:pStyle w:val="57"/>
        <w:ind w:firstLine="442"/>
        <w:rPr>
          <w:rFonts w:ascii="宋体" w:hAnsi="宋体" w:cs="黑体"/>
          <w:b/>
          <w:kern w:val="0"/>
          <w:sz w:val="44"/>
          <w:szCs w:val="44"/>
        </w:rPr>
      </w:pPr>
    </w:p>
    <w:p>
      <w:pPr>
        <w:pStyle w:val="7"/>
        <w:jc w:val="center"/>
        <w:rPr>
          <w:rFonts w:ascii="黑体" w:eastAsia="黑体"/>
          <w:sz w:val="32"/>
        </w:rPr>
      </w:pPr>
      <w:bookmarkStart w:id="92" w:name="_Toc19948"/>
      <w:bookmarkStart w:id="93" w:name="_Toc8692"/>
      <w:r>
        <w:rPr>
          <w:rFonts w:hint="eastAsia" w:ascii="黑体" w:eastAsia="黑体"/>
          <w:sz w:val="32"/>
        </w:rPr>
        <w:t>目    录</w:t>
      </w:r>
      <w:bookmarkEnd w:id="92"/>
      <w:bookmarkEnd w:id="93"/>
    </w:p>
    <w:p>
      <w:pPr>
        <w:autoSpaceDE w:val="0"/>
        <w:autoSpaceDN w:val="0"/>
        <w:adjustRightInd w:val="0"/>
        <w:spacing w:line="360" w:lineRule="auto"/>
        <w:jc w:val="center"/>
        <w:rPr>
          <w:rFonts w:ascii="宋体" w:hAnsi="宋体" w:cs="黑体"/>
          <w:b/>
          <w:kern w:val="0"/>
          <w:sz w:val="32"/>
          <w:szCs w:val="32"/>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一、投标函及投标函附录</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二、法定代表人身份证明</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三、授权委托书</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四、</w:t>
      </w:r>
      <w:r>
        <w:rPr>
          <w:rFonts w:hint="eastAsia" w:ascii="宋体" w:hAnsi="宋体" w:cs="仿宋_GB2312"/>
          <w:kern w:val="0"/>
          <w:sz w:val="28"/>
          <w:szCs w:val="28"/>
          <w:lang w:val="en-US" w:eastAsia="zh-CN"/>
        </w:rPr>
        <w:t>完税</w:t>
      </w:r>
      <w:r>
        <w:rPr>
          <w:rFonts w:hint="eastAsia" w:ascii="宋体" w:hAnsi="宋体" w:cs="仿宋_GB2312"/>
          <w:kern w:val="0"/>
          <w:sz w:val="28"/>
          <w:szCs w:val="28"/>
        </w:rPr>
        <w:t>凭证、社保证明</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五、网站截图</w:t>
      </w:r>
    </w:p>
    <w:p>
      <w:pPr>
        <w:autoSpaceDE w:val="0"/>
        <w:autoSpaceDN w:val="0"/>
        <w:adjustRightInd w:val="0"/>
        <w:spacing w:line="360" w:lineRule="auto"/>
        <w:jc w:val="left"/>
        <w:rPr>
          <w:rFonts w:hint="default" w:ascii="宋体" w:hAnsi="宋体" w:eastAsia="宋体" w:cs="仿宋_GB2312"/>
          <w:kern w:val="0"/>
          <w:sz w:val="28"/>
          <w:szCs w:val="28"/>
          <w:lang w:val="en-US" w:eastAsia="zh-CN"/>
        </w:rPr>
      </w:pPr>
      <w:r>
        <w:rPr>
          <w:rFonts w:hint="eastAsia" w:ascii="宋体" w:hAnsi="宋体" w:cs="仿宋_GB2312"/>
          <w:kern w:val="0"/>
          <w:sz w:val="28"/>
          <w:szCs w:val="28"/>
        </w:rPr>
        <w:t>六、</w:t>
      </w:r>
      <w:r>
        <w:rPr>
          <w:rFonts w:hint="eastAsia" w:ascii="宋体" w:hAnsi="宋体" w:cs="仿宋_GB2312"/>
          <w:kern w:val="0"/>
          <w:sz w:val="28"/>
          <w:szCs w:val="28"/>
          <w:lang w:val="en-US" w:eastAsia="zh-CN"/>
        </w:rPr>
        <w:t>工程量清单</w:t>
      </w:r>
    </w:p>
    <w:p>
      <w:pPr>
        <w:autoSpaceDE w:val="0"/>
        <w:autoSpaceDN w:val="0"/>
        <w:adjustRightInd w:val="0"/>
        <w:spacing w:line="360" w:lineRule="auto"/>
        <w:jc w:val="left"/>
      </w:pPr>
      <w:r>
        <w:rPr>
          <w:rFonts w:hint="eastAsia" w:ascii="宋体" w:hAnsi="宋体" w:cs="仿宋_GB2312"/>
          <w:kern w:val="0"/>
          <w:sz w:val="28"/>
          <w:szCs w:val="28"/>
          <w:lang w:val="en-US" w:eastAsia="zh-CN"/>
        </w:rPr>
        <w:t>七</w:t>
      </w:r>
      <w:r>
        <w:rPr>
          <w:rFonts w:hint="eastAsia" w:ascii="宋体" w:hAnsi="宋体" w:cs="仿宋_GB2312"/>
          <w:kern w:val="0"/>
          <w:sz w:val="28"/>
          <w:szCs w:val="28"/>
        </w:rPr>
        <w:t>、施工方案</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lang w:val="en-US" w:eastAsia="zh-CN"/>
        </w:rPr>
        <w:t>八</w:t>
      </w:r>
      <w:r>
        <w:rPr>
          <w:rFonts w:hint="eastAsia" w:ascii="宋体" w:hAnsi="宋体" w:cs="仿宋_GB2312"/>
          <w:kern w:val="0"/>
          <w:sz w:val="28"/>
          <w:szCs w:val="28"/>
        </w:rPr>
        <w:t>、项目管理机构</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lang w:val="en-US" w:eastAsia="zh-CN"/>
        </w:rPr>
        <w:t>九</w:t>
      </w:r>
      <w:r>
        <w:rPr>
          <w:rFonts w:hint="eastAsia" w:ascii="宋体" w:hAnsi="宋体" w:cs="仿宋_GB2312"/>
          <w:kern w:val="0"/>
          <w:sz w:val="28"/>
          <w:szCs w:val="28"/>
        </w:rPr>
        <w:t>、项目经理无在建工程承诺</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lang w:val="en-US" w:eastAsia="zh-CN"/>
        </w:rPr>
        <w:t>十</w:t>
      </w:r>
      <w:r>
        <w:rPr>
          <w:rFonts w:hint="eastAsia" w:ascii="宋体" w:hAnsi="宋体" w:cs="仿宋_GB2312"/>
          <w:kern w:val="0"/>
          <w:sz w:val="28"/>
          <w:szCs w:val="28"/>
        </w:rPr>
        <w:t>、资格审查资料</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十</w:t>
      </w:r>
      <w:r>
        <w:rPr>
          <w:rFonts w:hint="eastAsia" w:ascii="宋体" w:hAnsi="宋体" w:cs="仿宋_GB2312"/>
          <w:kern w:val="0"/>
          <w:sz w:val="28"/>
          <w:szCs w:val="28"/>
          <w:lang w:val="en-US" w:eastAsia="zh-CN"/>
        </w:rPr>
        <w:t>一</w:t>
      </w:r>
      <w:r>
        <w:rPr>
          <w:rFonts w:hint="eastAsia" w:ascii="宋体" w:hAnsi="宋体" w:cs="仿宋_GB2312"/>
          <w:kern w:val="0"/>
          <w:sz w:val="28"/>
          <w:szCs w:val="28"/>
        </w:rPr>
        <w:t>、中小企业声明函（工程、服务）</w:t>
      </w:r>
    </w:p>
    <w:p>
      <w:pPr>
        <w:autoSpaceDE w:val="0"/>
        <w:autoSpaceDN w:val="0"/>
        <w:adjustRightInd w:val="0"/>
        <w:spacing w:line="360" w:lineRule="auto"/>
        <w:jc w:val="left"/>
        <w:rPr>
          <w:rFonts w:hint="eastAsia" w:ascii="宋体" w:hAnsi="宋体" w:cs="仿宋_GB2312"/>
          <w:kern w:val="0"/>
          <w:sz w:val="28"/>
          <w:szCs w:val="28"/>
        </w:rPr>
      </w:pPr>
      <w:r>
        <w:rPr>
          <w:rFonts w:hint="eastAsia" w:ascii="宋体" w:hAnsi="宋体" w:cs="仿宋_GB2312"/>
          <w:kern w:val="0"/>
          <w:sz w:val="28"/>
          <w:szCs w:val="28"/>
        </w:rPr>
        <w:t>十</w:t>
      </w:r>
      <w:r>
        <w:rPr>
          <w:rFonts w:hint="eastAsia" w:ascii="宋体" w:hAnsi="宋体" w:cs="仿宋_GB2312"/>
          <w:kern w:val="0"/>
          <w:sz w:val="28"/>
          <w:szCs w:val="28"/>
          <w:lang w:val="en-US" w:eastAsia="zh-CN"/>
        </w:rPr>
        <w:t>二</w:t>
      </w:r>
      <w:r>
        <w:rPr>
          <w:rFonts w:hint="eastAsia" w:ascii="宋体" w:hAnsi="宋体" w:cs="仿宋_GB2312"/>
          <w:kern w:val="0"/>
          <w:sz w:val="28"/>
          <w:szCs w:val="28"/>
        </w:rPr>
        <w:t>、其它投标人认为有必要加入的材料</w:t>
      </w:r>
    </w:p>
    <w:p>
      <w:pPr>
        <w:autoSpaceDE w:val="0"/>
        <w:autoSpaceDN w:val="0"/>
        <w:adjustRightInd w:val="0"/>
        <w:spacing w:line="360" w:lineRule="auto"/>
        <w:jc w:val="left"/>
        <w:rPr>
          <w:rFonts w:hint="eastAsia" w:ascii="宋体" w:hAnsi="宋体" w:cs="仿宋_GB2312"/>
          <w:kern w:val="0"/>
          <w:sz w:val="28"/>
          <w:szCs w:val="28"/>
          <w:lang w:val="en-US" w:eastAsia="zh-CN"/>
        </w:rPr>
      </w:pPr>
      <w:r>
        <w:rPr>
          <w:rFonts w:hint="eastAsia" w:ascii="宋体" w:hAnsi="宋体" w:cs="仿宋_GB2312"/>
          <w:kern w:val="0"/>
          <w:sz w:val="28"/>
          <w:szCs w:val="28"/>
          <w:lang w:val="en-US" w:eastAsia="zh-CN"/>
        </w:rPr>
        <w:t>十三、周口市政府采购合同融资政策告知函</w:t>
      </w:r>
    </w:p>
    <w:p>
      <w:pPr>
        <w:autoSpaceDE w:val="0"/>
        <w:autoSpaceDN w:val="0"/>
        <w:adjustRightInd w:val="0"/>
        <w:spacing w:line="360" w:lineRule="auto"/>
        <w:jc w:val="left"/>
        <w:rPr>
          <w:rFonts w:ascii="宋体" w:hAnsi="宋体" w:cs="仿宋_GB2312"/>
          <w:kern w:val="0"/>
          <w:sz w:val="28"/>
          <w:szCs w:val="28"/>
        </w:rPr>
      </w:pPr>
    </w:p>
    <w:p>
      <w:pPr>
        <w:pStyle w:val="57"/>
        <w:ind w:firstLine="210"/>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ab/>
      </w: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rPr>
          <w:rFonts w:ascii="宋体" w:hAnsi="宋体" w:cs="仿宋_GB2312"/>
          <w:kern w:val="0"/>
          <w:sz w:val="28"/>
          <w:szCs w:val="28"/>
        </w:rPr>
      </w:pPr>
    </w:p>
    <w:p>
      <w:pPr>
        <w:pStyle w:val="57"/>
        <w:ind w:firstLine="280"/>
        <w:rPr>
          <w:rFonts w:ascii="宋体" w:hAnsi="宋体" w:cs="仿宋_GB2312"/>
          <w:kern w:val="0"/>
          <w:sz w:val="28"/>
          <w:szCs w:val="28"/>
        </w:rPr>
      </w:pPr>
    </w:p>
    <w:p>
      <w:pPr>
        <w:pStyle w:val="57"/>
        <w:ind w:firstLine="280"/>
        <w:rPr>
          <w:rFonts w:ascii="宋体" w:hAnsi="宋体" w:cs="仿宋_GB2312"/>
          <w:kern w:val="0"/>
          <w:sz w:val="28"/>
          <w:szCs w:val="28"/>
        </w:rPr>
      </w:pPr>
    </w:p>
    <w:p>
      <w:pPr>
        <w:pStyle w:val="57"/>
        <w:ind w:firstLine="280"/>
        <w:rPr>
          <w:rFonts w:ascii="宋体" w:hAnsi="宋体" w:cs="仿宋_GB2312"/>
          <w:kern w:val="0"/>
          <w:sz w:val="28"/>
          <w:szCs w:val="28"/>
        </w:rPr>
      </w:pPr>
    </w:p>
    <w:p>
      <w:pPr>
        <w:pStyle w:val="57"/>
        <w:ind w:firstLine="280"/>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pStyle w:val="7"/>
        <w:jc w:val="center"/>
        <w:rPr>
          <w:rFonts w:ascii="黑体" w:eastAsia="黑体"/>
          <w:sz w:val="32"/>
        </w:rPr>
      </w:pPr>
      <w:bookmarkStart w:id="94" w:name="_Toc19209"/>
      <w:bookmarkStart w:id="95" w:name="_Toc8940"/>
      <w:r>
        <w:rPr>
          <w:rFonts w:hint="eastAsia" w:ascii="黑体" w:eastAsia="黑体"/>
          <w:sz w:val="32"/>
        </w:rPr>
        <w:t>一、投标函及投标函附录</w:t>
      </w:r>
      <w:bookmarkEnd w:id="94"/>
      <w:bookmarkEnd w:id="95"/>
    </w:p>
    <w:p>
      <w:pPr>
        <w:numPr>
          <w:ilvl w:val="0"/>
          <w:numId w:val="3"/>
        </w:numPr>
        <w:autoSpaceDE w:val="0"/>
        <w:autoSpaceDN w:val="0"/>
        <w:adjustRightInd w:val="0"/>
        <w:spacing w:line="360" w:lineRule="exact"/>
        <w:jc w:val="center"/>
        <w:rPr>
          <w:rFonts w:ascii="宋体" w:hAnsi="宋体" w:cs="黑体"/>
          <w:kern w:val="0"/>
          <w:sz w:val="28"/>
          <w:szCs w:val="28"/>
        </w:rPr>
      </w:pPr>
      <w:r>
        <w:rPr>
          <w:rFonts w:hint="eastAsia" w:ascii="宋体" w:hAnsi="宋体" w:cs="黑体"/>
          <w:kern w:val="0"/>
          <w:sz w:val="28"/>
          <w:szCs w:val="28"/>
        </w:rPr>
        <w:t>投 标 函</w:t>
      </w:r>
    </w:p>
    <w:p>
      <w:pPr>
        <w:autoSpaceDE w:val="0"/>
        <w:autoSpaceDN w:val="0"/>
        <w:adjustRightInd w:val="0"/>
        <w:spacing w:line="360" w:lineRule="exact"/>
        <w:jc w:val="left"/>
        <w:rPr>
          <w:rFonts w:ascii="宋体" w:hAnsi="宋体" w:cs="黑体"/>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color w:val="000000"/>
        </w:rPr>
        <w:t>（采购人或采购代理机构）</w:t>
      </w:r>
      <w:r>
        <w:rPr>
          <w:rFonts w:hint="eastAsia" w:ascii="宋体" w:hAnsi="宋体" w:cs="仿宋_GB2312"/>
          <w:kern w:val="0"/>
          <w:sz w:val="28"/>
          <w:szCs w:val="28"/>
        </w:rPr>
        <w:t>：</w:t>
      </w:r>
    </w:p>
    <w:p>
      <w:pPr>
        <w:autoSpaceDE w:val="0"/>
        <w:autoSpaceDN w:val="0"/>
        <w:adjustRightInd w:val="0"/>
        <w:spacing w:line="360" w:lineRule="exact"/>
        <w:jc w:val="left"/>
        <w:rPr>
          <w:rFonts w:ascii="宋体" w:hAnsi="宋体" w:cs="仿宋_GB2312"/>
          <w:kern w:val="0"/>
          <w:sz w:val="28"/>
          <w:szCs w:val="28"/>
        </w:rPr>
      </w:pP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1</w:t>
      </w:r>
      <w:r>
        <w:rPr>
          <w:rFonts w:hint="eastAsia" w:ascii="宋体" w:hAnsi="宋体" w:cs="仿宋_GB2312"/>
          <w:kern w:val="0"/>
          <w:sz w:val="28"/>
          <w:szCs w:val="28"/>
        </w:rPr>
        <w:t>．我方已仔细研究了</w:t>
      </w:r>
      <w:r>
        <w:rPr>
          <w:rFonts w:hint="eastAsia" w:ascii="宋体" w:hAnsi="宋体" w:cs="仿宋_GB2312"/>
          <w:kern w:val="0"/>
          <w:sz w:val="28"/>
          <w:szCs w:val="28"/>
          <w:u w:val="single"/>
        </w:rPr>
        <w:t>*****项目招</w:t>
      </w:r>
      <w:r>
        <w:rPr>
          <w:rFonts w:hint="eastAsia" w:ascii="宋体" w:hAnsi="宋体" w:cs="仿宋_GB2312"/>
          <w:kern w:val="0"/>
          <w:sz w:val="28"/>
          <w:szCs w:val="28"/>
        </w:rPr>
        <w:t>标文件的全部内容，愿意以人民币（大写）</w:t>
      </w:r>
      <w:r>
        <w:rPr>
          <w:rFonts w:hint="eastAsia" w:ascii="宋体" w:hAnsi="宋体" w:cs="仿宋_GB2312"/>
          <w:kern w:val="0"/>
          <w:sz w:val="28"/>
          <w:szCs w:val="28"/>
          <w:u w:val="single"/>
        </w:rPr>
        <w:t xml:space="preserve">        元    （</w:t>
      </w:r>
      <w:r>
        <w:rPr>
          <w:rFonts w:hint="eastAsia" w:ascii="宋体" w:hAnsi="宋体" w:cs="TimesNewRomanPSMT"/>
          <w:kern w:val="0"/>
          <w:sz w:val="28"/>
          <w:szCs w:val="28"/>
          <w:u w:val="single"/>
        </w:rPr>
        <w:t>¥</w:t>
      </w:r>
      <w:r>
        <w:rPr>
          <w:rFonts w:hint="eastAsia" w:ascii="宋体" w:hAnsi="宋体" w:cs="仿宋_GB2312"/>
          <w:kern w:val="0"/>
          <w:sz w:val="28"/>
          <w:szCs w:val="28"/>
          <w:u w:val="single"/>
        </w:rPr>
        <w:t>）</w:t>
      </w:r>
      <w:r>
        <w:rPr>
          <w:rFonts w:hint="eastAsia" w:ascii="宋体" w:hAnsi="宋体" w:cs="仿宋_GB2312"/>
          <w:kern w:val="0"/>
          <w:sz w:val="28"/>
          <w:szCs w:val="28"/>
        </w:rPr>
        <w:t>的投标总报价，工期</w:t>
      </w:r>
      <w:r>
        <w:rPr>
          <w:rFonts w:hint="eastAsia" w:ascii="宋体" w:hAnsi="宋体" w:cs="仿宋_GB2312"/>
          <w:kern w:val="0"/>
          <w:sz w:val="28"/>
          <w:szCs w:val="28"/>
          <w:u w:val="single"/>
        </w:rPr>
        <w:t>****</w:t>
      </w:r>
      <w:r>
        <w:rPr>
          <w:rFonts w:hint="eastAsia" w:ascii="宋体" w:hAnsi="宋体" w:cs="仿宋_GB2312"/>
          <w:kern w:val="0"/>
          <w:sz w:val="28"/>
          <w:szCs w:val="28"/>
        </w:rPr>
        <w:t>日历天，按合同约定实施和完成承包工程，修补工程中的任何缺陷，工程质量达到。</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2</w:t>
      </w:r>
      <w:r>
        <w:rPr>
          <w:rFonts w:hint="eastAsia" w:ascii="宋体" w:hAnsi="宋体" w:cs="仿宋_GB2312"/>
          <w:kern w:val="0"/>
          <w:sz w:val="28"/>
          <w:szCs w:val="28"/>
        </w:rPr>
        <w:t>．我方承诺在投标有效期内不修改、撤销投标文件。</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3</w:t>
      </w:r>
      <w:r>
        <w:rPr>
          <w:rFonts w:hint="eastAsia" w:ascii="宋体" w:hAnsi="宋体" w:cs="仿宋_GB2312"/>
          <w:kern w:val="0"/>
          <w:sz w:val="28"/>
          <w:szCs w:val="28"/>
        </w:rPr>
        <w:t>．如我方中标：</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1</w:t>
      </w:r>
      <w:r>
        <w:rPr>
          <w:rFonts w:hint="eastAsia" w:ascii="宋体" w:hAnsi="宋体" w:cs="仿宋_GB2312"/>
          <w:kern w:val="0"/>
          <w:sz w:val="28"/>
          <w:szCs w:val="28"/>
        </w:rPr>
        <w:t>）我方承诺在收到中标通知书后，在中标通知书规定的期限内与你方签订合同。</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2</w:t>
      </w:r>
      <w:r>
        <w:rPr>
          <w:rFonts w:hint="eastAsia" w:ascii="宋体" w:hAnsi="宋体" w:cs="仿宋_GB2312"/>
          <w:kern w:val="0"/>
          <w:sz w:val="28"/>
          <w:szCs w:val="28"/>
        </w:rPr>
        <w:t>）随同本投标函递交的投标函附录属于合同文件的组成部分。</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3</w:t>
      </w:r>
      <w:r>
        <w:rPr>
          <w:rFonts w:hint="eastAsia" w:ascii="宋体" w:hAnsi="宋体" w:cs="仿宋_GB2312"/>
          <w:kern w:val="0"/>
          <w:sz w:val="28"/>
          <w:szCs w:val="28"/>
        </w:rPr>
        <w:t>）我方承诺按照招标文件规定向你方递交履约担保。</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4</w:t>
      </w:r>
      <w:r>
        <w:rPr>
          <w:rFonts w:hint="eastAsia" w:ascii="宋体" w:hAnsi="宋体" w:cs="仿宋_GB2312"/>
          <w:kern w:val="0"/>
          <w:sz w:val="28"/>
          <w:szCs w:val="28"/>
        </w:rPr>
        <w:t>）我方承诺在合同约定的期限内完成并移交全部合同工程。</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4．我方在此声明，所递交的投标文件及有关资料内容完整、真实和准确，且不存在第二章“投标人须知”第1.4.3 项规定的任何一种情形。</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5．我方承诺投标文件完全响应招标文件中的技术标准和要求。</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6.如我方中标，中标后我方将按着有关收费标准支付招标代理费及其他相关费用 （其他补充说明）。</w:t>
      </w:r>
    </w:p>
    <w:p>
      <w:pPr>
        <w:autoSpaceDE w:val="0"/>
        <w:autoSpaceDN w:val="0"/>
        <w:adjustRightInd w:val="0"/>
        <w:spacing w:line="360" w:lineRule="exact"/>
        <w:ind w:firstLine="719" w:firstLineChars="257"/>
        <w:jc w:val="left"/>
        <w:rPr>
          <w:rFonts w:ascii="宋体" w:hAnsi="宋体" w:cs="TimesNewRomanPSMT"/>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投 标 人：（盖单位公章）</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法定代表人或其委托代理人：（签字）</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网址：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电话：</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传真：</w:t>
      </w:r>
    </w:p>
    <w:p>
      <w:pPr>
        <w:autoSpaceDE w:val="0"/>
        <w:autoSpaceDN w:val="0"/>
        <w:adjustRightInd w:val="0"/>
        <w:spacing w:line="360" w:lineRule="exact"/>
        <w:jc w:val="left"/>
        <w:rPr>
          <w:rFonts w:ascii="宋体" w:hAnsi="宋体" w:cs="仿宋_GB2312"/>
          <w:kern w:val="0"/>
          <w:sz w:val="28"/>
          <w:szCs w:val="28"/>
          <w:u w:val="single"/>
        </w:rPr>
      </w:pPr>
      <w:r>
        <w:rPr>
          <w:rFonts w:hint="eastAsia" w:ascii="宋体" w:hAnsi="宋体" w:cs="仿宋_GB2312"/>
          <w:kern w:val="0"/>
          <w:sz w:val="28"/>
          <w:szCs w:val="28"/>
        </w:rPr>
        <w:t>邮政编码：</w:t>
      </w:r>
    </w:p>
    <w:p>
      <w:pPr>
        <w:autoSpaceDE w:val="0"/>
        <w:autoSpaceDN w:val="0"/>
        <w:adjustRightInd w:val="0"/>
        <w:spacing w:line="360" w:lineRule="exact"/>
        <w:ind w:firstLine="3360" w:firstLineChars="1200"/>
        <w:jc w:val="lef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numPr>
          <w:ilvl w:val="0"/>
          <w:numId w:val="3"/>
        </w:num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投标函附录</w:t>
      </w:r>
    </w:p>
    <w:tbl>
      <w:tblPr>
        <w:tblStyle w:val="48"/>
        <w:tblpPr w:leftFromText="181" w:rightFromText="181" w:vertAnchor="text" w:horzAnchor="margin" w:tblpXSpec="center" w:tblpY="88"/>
        <w:tblOverlap w:val="never"/>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658"/>
        <w:gridCol w:w="1501"/>
        <w:gridCol w:w="1488"/>
        <w:gridCol w:w="1104"/>
        <w:gridCol w:w="29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工程名称</w:t>
            </w:r>
          </w:p>
        </w:tc>
        <w:tc>
          <w:tcPr>
            <w:tcW w:w="5751" w:type="dxa"/>
            <w:gridSpan w:val="4"/>
            <w:vAlign w:val="center"/>
          </w:tcPr>
          <w:p>
            <w:pPr>
              <w:jc w:val="center"/>
              <w:rPr>
                <w:rFonts w:ascii="宋体" w:hAnsi="宋体"/>
                <w:sz w:val="28"/>
                <w:szCs w:val="28"/>
              </w:rPr>
            </w:pPr>
          </w:p>
        </w:tc>
        <w:tc>
          <w:tcPr>
            <w:tcW w:w="1516" w:type="dxa"/>
            <w:gridSpan w:val="2"/>
            <w:vAlign w:val="center"/>
          </w:tcPr>
          <w:p>
            <w:pPr>
              <w:jc w:val="center"/>
              <w:rPr>
                <w:rFonts w:ascii="宋体" w:hAnsi="宋体"/>
                <w:sz w:val="28"/>
                <w:szCs w:val="28"/>
              </w:rPr>
            </w:pPr>
            <w:r>
              <w:rPr>
                <w:rFonts w:hint="eastAsia" w:ascii="宋体" w:hAnsi="宋体"/>
                <w:sz w:val="28"/>
                <w:szCs w:val="28"/>
              </w:rPr>
              <w:t>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投标人</w:t>
            </w:r>
          </w:p>
        </w:tc>
        <w:tc>
          <w:tcPr>
            <w:tcW w:w="7267" w:type="dxa"/>
            <w:gridSpan w:val="6"/>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项目经理</w:t>
            </w:r>
          </w:p>
        </w:tc>
        <w:tc>
          <w:tcPr>
            <w:tcW w:w="1658" w:type="dxa"/>
            <w:vAlign w:val="center"/>
          </w:tcPr>
          <w:p>
            <w:pPr>
              <w:jc w:val="center"/>
              <w:rPr>
                <w:rFonts w:ascii="宋体" w:hAnsi="宋体"/>
                <w:sz w:val="28"/>
                <w:szCs w:val="28"/>
              </w:rPr>
            </w:pPr>
          </w:p>
        </w:tc>
        <w:tc>
          <w:tcPr>
            <w:tcW w:w="1501" w:type="dxa"/>
            <w:vAlign w:val="center"/>
          </w:tcPr>
          <w:p>
            <w:pPr>
              <w:jc w:val="center"/>
              <w:rPr>
                <w:rFonts w:ascii="宋体" w:hAnsi="宋体"/>
                <w:sz w:val="28"/>
                <w:szCs w:val="28"/>
              </w:rPr>
            </w:pPr>
            <w:r>
              <w:rPr>
                <w:rFonts w:hint="eastAsia" w:ascii="宋体" w:hAnsi="宋体"/>
                <w:sz w:val="28"/>
                <w:szCs w:val="28"/>
              </w:rPr>
              <w:t>级别</w:t>
            </w:r>
          </w:p>
        </w:tc>
        <w:tc>
          <w:tcPr>
            <w:tcW w:w="1488" w:type="dxa"/>
            <w:vAlign w:val="center"/>
          </w:tcPr>
          <w:p>
            <w:pPr>
              <w:ind w:firstLine="280" w:firstLineChars="100"/>
              <w:jc w:val="center"/>
              <w:rPr>
                <w:rFonts w:ascii="宋体" w:hAnsi="宋体"/>
                <w:sz w:val="28"/>
                <w:szCs w:val="28"/>
              </w:rPr>
            </w:pPr>
          </w:p>
        </w:tc>
        <w:tc>
          <w:tcPr>
            <w:tcW w:w="1397" w:type="dxa"/>
            <w:gridSpan w:val="2"/>
            <w:vAlign w:val="center"/>
          </w:tcPr>
          <w:p>
            <w:pPr>
              <w:jc w:val="center"/>
              <w:rPr>
                <w:rFonts w:ascii="宋体" w:hAnsi="宋体"/>
                <w:sz w:val="28"/>
                <w:szCs w:val="28"/>
              </w:rPr>
            </w:pPr>
            <w:r>
              <w:rPr>
                <w:rFonts w:hint="eastAsia" w:ascii="宋体" w:hAnsi="宋体"/>
                <w:sz w:val="28"/>
                <w:szCs w:val="28"/>
              </w:rPr>
              <w:t>证书编号</w:t>
            </w:r>
          </w:p>
        </w:tc>
        <w:tc>
          <w:tcPr>
            <w:tcW w:w="1223" w:type="dxa"/>
            <w:vAlign w:val="center"/>
          </w:tcPr>
          <w:p>
            <w:pP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投标报价（元）</w:t>
            </w:r>
          </w:p>
        </w:tc>
        <w:tc>
          <w:tcPr>
            <w:tcW w:w="5609" w:type="dxa"/>
            <w:gridSpan w:val="5"/>
            <w:vAlign w:val="center"/>
          </w:tcPr>
          <w:p>
            <w:pPr>
              <w:rPr>
                <w:rFonts w:ascii="宋体" w:hAnsi="宋体"/>
                <w:sz w:val="28"/>
                <w:szCs w:val="28"/>
              </w:rPr>
            </w:pPr>
            <w:r>
              <w:rPr>
                <w:rFonts w:hint="eastAsia" w:ascii="宋体" w:hAnsi="宋体"/>
                <w:sz w:val="28"/>
                <w:szCs w:val="28"/>
              </w:rPr>
              <w:t xml:space="preserve">大写： </w:t>
            </w:r>
          </w:p>
          <w:p>
            <w:pPr>
              <w:rPr>
                <w:rFonts w:ascii="宋体" w:hAnsi="宋体"/>
                <w:sz w:val="28"/>
                <w:szCs w:val="28"/>
              </w:rPr>
            </w:pPr>
            <w:r>
              <w:rPr>
                <w:rFonts w:hint="eastAsia" w:ascii="宋体" w:hAnsi="宋体"/>
                <w:sz w:val="28"/>
                <w:szCs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 xml:space="preserve">投标质量 </w:t>
            </w:r>
          </w:p>
        </w:tc>
        <w:tc>
          <w:tcPr>
            <w:tcW w:w="5609" w:type="dxa"/>
            <w:gridSpan w:val="5"/>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工期（日历天）</w:t>
            </w:r>
          </w:p>
        </w:tc>
        <w:tc>
          <w:tcPr>
            <w:tcW w:w="5609" w:type="dxa"/>
            <w:gridSpan w:val="5"/>
            <w:vAlign w:val="center"/>
          </w:tcPr>
          <w:p>
            <w:pPr>
              <w:jc w:val="center"/>
              <w:rPr>
                <w:rFonts w:ascii="宋体" w:hAnsi="宋体"/>
                <w:sz w:val="28"/>
                <w:szCs w:val="28"/>
              </w:rPr>
            </w:pPr>
          </w:p>
        </w:tc>
      </w:tr>
    </w:tbl>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ind w:firstLine="3598" w:firstLineChars="1285"/>
        <w:jc w:val="right"/>
        <w:rPr>
          <w:rFonts w:ascii="宋体" w:hAnsi="宋体" w:cs="TimesNewRomanPSMT"/>
          <w:kern w:val="0"/>
          <w:sz w:val="28"/>
          <w:szCs w:val="28"/>
          <w:u w:val="single"/>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年 月   日</w:t>
      </w: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pStyle w:val="7"/>
        <w:jc w:val="center"/>
        <w:rPr>
          <w:rFonts w:ascii="黑体" w:eastAsia="黑体"/>
          <w:sz w:val="32"/>
        </w:rPr>
      </w:pPr>
      <w:bookmarkStart w:id="96" w:name="_Toc24295"/>
      <w:bookmarkStart w:id="97" w:name="_Toc26619"/>
      <w:r>
        <w:rPr>
          <w:rFonts w:hint="eastAsia" w:ascii="黑体" w:eastAsia="黑体"/>
          <w:sz w:val="32"/>
        </w:rPr>
        <w:t>二、法定代表人身份证明</w:t>
      </w:r>
      <w:bookmarkEnd w:id="96"/>
      <w:bookmarkEnd w:id="97"/>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投标人名称：</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单位性质：</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成立时间：年月日</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经营期限：</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姓名：性别：年龄：职务：</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系（投标人名称）的法定代表人。</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特此证明。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7"/>
        <w:jc w:val="center"/>
        <w:rPr>
          <w:rFonts w:ascii="黑体" w:eastAsia="黑体"/>
          <w:sz w:val="32"/>
        </w:rPr>
      </w:pPr>
      <w:bookmarkStart w:id="98" w:name="_Toc28258"/>
      <w:bookmarkStart w:id="99" w:name="_Toc15069"/>
      <w:r>
        <w:rPr>
          <w:rFonts w:hint="eastAsia" w:ascii="黑体" w:eastAsia="黑体"/>
          <w:sz w:val="32"/>
        </w:rPr>
        <w:t>三、授权委托书</w:t>
      </w:r>
      <w:bookmarkEnd w:id="98"/>
      <w:bookmarkEnd w:id="99"/>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本人 （姓名）系（投标人名称）的法定代表人，现委托（姓名）为我方代理人。代理人根据授权，以我方名义签署、澄清、说明、补正、递交、撤回、修改 （项目名称）标段施工投标文件、签订合同和处理有关事宜，其法律后果由我方承担。</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委托期限：。</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代理人无转委托权。</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附：法定代表人身份证明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投标人：（盖单位公章）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法定代表人：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委托代理人：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年月 日</w:t>
      </w: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rPr>
          <w:rFonts w:hint="eastAsia" w:ascii="黑体" w:hAnsi="Times New Roman" w:eastAsia="黑体" w:cs="Times New Roman"/>
          <w:b/>
          <w:bCs/>
          <w:kern w:val="2"/>
          <w:sz w:val="32"/>
          <w:szCs w:val="32"/>
          <w:lang w:val="en-US" w:eastAsia="zh-CN" w:bidi="ar-SA"/>
        </w:rPr>
      </w:pPr>
      <w:r>
        <w:rPr>
          <w:rFonts w:hint="eastAsia" w:ascii="黑体" w:hAnsi="Times New Roman" w:eastAsia="黑体" w:cs="Times New Roman"/>
          <w:b/>
          <w:bCs/>
          <w:kern w:val="2"/>
          <w:sz w:val="32"/>
          <w:szCs w:val="32"/>
          <w:lang w:val="en-US" w:eastAsia="zh-CN" w:bidi="ar-SA"/>
        </w:rPr>
        <w:br w:type="page"/>
      </w:r>
    </w:p>
    <w:p>
      <w:pPr>
        <w:autoSpaceDE w:val="0"/>
        <w:autoSpaceDN w:val="0"/>
        <w:adjustRightInd w:val="0"/>
        <w:spacing w:line="360" w:lineRule="auto"/>
        <w:jc w:val="center"/>
        <w:rPr>
          <w:rFonts w:ascii="宋体" w:hAnsi="宋体" w:cs="仿宋_GB2312"/>
          <w:kern w:val="0"/>
          <w:sz w:val="28"/>
          <w:szCs w:val="28"/>
        </w:rPr>
      </w:pPr>
      <w:r>
        <w:rPr>
          <w:rFonts w:hint="eastAsia" w:ascii="黑体" w:hAnsi="Times New Roman" w:eastAsia="黑体" w:cs="Times New Roman"/>
          <w:b/>
          <w:bCs/>
          <w:kern w:val="2"/>
          <w:sz w:val="32"/>
          <w:szCs w:val="32"/>
          <w:lang w:val="en-US" w:eastAsia="zh-CN" w:bidi="ar-SA"/>
        </w:rPr>
        <w:t>四、完税</w:t>
      </w:r>
      <w:r>
        <w:rPr>
          <w:rFonts w:hint="eastAsia" w:ascii="黑体" w:eastAsia="黑体"/>
          <w:b/>
          <w:bCs/>
          <w:sz w:val="32"/>
          <w:szCs w:val="32"/>
        </w:rPr>
        <w:t>凭证、社保证明</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rPr>
          <w:rFonts w:hint="eastAsia" w:ascii="黑体" w:eastAsia="黑体"/>
          <w:sz w:val="32"/>
        </w:rPr>
      </w:pPr>
      <w:bookmarkStart w:id="100" w:name="_Toc22686"/>
      <w:bookmarkStart w:id="101" w:name="_Toc11833"/>
      <w:r>
        <w:rPr>
          <w:rFonts w:hint="eastAsia" w:ascii="黑体" w:eastAsia="黑体"/>
          <w:sz w:val="32"/>
        </w:rPr>
        <w:br w:type="page"/>
      </w:r>
    </w:p>
    <w:p>
      <w:pPr>
        <w:pStyle w:val="7"/>
        <w:jc w:val="center"/>
        <w:rPr>
          <w:rFonts w:ascii="黑体" w:eastAsia="黑体"/>
          <w:sz w:val="32"/>
        </w:rPr>
      </w:pPr>
      <w:r>
        <w:rPr>
          <w:rFonts w:hint="eastAsia" w:ascii="黑体" w:eastAsia="黑体"/>
          <w:sz w:val="32"/>
        </w:rPr>
        <w:t>五、网站截图</w:t>
      </w:r>
      <w:bookmarkEnd w:id="100"/>
      <w:bookmarkEnd w:id="101"/>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rPr>
          <w:rFonts w:hint="eastAsia" w:ascii="黑体" w:eastAsia="黑体"/>
          <w:sz w:val="32"/>
        </w:rPr>
      </w:pPr>
      <w:bookmarkStart w:id="102" w:name="_Toc22923"/>
      <w:bookmarkStart w:id="103" w:name="_Toc8720"/>
      <w:r>
        <w:rPr>
          <w:rFonts w:hint="eastAsia" w:ascii="黑体" w:eastAsia="黑体"/>
          <w:sz w:val="32"/>
        </w:rPr>
        <w:br w:type="page"/>
      </w:r>
    </w:p>
    <w:p>
      <w:pPr>
        <w:jc w:val="center"/>
        <w:rPr>
          <w:rFonts w:hint="default" w:ascii="黑体" w:hAnsi="Times New Roman" w:eastAsia="黑体" w:cs="Times New Roman"/>
          <w:b/>
          <w:bCs/>
          <w:kern w:val="2"/>
          <w:sz w:val="32"/>
          <w:szCs w:val="32"/>
          <w:lang w:val="en-US" w:eastAsia="zh-CN" w:bidi="ar-SA"/>
        </w:rPr>
      </w:pPr>
      <w:r>
        <w:rPr>
          <w:rFonts w:hint="eastAsia" w:ascii="黑体" w:hAnsi="Times New Roman" w:eastAsia="黑体" w:cs="Times New Roman"/>
          <w:b/>
          <w:bCs/>
          <w:kern w:val="2"/>
          <w:sz w:val="32"/>
          <w:szCs w:val="32"/>
          <w:lang w:val="en-US" w:eastAsia="zh-CN" w:bidi="ar-SA"/>
        </w:rPr>
        <w:t>六、</w:t>
      </w:r>
      <w:r>
        <w:rPr>
          <w:rFonts w:hint="eastAsia" w:ascii="黑体" w:eastAsia="黑体" w:cs="Times New Roman"/>
          <w:b/>
          <w:bCs/>
          <w:kern w:val="2"/>
          <w:sz w:val="32"/>
          <w:szCs w:val="32"/>
          <w:lang w:val="en-US" w:eastAsia="zh-CN" w:bidi="ar-SA"/>
        </w:rPr>
        <w:t>工程量清单</w:t>
      </w:r>
    </w:p>
    <w:p>
      <w:pPr>
        <w:rPr>
          <w:rFonts w:hint="eastAsia" w:ascii="黑体" w:eastAsia="黑体"/>
          <w:sz w:val="32"/>
        </w:rPr>
      </w:pPr>
      <w:r>
        <w:rPr>
          <w:rFonts w:hint="eastAsia" w:ascii="黑体" w:eastAsia="黑体"/>
          <w:sz w:val="32"/>
        </w:rPr>
        <w:br w:type="page"/>
      </w:r>
    </w:p>
    <w:p>
      <w:pPr>
        <w:pStyle w:val="7"/>
        <w:jc w:val="center"/>
        <w:rPr>
          <w:rFonts w:ascii="黑体" w:eastAsia="黑体"/>
          <w:sz w:val="32"/>
        </w:rPr>
      </w:pPr>
      <w:r>
        <w:rPr>
          <w:rFonts w:hint="eastAsia" w:ascii="黑体" w:eastAsia="黑体"/>
          <w:sz w:val="32"/>
          <w:lang w:val="en-US" w:eastAsia="zh-CN"/>
        </w:rPr>
        <w:t>七</w:t>
      </w:r>
      <w:r>
        <w:rPr>
          <w:rFonts w:hint="eastAsia" w:ascii="黑体" w:hAnsi="Times New Roman" w:eastAsia="黑体" w:cs="Times New Roman"/>
          <w:sz w:val="32"/>
        </w:rPr>
        <w:t>、施工方案</w:t>
      </w:r>
      <w:bookmarkEnd w:id="102"/>
      <w:bookmarkEnd w:id="103"/>
    </w:p>
    <w:p>
      <w:pPr>
        <w:autoSpaceDE w:val="0"/>
        <w:autoSpaceDN w:val="0"/>
        <w:adjustRightInd w:val="0"/>
        <w:spacing w:line="360" w:lineRule="auto"/>
        <w:rPr>
          <w:rFonts w:ascii="宋体" w:hAnsi="宋体" w:cs="黑体"/>
          <w:kern w:val="0"/>
          <w:sz w:val="28"/>
          <w:szCs w:val="28"/>
        </w:rPr>
      </w:pP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施工组织设计除采用文字表述外可附下列图表，图表及格式要求附后。</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附表一 拟投入本项目的主要施工设备表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附表二 拟配备本项目的试验和检测仪器设备表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附表三 劳动力计划表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附表四 计划开、竣工日期和施工进度网络图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附表五 施工总平面图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附表六 临时用地表</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附表一：拟投入本项目的主要施工设备表</w:t>
      </w:r>
    </w:p>
    <w:p>
      <w:pPr>
        <w:autoSpaceDE w:val="0"/>
        <w:autoSpaceDN w:val="0"/>
        <w:adjustRightInd w:val="0"/>
        <w:spacing w:line="360" w:lineRule="auto"/>
        <w:jc w:val="left"/>
        <w:rPr>
          <w:rFonts w:ascii="宋体" w:hAnsi="宋体" w:cs="黑体"/>
          <w:kern w:val="0"/>
          <w:sz w:val="28"/>
          <w:szCs w:val="28"/>
        </w:rPr>
      </w:pPr>
    </w:p>
    <w:tbl>
      <w:tblPr>
        <w:tblStyle w:val="4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序号</w:t>
            </w:r>
          </w:p>
        </w:tc>
        <w:tc>
          <w:tcPr>
            <w:tcW w:w="121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设备名称</w:t>
            </w:r>
          </w:p>
        </w:tc>
        <w:tc>
          <w:tcPr>
            <w:tcW w:w="93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型号</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规格</w:t>
            </w:r>
          </w:p>
        </w:tc>
        <w:tc>
          <w:tcPr>
            <w:tcW w:w="93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数量</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国别</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产地</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制造</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年份</w:t>
            </w:r>
          </w:p>
        </w:tc>
        <w:tc>
          <w:tcPr>
            <w:tcW w:w="120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额定功率</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w:t>
            </w:r>
            <w:r>
              <w:rPr>
                <w:rFonts w:hint="eastAsia" w:ascii="宋体" w:hAnsi="宋体" w:cs="TimesNewRomanPSMT"/>
                <w:b/>
                <w:kern w:val="0"/>
                <w:sz w:val="24"/>
              </w:rPr>
              <w:t>KW</w:t>
            </w:r>
            <w:r>
              <w:rPr>
                <w:rFonts w:hint="eastAsia" w:ascii="宋体" w:hAnsi="宋体" w:cs="仿宋_GB2312"/>
                <w:kern w:val="0"/>
                <w:sz w:val="24"/>
              </w:rPr>
              <w:t>）</w:t>
            </w:r>
          </w:p>
        </w:tc>
        <w:tc>
          <w:tcPr>
            <w:tcW w:w="66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生产</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能力</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用于施</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工部位</w:t>
            </w:r>
          </w:p>
        </w:tc>
        <w:tc>
          <w:tcPr>
            <w:tcW w:w="932"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bl>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附表二：拟配备本项目的试验和检测仪器设备表</w:t>
      </w:r>
    </w:p>
    <w:p>
      <w:pPr>
        <w:autoSpaceDE w:val="0"/>
        <w:autoSpaceDN w:val="0"/>
        <w:adjustRightInd w:val="0"/>
        <w:spacing w:line="360" w:lineRule="auto"/>
        <w:jc w:val="center"/>
        <w:rPr>
          <w:rFonts w:ascii="宋体" w:hAnsi="宋体" w:cs="黑体"/>
          <w:kern w:val="0"/>
          <w:sz w:val="30"/>
          <w:szCs w:val="30"/>
        </w:rPr>
      </w:pPr>
    </w:p>
    <w:tbl>
      <w:tblPr>
        <w:tblStyle w:val="48"/>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823"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序号</w:t>
            </w:r>
          </w:p>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仪器设备名称</w:t>
            </w:r>
          </w:p>
        </w:tc>
        <w:tc>
          <w:tcPr>
            <w:tcW w:w="1026"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型号</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规格</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数量</w:t>
            </w:r>
          </w:p>
        </w:tc>
        <w:tc>
          <w:tcPr>
            <w:tcW w:w="102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国别</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产地</w:t>
            </w:r>
          </w:p>
        </w:tc>
        <w:tc>
          <w:tcPr>
            <w:tcW w:w="884"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制造</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年份</w:t>
            </w:r>
          </w:p>
        </w:tc>
        <w:tc>
          <w:tcPr>
            <w:tcW w:w="116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已使用台时数</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用途</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附表三：劳动力计划表</w:t>
      </w:r>
    </w:p>
    <w:p>
      <w:pPr>
        <w:autoSpaceDE w:val="0"/>
        <w:autoSpaceDN w:val="0"/>
        <w:adjustRightInd w:val="0"/>
        <w:spacing w:line="360" w:lineRule="auto"/>
        <w:jc w:val="right"/>
        <w:rPr>
          <w:rFonts w:ascii="宋体" w:hAnsi="宋体" w:cs="黑体"/>
          <w:kern w:val="0"/>
          <w:sz w:val="28"/>
          <w:szCs w:val="28"/>
        </w:rPr>
      </w:pPr>
      <w:r>
        <w:rPr>
          <w:rFonts w:hint="eastAsia" w:ascii="宋体" w:hAnsi="宋体" w:cs="黑体"/>
          <w:kern w:val="0"/>
          <w:sz w:val="28"/>
          <w:szCs w:val="28"/>
        </w:rPr>
        <w:t>单位：人</w:t>
      </w:r>
    </w:p>
    <w:tbl>
      <w:tblPr>
        <w:tblStyle w:val="48"/>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4"/>
        <w:gridCol w:w="1165"/>
        <w:gridCol w:w="1165"/>
        <w:gridCol w:w="1165"/>
        <w:gridCol w:w="1165"/>
        <w:gridCol w:w="116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工种</w:t>
            </w:r>
          </w:p>
        </w:tc>
        <w:tc>
          <w:tcPr>
            <w:tcW w:w="8157" w:type="dxa"/>
            <w:gridSpan w:val="7"/>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附表四：计划开、竣工日期和施工进度网络图</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投标人应递交施工进度网络图或施工进度表，说明按招标文件要求的计划工期进行施工的各个关键日期。</w:t>
      </w: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施工进度表可采用网络图（或横道图）表示。</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附表五：施工总平面图</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840" w:firstLineChars="300"/>
        <w:jc w:val="left"/>
        <w:rPr>
          <w:rFonts w:ascii="宋体" w:hAnsi="宋体" w:cs="仿宋_GB2312"/>
          <w:kern w:val="0"/>
          <w:sz w:val="28"/>
          <w:szCs w:val="28"/>
        </w:rPr>
      </w:pPr>
      <w:r>
        <w:rPr>
          <w:rFonts w:hint="eastAsia" w:ascii="宋体" w:hAnsi="宋体" w:cs="仿宋_GB2312"/>
          <w:kern w:val="0"/>
          <w:sz w:val="28"/>
          <w:szCs w:val="28"/>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附表六：临时用地表</w:t>
      </w:r>
    </w:p>
    <w:tbl>
      <w:tblPr>
        <w:tblStyle w:val="4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328"/>
        <w:gridCol w:w="2329"/>
        <w:gridCol w:w="2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 途</w:t>
            </w:r>
          </w:p>
        </w:tc>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面 积（平方米）</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位 置</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rPr>
          <w:rFonts w:ascii="宋体" w:hAnsi="宋体" w:cs="黑体"/>
          <w:kern w:val="0"/>
          <w:sz w:val="28"/>
          <w:szCs w:val="28"/>
        </w:rPr>
      </w:pPr>
    </w:p>
    <w:p>
      <w:pPr>
        <w:pStyle w:val="7"/>
        <w:jc w:val="center"/>
        <w:rPr>
          <w:rFonts w:ascii="黑体" w:eastAsia="黑体"/>
          <w:sz w:val="32"/>
        </w:rPr>
      </w:pPr>
      <w:bookmarkStart w:id="104" w:name="_Toc11030"/>
      <w:bookmarkStart w:id="105" w:name="_Toc30398"/>
      <w:r>
        <w:rPr>
          <w:rFonts w:hint="eastAsia" w:ascii="黑体" w:eastAsia="黑体"/>
          <w:sz w:val="32"/>
          <w:lang w:val="en-US" w:eastAsia="zh-CN"/>
        </w:rPr>
        <w:t>八</w:t>
      </w:r>
      <w:r>
        <w:rPr>
          <w:rFonts w:hint="eastAsia" w:ascii="黑体" w:eastAsia="黑体"/>
          <w:sz w:val="32"/>
        </w:rPr>
        <w:t>、项目管理机构</w:t>
      </w:r>
      <w:bookmarkEnd w:id="104"/>
      <w:bookmarkEnd w:id="105"/>
    </w:p>
    <w:p>
      <w:pPr>
        <w:autoSpaceDE w:val="0"/>
        <w:autoSpaceDN w:val="0"/>
        <w:adjustRightInd w:val="0"/>
        <w:spacing w:line="360" w:lineRule="auto"/>
        <w:jc w:val="left"/>
        <w:rPr>
          <w:rFonts w:ascii="宋体" w:hAnsi="宋体" w:cs="黑体"/>
          <w:kern w:val="0"/>
          <w:sz w:val="30"/>
          <w:szCs w:val="30"/>
        </w:rPr>
      </w:pPr>
    </w:p>
    <w:p>
      <w:pPr>
        <w:numPr>
          <w:ilvl w:val="0"/>
          <w:numId w:val="4"/>
        </w:num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项目管理机构组成表</w:t>
      </w:r>
    </w:p>
    <w:tbl>
      <w:tblPr>
        <w:tblStyle w:val="48"/>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225"/>
        <w:gridCol w:w="845"/>
        <w:gridCol w:w="1035"/>
        <w:gridCol w:w="1035"/>
        <w:gridCol w:w="116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职务</w:t>
            </w:r>
          </w:p>
        </w:tc>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姓名</w:t>
            </w:r>
          </w:p>
        </w:tc>
        <w:tc>
          <w:tcPr>
            <w:tcW w:w="1035"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职称</w:t>
            </w:r>
          </w:p>
        </w:tc>
        <w:tc>
          <w:tcPr>
            <w:tcW w:w="5309" w:type="dxa"/>
            <w:gridSpan w:val="5"/>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执业或职业资格证明</w:t>
            </w:r>
          </w:p>
        </w:tc>
        <w:tc>
          <w:tcPr>
            <w:tcW w:w="901"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5"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证书名称</w:t>
            </w:r>
          </w:p>
        </w:tc>
        <w:tc>
          <w:tcPr>
            <w:tcW w:w="84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级别</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证号</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专业</w:t>
            </w:r>
          </w:p>
        </w:tc>
        <w:tc>
          <w:tcPr>
            <w:tcW w:w="116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养老保险</w:t>
            </w: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numPr>
          <w:ilvl w:val="0"/>
          <w:numId w:val="4"/>
        </w:numPr>
        <w:autoSpaceDE w:val="0"/>
        <w:autoSpaceDN w:val="0"/>
        <w:adjustRightInd w:val="0"/>
        <w:spacing w:line="360" w:lineRule="auto"/>
        <w:jc w:val="left"/>
        <w:rPr>
          <w:rFonts w:ascii="宋体" w:hAnsi="宋体" w:cs="黑体"/>
          <w:kern w:val="0"/>
          <w:sz w:val="30"/>
          <w:szCs w:val="30"/>
        </w:rPr>
      </w:pPr>
      <w:r>
        <w:rPr>
          <w:rFonts w:hint="eastAsia" w:ascii="宋体" w:hAnsi="宋体" w:cs="黑体"/>
          <w:kern w:val="0"/>
          <w:sz w:val="30"/>
          <w:szCs w:val="30"/>
        </w:rPr>
        <w:t>主要人员简历表</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主要人员简历表”中的项目经理应附建造师证、安全生产考核合格证、身份证、职称证(如有)、学历证(如有)、劳动合同、养老保险复印件，管理过的项目业绩须附合同协议书复印件；技术负责人应附职称证(如有)、学历证(如有)；其他主要人员应附职称证或执业证或上岗证书。</w:t>
      </w:r>
    </w:p>
    <w:tbl>
      <w:tblPr>
        <w:tblStyle w:val="4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777"/>
        <w:gridCol w:w="774"/>
        <w:gridCol w:w="1555"/>
        <w:gridCol w:w="1552"/>
        <w:gridCol w:w="776"/>
        <w:gridCol w:w="1067"/>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姓 名</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 龄</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学 历</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称</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务</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拟在本合同任职</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毕业学校</w:t>
            </w:r>
          </w:p>
        </w:tc>
        <w:tc>
          <w:tcPr>
            <w:tcW w:w="7764" w:type="dxa"/>
            <w:gridSpan w:val="7"/>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314" w:type="dxa"/>
            <w:gridSpan w:val="8"/>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时 间</w:t>
            </w: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参加过的类似项目</w:t>
            </w: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担任职务</w:t>
            </w: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bl>
    <w:p>
      <w:pPr>
        <w:autoSpaceDE w:val="0"/>
        <w:autoSpaceDN w:val="0"/>
        <w:adjustRightInd w:val="0"/>
        <w:spacing w:line="360" w:lineRule="auto"/>
        <w:jc w:val="left"/>
        <w:rPr>
          <w:rFonts w:ascii="宋体" w:hAnsi="宋体" w:cs="TimesNewRomanPSMT"/>
          <w:kern w:val="0"/>
          <w:sz w:val="28"/>
          <w:szCs w:val="28"/>
        </w:rPr>
      </w:pPr>
    </w:p>
    <w:p>
      <w:pPr>
        <w:pStyle w:val="7"/>
        <w:jc w:val="center"/>
        <w:rPr>
          <w:rFonts w:ascii="宋体" w:hAnsi="宋体"/>
          <w:b w:val="0"/>
          <w:sz w:val="30"/>
          <w:szCs w:val="30"/>
        </w:rPr>
      </w:pPr>
      <w:bookmarkStart w:id="106" w:name="_Toc18772"/>
      <w:bookmarkStart w:id="107" w:name="_Toc20705"/>
      <w:r>
        <w:rPr>
          <w:rFonts w:hint="eastAsia" w:ascii="黑体" w:eastAsia="黑体"/>
          <w:sz w:val="32"/>
          <w:lang w:val="en-US" w:eastAsia="zh-CN"/>
        </w:rPr>
        <w:t>九</w:t>
      </w:r>
      <w:r>
        <w:rPr>
          <w:rFonts w:hint="eastAsia" w:ascii="黑体" w:eastAsia="黑体"/>
          <w:sz w:val="32"/>
        </w:rPr>
        <w:t>、项目经理无在建工程承诺</w:t>
      </w:r>
      <w:bookmarkEnd w:id="106"/>
      <w:bookmarkEnd w:id="107"/>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jc w:val="center"/>
        <w:rPr>
          <w:rFonts w:ascii="宋体" w:hAnsi="宋体" w:eastAsia="宋体"/>
          <w:b/>
          <w:kern w:val="2"/>
          <w:szCs w:val="28"/>
        </w:rPr>
      </w:pPr>
    </w:p>
    <w:p>
      <w:pPr>
        <w:pStyle w:val="139"/>
        <w:spacing w:line="360" w:lineRule="auto"/>
        <w:rPr>
          <w:rFonts w:ascii="宋体" w:hAnsi="宋体" w:eastAsia="宋体"/>
          <w:b/>
          <w:kern w:val="2"/>
          <w:szCs w:val="28"/>
        </w:rPr>
      </w:pPr>
    </w:p>
    <w:p>
      <w:pPr>
        <w:pStyle w:val="7"/>
        <w:jc w:val="center"/>
        <w:rPr>
          <w:rFonts w:ascii="黑体" w:eastAsia="黑体"/>
          <w:sz w:val="32"/>
        </w:rPr>
      </w:pPr>
      <w:bookmarkStart w:id="108" w:name="_Toc29858"/>
      <w:bookmarkStart w:id="109" w:name="_Toc4453"/>
      <w:r>
        <w:rPr>
          <w:rFonts w:hint="eastAsia" w:ascii="黑体" w:eastAsia="黑体"/>
          <w:sz w:val="32"/>
          <w:lang w:val="en-US" w:eastAsia="zh-CN"/>
        </w:rPr>
        <w:t>十</w:t>
      </w:r>
      <w:r>
        <w:rPr>
          <w:rFonts w:hint="eastAsia" w:ascii="黑体" w:eastAsia="黑体"/>
          <w:sz w:val="32"/>
        </w:rPr>
        <w:t>、资格审查资料</w:t>
      </w:r>
      <w:bookmarkEnd w:id="108"/>
      <w:bookmarkEnd w:id="109"/>
    </w:p>
    <w:p>
      <w:pPr>
        <w:pStyle w:val="7"/>
        <w:spacing w:line="480" w:lineRule="exact"/>
        <w:jc w:val="center"/>
        <w:rPr>
          <w:rFonts w:ascii="宋体" w:hAnsi="宋体"/>
          <w:szCs w:val="24"/>
        </w:rPr>
      </w:pPr>
      <w:bookmarkStart w:id="110" w:name="_Toc493579168"/>
      <w:bookmarkStart w:id="111" w:name="_Toc517256829"/>
      <w:bookmarkStart w:id="112" w:name="_Toc30366"/>
      <w:bookmarkStart w:id="113" w:name="_Toc2748"/>
      <w:r>
        <w:rPr>
          <w:rFonts w:hint="eastAsia" w:ascii="宋体" w:hAnsi="宋体"/>
          <w:szCs w:val="24"/>
        </w:rPr>
        <w:t>（一）投标人基本情况表</w:t>
      </w:r>
      <w:bookmarkEnd w:id="110"/>
      <w:bookmarkEnd w:id="111"/>
      <w:bookmarkEnd w:id="112"/>
      <w:bookmarkEnd w:id="113"/>
    </w:p>
    <w:p>
      <w:pPr>
        <w:autoSpaceDE w:val="0"/>
        <w:autoSpaceDN w:val="0"/>
        <w:adjustRightInd w:val="0"/>
        <w:spacing w:line="420" w:lineRule="exact"/>
        <w:jc w:val="left"/>
        <w:rPr>
          <w:rFonts w:ascii="宋体" w:hAnsi="宋体" w:cs="黑体"/>
          <w:kern w:val="0"/>
          <w:sz w:val="24"/>
        </w:rPr>
      </w:pPr>
    </w:p>
    <w:tbl>
      <w:tblPr>
        <w:tblStyle w:val="48"/>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投标人名称</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注册地址</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邮政编码</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联系方式</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联系人</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pPr>
              <w:autoSpaceDE w:val="0"/>
              <w:autoSpaceDN w:val="0"/>
              <w:adjustRightInd w:val="0"/>
              <w:spacing w:line="420" w:lineRule="exact"/>
              <w:jc w:val="center"/>
              <w:rPr>
                <w:rFonts w:ascii="宋体" w:hAnsi="宋体" w:cs="黑体"/>
                <w:kern w:val="0"/>
                <w:sz w:val="24"/>
              </w:rPr>
            </w:pP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传 真</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网址</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组织结构</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法定代表人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技术负责人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成立时间</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3993" w:type="dxa"/>
            <w:gridSpan w:val="4"/>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企业资质等级</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其中</w:t>
            </w: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项目经理</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营业执照号</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高级职称人员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注册资金</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中级职称人员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开户银行</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初级职称人员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账号</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技工</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6"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经营范围</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备注</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bl>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黑体"/>
          <w:kern w:val="0"/>
          <w:sz w:val="24"/>
        </w:rPr>
      </w:pPr>
    </w:p>
    <w:p>
      <w:pPr>
        <w:pStyle w:val="7"/>
        <w:spacing w:line="480" w:lineRule="exact"/>
        <w:jc w:val="center"/>
        <w:rPr>
          <w:rFonts w:ascii="宋体" w:hAnsi="宋体"/>
          <w:szCs w:val="24"/>
        </w:rPr>
      </w:pPr>
      <w:bookmarkStart w:id="114" w:name="_Toc15569"/>
      <w:bookmarkStart w:id="115" w:name="_Toc23897"/>
      <w:bookmarkStart w:id="116" w:name="_Toc493579169"/>
      <w:bookmarkStart w:id="117" w:name="_Toc517256830"/>
      <w:r>
        <w:rPr>
          <w:rFonts w:hint="eastAsia" w:ascii="宋体" w:hAnsi="宋体"/>
          <w:szCs w:val="24"/>
        </w:rPr>
        <w:t>（二）近年财务状况表</w:t>
      </w:r>
      <w:bookmarkEnd w:id="114"/>
      <w:bookmarkEnd w:id="115"/>
      <w:bookmarkEnd w:id="116"/>
      <w:bookmarkEnd w:id="117"/>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pStyle w:val="7"/>
        <w:spacing w:line="480" w:lineRule="exact"/>
        <w:jc w:val="center"/>
        <w:rPr>
          <w:rFonts w:ascii="宋体" w:hAnsi="宋体"/>
          <w:szCs w:val="24"/>
        </w:rPr>
      </w:pPr>
      <w:bookmarkStart w:id="118" w:name="_Toc21529"/>
      <w:bookmarkStart w:id="119" w:name="_Toc493579170"/>
      <w:bookmarkStart w:id="120" w:name="_Toc1508"/>
      <w:bookmarkStart w:id="121" w:name="_Toc517256831"/>
      <w:r>
        <w:rPr>
          <w:rFonts w:hint="eastAsia" w:ascii="宋体" w:hAnsi="宋体"/>
          <w:szCs w:val="24"/>
        </w:rPr>
        <w:t>（三）近年完成的类似项目情况表</w:t>
      </w:r>
      <w:bookmarkEnd w:id="118"/>
      <w:bookmarkEnd w:id="119"/>
      <w:bookmarkEnd w:id="120"/>
      <w:bookmarkEnd w:id="121"/>
    </w:p>
    <w:p>
      <w:pPr>
        <w:autoSpaceDE w:val="0"/>
        <w:autoSpaceDN w:val="0"/>
        <w:adjustRightInd w:val="0"/>
        <w:spacing w:line="420" w:lineRule="exact"/>
        <w:jc w:val="left"/>
        <w:rPr>
          <w:rFonts w:ascii="宋体" w:hAnsi="宋体" w:cs="黑体"/>
          <w:kern w:val="0"/>
          <w:sz w:val="24"/>
        </w:rPr>
      </w:pPr>
    </w:p>
    <w:tbl>
      <w:tblPr>
        <w:tblStyle w:val="48"/>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合同价格</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TimesNewRomanPSMT"/>
          <w:kern w:val="0"/>
          <w:sz w:val="18"/>
          <w:szCs w:val="18"/>
        </w:rPr>
      </w:pPr>
    </w:p>
    <w:p>
      <w:pPr>
        <w:pStyle w:val="7"/>
        <w:spacing w:line="480" w:lineRule="exact"/>
        <w:jc w:val="center"/>
        <w:rPr>
          <w:rFonts w:ascii="宋体" w:hAnsi="宋体"/>
          <w:szCs w:val="24"/>
        </w:rPr>
      </w:pPr>
      <w:bookmarkStart w:id="122" w:name="_Toc493579171"/>
      <w:bookmarkStart w:id="123" w:name="_Toc517256832"/>
      <w:bookmarkStart w:id="124" w:name="_Toc22084"/>
      <w:bookmarkStart w:id="125" w:name="_Toc9626"/>
      <w:r>
        <w:rPr>
          <w:rFonts w:hint="eastAsia" w:ascii="宋体" w:hAnsi="宋体"/>
          <w:szCs w:val="24"/>
        </w:rPr>
        <w:t>（四）正在施工的和新承接的项目情况表</w:t>
      </w:r>
      <w:bookmarkEnd w:id="122"/>
      <w:bookmarkEnd w:id="123"/>
      <w:bookmarkEnd w:id="124"/>
      <w:bookmarkEnd w:id="125"/>
    </w:p>
    <w:tbl>
      <w:tblPr>
        <w:tblStyle w:val="48"/>
        <w:tblpPr w:leftFromText="180" w:rightFromText="180" w:vertAnchor="text" w:horzAnchor="page" w:tblpX="1729" w:tblpY="219"/>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签约合同价</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计划竣工日期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黑体"/>
          <w:kern w:val="0"/>
          <w:sz w:val="24"/>
        </w:rPr>
      </w:pPr>
    </w:p>
    <w:p>
      <w:pPr>
        <w:pStyle w:val="7"/>
        <w:spacing w:line="480" w:lineRule="exact"/>
        <w:jc w:val="center"/>
        <w:rPr>
          <w:rFonts w:ascii="宋体" w:hAnsi="宋体"/>
          <w:szCs w:val="24"/>
        </w:rPr>
      </w:pPr>
      <w:bookmarkStart w:id="126" w:name="_Toc493579172"/>
      <w:bookmarkStart w:id="127" w:name="_Toc9872"/>
      <w:bookmarkStart w:id="128" w:name="_Toc19257"/>
      <w:bookmarkStart w:id="129" w:name="_Toc517256833"/>
      <w:r>
        <w:rPr>
          <w:rFonts w:hint="eastAsia" w:ascii="宋体" w:hAnsi="宋体"/>
          <w:szCs w:val="24"/>
        </w:rPr>
        <w:t>（五）近年发生的诉讼及仲裁情况</w:t>
      </w:r>
      <w:bookmarkEnd w:id="126"/>
      <w:bookmarkEnd w:id="127"/>
      <w:bookmarkEnd w:id="128"/>
      <w:bookmarkEnd w:id="129"/>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pStyle w:val="7"/>
        <w:jc w:val="center"/>
        <w:rPr>
          <w:rFonts w:ascii="黑体" w:eastAsia="黑体"/>
          <w:sz w:val="28"/>
          <w:szCs w:val="28"/>
        </w:rPr>
      </w:pPr>
      <w:r>
        <w:rPr>
          <w:rFonts w:hint="eastAsia" w:ascii="黑体" w:eastAsia="黑体"/>
          <w:sz w:val="28"/>
          <w:szCs w:val="28"/>
          <w:lang w:val="en-US" w:eastAsia="zh-CN"/>
        </w:rPr>
        <w:t>十一</w:t>
      </w:r>
      <w:r>
        <w:rPr>
          <w:rFonts w:hint="eastAsia" w:ascii="黑体" w:eastAsia="黑体"/>
          <w:sz w:val="28"/>
          <w:szCs w:val="28"/>
        </w:rPr>
        <w:t>、中小企业声明函（工程、服务）</w:t>
      </w:r>
    </w:p>
    <w:p>
      <w:pPr>
        <w:spacing w:line="360" w:lineRule="auto"/>
        <w:ind w:firstLine="480" w:firstLineChars="200"/>
        <w:rPr>
          <w:rFonts w:ascii="宋体" w:hAnsi="宋体" w:cs="宋体"/>
          <w:sz w:val="24"/>
        </w:rPr>
      </w:pPr>
      <w:r>
        <w:rPr>
          <w:rFonts w:hint="eastAsia" w:ascii="宋体" w:hAnsi="宋体" w:cs="宋体"/>
          <w:sz w:val="24"/>
        </w:rPr>
        <w:t>本公司（联合体）郑重声明，根据《政府采购促进中小企业发展管理办法》（财库﹝2020﹞46号）的规定，本公司（联合体）参加</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采购活动，工程的施工单位全部为符合政策要求的中小企业</w:t>
      </w:r>
      <w:r>
        <w:rPr>
          <w:rFonts w:hint="eastAsia" w:ascii="宋体" w:hAnsi="宋体" w:cs="宋体"/>
          <w:sz w:val="24"/>
          <w:u w:val="single"/>
        </w:rPr>
        <w:t>（或者：服务全部由符合政策要求的中小企业承接）</w:t>
      </w:r>
      <w:r>
        <w:rPr>
          <w:rFonts w:hint="eastAsia" w:ascii="宋体" w:hAnsi="宋体" w:cs="宋体"/>
          <w:sz w:val="24"/>
        </w:rPr>
        <w:t>。相关企业</w:t>
      </w:r>
      <w:r>
        <w:rPr>
          <w:rFonts w:hint="eastAsia" w:ascii="宋体" w:hAnsi="宋体" w:cs="宋体"/>
          <w:sz w:val="24"/>
          <w:u w:val="single"/>
        </w:rPr>
        <w:t>（含联合 体中的中小企业、签订分包意向协议的中小企业）</w:t>
      </w:r>
      <w:r>
        <w:rPr>
          <w:rFonts w:hint="eastAsia" w:ascii="宋体" w:hAnsi="宋体" w:cs="宋体"/>
          <w:sz w:val="24"/>
        </w:rPr>
        <w:t>的具体情 况如下：</w:t>
      </w:r>
    </w:p>
    <w:p>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 承建（承接）企业为（企业名称），从业人员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 xml:space="preserve">万元1，属于（中型企业、小型企业、微型企业）； </w:t>
      </w:r>
    </w:p>
    <w:p>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 承建（承接）企业为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（中型企业、 小型企业、微型企业）</w:t>
      </w:r>
      <w:r>
        <w:rPr>
          <w:rFonts w:hint="eastAsia" w:ascii="宋体" w:hAnsi="宋体" w:cs="宋体"/>
          <w:sz w:val="24"/>
        </w:rPr>
        <w:t>； ……</w:t>
      </w:r>
    </w:p>
    <w:p>
      <w:p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 为大企业的情形，也不存在与大企业的负责人为同一人的情形。</w:t>
      </w:r>
    </w:p>
    <w:p>
      <w:pPr>
        <w:spacing w:line="360" w:lineRule="auto"/>
        <w:ind w:firstLine="480" w:firstLineChars="200"/>
        <w:rPr>
          <w:rFonts w:ascii="宋体" w:hAnsi="宋体" w:cs="宋体"/>
          <w:sz w:val="24"/>
        </w:rPr>
      </w:pPr>
      <w:r>
        <w:rPr>
          <w:rFonts w:hint="eastAsia" w:ascii="宋体" w:hAnsi="宋体" w:cs="宋体"/>
          <w:sz w:val="24"/>
        </w:rPr>
        <w:t xml:space="preserve">本企业对上述声明内容的真实性负责。如有虚假，将依 法承担相应责任。 </w:t>
      </w:r>
    </w:p>
    <w:p>
      <w:pPr>
        <w:spacing w:line="360" w:lineRule="auto"/>
        <w:ind w:firstLine="3600" w:firstLineChars="1500"/>
        <w:rPr>
          <w:rFonts w:ascii="宋体" w:hAnsi="宋体" w:cs="宋体"/>
          <w:sz w:val="24"/>
        </w:rPr>
      </w:pPr>
      <w:r>
        <w:rPr>
          <w:rFonts w:hint="eastAsia" w:ascii="宋体" w:hAnsi="宋体" w:cs="宋体"/>
          <w:sz w:val="24"/>
        </w:rPr>
        <w:t xml:space="preserve">企业名称（盖章）： </w:t>
      </w:r>
    </w:p>
    <w:p>
      <w:pPr>
        <w:spacing w:line="360" w:lineRule="auto"/>
        <w:ind w:firstLine="4800" w:firstLineChars="2000"/>
        <w:rPr>
          <w:rFonts w:ascii="宋体" w:hAnsi="宋体" w:cs="宋体"/>
          <w:sz w:val="28"/>
          <w:szCs w:val="28"/>
        </w:rPr>
      </w:pPr>
      <w:r>
        <w:rPr>
          <w:rFonts w:hint="eastAsia" w:ascii="宋体" w:hAnsi="宋体" w:cs="宋体"/>
          <w:sz w:val="24"/>
        </w:rPr>
        <w:t>日 期：</w:t>
      </w:r>
      <w:r>
        <w:rPr>
          <w:rFonts w:hint="eastAsia" w:ascii="宋体" w:hAnsi="宋体" w:cs="宋体"/>
          <w:sz w:val="28"/>
          <w:szCs w:val="28"/>
        </w:rPr>
        <w:t xml:space="preserve"> </w:t>
      </w:r>
    </w:p>
    <w:p>
      <w:pPr>
        <w:spacing w:line="360" w:lineRule="auto"/>
      </w:pPr>
      <w:r>
        <w:rPr>
          <w:rFonts w:hint="eastAsia"/>
        </w:rPr>
        <w:t>注：1.从业人员、营业收入、资产总额填报上一年度数据，无上一年度数据的新成立企业可不填报。</w:t>
      </w:r>
    </w:p>
    <w:p>
      <w:pPr>
        <w:numPr>
          <w:ilvl w:val="0"/>
          <w:numId w:val="0"/>
        </w:numPr>
        <w:spacing w:line="360" w:lineRule="auto"/>
        <w:ind w:firstLine="420" w:firstLineChars="200"/>
        <w:rPr>
          <w:rFonts w:hint="eastAsia"/>
        </w:rPr>
      </w:pPr>
      <w:r>
        <w:rPr>
          <w:rFonts w:hint="eastAsia" w:ascii="Times New Roman" w:hAnsi="Times New Roman" w:eastAsia="宋体" w:cs="Times New Roman"/>
          <w:kern w:val="2"/>
          <w:sz w:val="21"/>
          <w:szCs w:val="24"/>
          <w:lang w:val="en-US" w:eastAsia="zh-CN" w:bidi="ar-SA"/>
        </w:rPr>
        <w:t>2.</w:t>
      </w:r>
      <w:r>
        <w:rPr>
          <w:rFonts w:hint="eastAsia"/>
        </w:rPr>
        <w:t>本项目如是只面向中小企业采购的应当必须提供。</w:t>
      </w:r>
    </w:p>
    <w:p>
      <w:pPr>
        <w:pStyle w:val="2"/>
        <w:ind w:left="0" w:leftChars="0" w:firstLine="0" w:firstLineChars="0"/>
        <w:rPr>
          <w:rFonts w:hint="default" w:eastAsia="宋体"/>
          <w:lang w:val="en-US" w:eastAsia="zh-CN"/>
        </w:rPr>
      </w:pPr>
      <w:r>
        <w:rPr>
          <w:rFonts w:hint="eastAsia"/>
          <w:lang w:val="en-US" w:eastAsia="zh-CN"/>
        </w:rPr>
        <w:t xml:space="preserve">    3.本项目所属行业：建筑业</w:t>
      </w:r>
    </w:p>
    <w:p>
      <w:pPr>
        <w:pStyle w:val="2"/>
        <w:numPr>
          <w:ilvl w:val="0"/>
          <w:numId w:val="0"/>
        </w:numPr>
        <w:rPr>
          <w:rFonts w:hint="eastAsia" w:eastAsia="宋体"/>
          <w:lang w:val="en-US" w:eastAsia="zh-CN"/>
        </w:rPr>
      </w:pPr>
      <w:r>
        <w:rPr>
          <w:rFonts w:hint="eastAsia"/>
          <w:lang w:val="en-US" w:eastAsia="zh-CN"/>
        </w:rPr>
        <w:t xml:space="preserve"> </w:t>
      </w:r>
    </w:p>
    <w:p>
      <w:pPr>
        <w:pStyle w:val="59"/>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p>
    <w:p>
      <w:pPr>
        <w:autoSpaceDE w:val="0"/>
        <w:autoSpaceDN w:val="0"/>
        <w:adjustRightInd w:val="0"/>
        <w:spacing w:line="360" w:lineRule="auto"/>
        <w:jc w:val="center"/>
        <w:rPr>
          <w:rFonts w:ascii="黑体" w:eastAsia="黑体"/>
          <w:b/>
          <w:bCs/>
          <w:sz w:val="32"/>
          <w:szCs w:val="32"/>
        </w:rPr>
      </w:pPr>
      <w:r>
        <w:rPr>
          <w:rFonts w:hint="eastAsia" w:ascii="黑体" w:eastAsia="黑体"/>
          <w:b/>
          <w:bCs/>
          <w:sz w:val="32"/>
          <w:szCs w:val="32"/>
        </w:rPr>
        <w:t>十</w:t>
      </w:r>
      <w:r>
        <w:rPr>
          <w:rFonts w:hint="eastAsia" w:ascii="黑体" w:eastAsia="黑体"/>
          <w:b/>
          <w:bCs/>
          <w:sz w:val="32"/>
          <w:szCs w:val="32"/>
          <w:lang w:val="en-US" w:eastAsia="zh-CN"/>
        </w:rPr>
        <w:t>二</w:t>
      </w:r>
      <w:r>
        <w:rPr>
          <w:rFonts w:hint="eastAsia" w:ascii="黑体" w:eastAsia="黑体"/>
          <w:b/>
          <w:bCs/>
          <w:sz w:val="32"/>
          <w:szCs w:val="32"/>
        </w:rPr>
        <w:t>、其它投标人认为有必要加入的材料</w:t>
      </w:r>
    </w:p>
    <w:p>
      <w:pPr>
        <w:rPr>
          <w:rFonts w:ascii="黑体" w:eastAsia="黑体"/>
          <w:b/>
          <w:bCs/>
          <w:sz w:val="32"/>
          <w:szCs w:val="32"/>
        </w:rPr>
      </w:pPr>
    </w:p>
    <w:p/>
    <w:p/>
    <w:p/>
    <w:p/>
    <w:p/>
    <w:p/>
    <w:p/>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Pr>
        <w:pStyle w:val="57"/>
        <w:ind w:firstLine="210"/>
      </w:pPr>
    </w:p>
    <w:p/>
    <w:p/>
    <w:p/>
    <w:p/>
    <w:p/>
    <w:p/>
    <w:p/>
    <w:p>
      <w:pPr>
        <w:pStyle w:val="57"/>
        <w:ind w:firstLine="210"/>
      </w:pPr>
    </w:p>
    <w:p>
      <w:pPr>
        <w:rPr>
          <w:rFonts w:hint="eastAsia" w:ascii="黑体" w:hAnsi="Times New Roman" w:eastAsia="黑体"/>
          <w:kern w:val="2"/>
          <w:sz w:val="32"/>
          <w:szCs w:val="32"/>
        </w:rPr>
      </w:pPr>
      <w:bookmarkStart w:id="130" w:name="_Toc4150"/>
      <w:r>
        <w:rPr>
          <w:rFonts w:hint="eastAsia" w:ascii="黑体" w:hAnsi="Times New Roman" w:eastAsia="黑体"/>
          <w:kern w:val="2"/>
          <w:sz w:val="32"/>
          <w:szCs w:val="32"/>
        </w:rPr>
        <w:br w:type="page"/>
      </w:r>
    </w:p>
    <w:p>
      <w:pPr>
        <w:pStyle w:val="5"/>
        <w:jc w:val="center"/>
        <w:rPr>
          <w:rFonts w:ascii="黑体" w:hAnsi="Times New Roman" w:eastAsia="黑体"/>
          <w:kern w:val="2"/>
          <w:sz w:val="32"/>
          <w:szCs w:val="32"/>
        </w:rPr>
      </w:pPr>
      <w:r>
        <w:rPr>
          <w:rFonts w:hint="eastAsia" w:ascii="黑体" w:hAnsi="Times New Roman" w:eastAsia="黑体"/>
          <w:kern w:val="2"/>
          <w:sz w:val="32"/>
          <w:szCs w:val="32"/>
        </w:rPr>
        <w:t>十</w:t>
      </w:r>
      <w:r>
        <w:rPr>
          <w:rFonts w:hint="eastAsia" w:ascii="黑体" w:hAnsi="Times New Roman" w:eastAsia="黑体"/>
          <w:kern w:val="2"/>
          <w:sz w:val="32"/>
          <w:szCs w:val="32"/>
          <w:lang w:val="en-US" w:eastAsia="zh-CN"/>
        </w:rPr>
        <w:t>三</w:t>
      </w:r>
      <w:r>
        <w:rPr>
          <w:rFonts w:hint="eastAsia" w:ascii="黑体" w:hAnsi="Times New Roman" w:eastAsia="黑体"/>
          <w:kern w:val="2"/>
          <w:sz w:val="32"/>
          <w:szCs w:val="32"/>
        </w:rPr>
        <w:t>、周口市政府采购合同融资政策告知函</w:t>
      </w:r>
      <w:bookmarkEnd w:id="130"/>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pStyle w:val="139"/>
        <w:spacing w:line="360" w:lineRule="auto"/>
        <w:jc w:val="left"/>
        <w:rPr>
          <w:rFonts w:ascii="宋体" w:hAnsi="宋体" w:eastAsia="宋体"/>
          <w:kern w:val="2"/>
          <w:sz w:val="32"/>
          <w:szCs w:val="32"/>
        </w:rPr>
      </w:pPr>
    </w:p>
    <w:sectPr>
      <w:footerReference r:id="rId5" w:type="first"/>
      <w:footerReference r:id="rId4" w:type="default"/>
      <w:pgSz w:w="11907" w:h="16839"/>
      <w:pgMar w:top="1440" w:right="1797" w:bottom="1440" w:left="179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1FEA8F-C970-408F-B0CA-FBC5142F6B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swiss"/>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embedRegular r:id="rId2" w:fontKey="{5F600290-A703-4313-BB9A-BB6DB02EE4E3}"/>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embedRegular r:id="rId3" w:fontKey="{7A972834-2135-4CB6-B8F8-41BAC1C8E9C9}"/>
  </w:font>
  <w:font w:name="楷体_GB2312">
    <w:altName w:val="楷体"/>
    <w:panose1 w:val="00000000000000000000"/>
    <w:charset w:val="00"/>
    <w:family w:val="roman"/>
    <w:pitch w:val="default"/>
    <w:sig w:usb0="00000000" w:usb1="00000000" w:usb2="00000000" w:usb3="00000000" w:csb0="00000000" w:csb1="00000000"/>
    <w:embedRegular r:id="rId4" w:fontKey="{DA99DF25-07B7-495D-98AF-7B6CCE491448}"/>
  </w:font>
  <w:font w:name="方正小标宋简体">
    <w:panose1 w:val="03000509000000000000"/>
    <w:charset w:val="86"/>
    <w:family w:val="script"/>
    <w:pitch w:val="default"/>
    <w:sig w:usb0="00000001" w:usb1="080E0000" w:usb2="00000000" w:usb3="00000000" w:csb0="00040000" w:csb1="00000000"/>
    <w:embedRegular r:id="rId5" w:fontKey="{2A7FEFDA-F6BA-4590-971B-4EDACCDCC3A3}"/>
  </w:font>
  <w:font w:name="宋体 ，Arial">
    <w:altName w:val="宋体"/>
    <w:panose1 w:val="00000000000000000000"/>
    <w:charset w:val="86"/>
    <w:family w:val="roman"/>
    <w:pitch w:val="default"/>
    <w:sig w:usb0="00000000" w:usb1="00000000" w:usb2="00000010" w:usb3="00000000" w:csb0="00040000" w:csb1="00000000"/>
    <w:embedRegular r:id="rId6" w:fontKey="{89037771-4524-4FCE-B76D-9B599558BC59}"/>
  </w:font>
  <w:font w:name="新宋体">
    <w:panose1 w:val="02010609030101010101"/>
    <w:charset w:val="86"/>
    <w:family w:val="modern"/>
    <w:pitch w:val="default"/>
    <w:sig w:usb0="00000203" w:usb1="288F0000" w:usb2="00000006" w:usb3="00000000" w:csb0="00040001" w:csb1="00000000"/>
    <w:embedRegular r:id="rId7" w:fontKey="{567C326E-BC54-4818-A71C-3A4D54EBAF2F}"/>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pPr>
    <w:r>
      <w:fldChar w:fldCharType="begin"/>
    </w:r>
    <w:r>
      <w:instrText xml:space="preserve"> PAGE   \* MERGEFORMAT </w:instrText>
    </w:r>
    <w:r>
      <w:fldChar w:fldCharType="separate"/>
    </w:r>
    <w:r>
      <w:rPr>
        <w:lang w:val="zh-CN"/>
      </w:rPr>
      <w:t>13</w:t>
    </w:r>
    <w:r>
      <w:rPr>
        <w:lang w:val="zh-CN"/>
      </w:rPr>
      <w:fldChar w:fldCharType="end"/>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pPr>
    <w:r>
      <w:fldChar w:fldCharType="begin"/>
    </w:r>
    <w:r>
      <w:instrText xml:space="preserve"> PAGE   \* MERGEFORMAT </w:instrText>
    </w:r>
    <w:r>
      <w:fldChar w:fldCharType="separate"/>
    </w:r>
    <w:r>
      <w:rPr>
        <w:lang w:val="zh-CN"/>
      </w:rPr>
      <w:t>3</w:t>
    </w:r>
    <w:r>
      <w:rPr>
        <w:lang w:val="zh-CN"/>
      </w:rPr>
      <w:fldChar w:fldCharType="end"/>
    </w:r>
  </w:p>
  <w:p>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C5653"/>
    <w:multiLevelType w:val="multilevel"/>
    <w:tmpl w:val="068C565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F2D47AA"/>
    <w:multiLevelType w:val="multilevel"/>
    <w:tmpl w:val="1F2D47A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B040645"/>
    <w:multiLevelType w:val="multilevel"/>
    <w:tmpl w:val="2B04064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A80691"/>
    <w:multiLevelType w:val="singleLevel"/>
    <w:tmpl w:val="2EA80691"/>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VjOTQ5NGFmNGFjMTAwMjZiODlhMzA0ZTU0NWNjMTYifQ=="/>
  </w:docVars>
  <w:rsids>
    <w:rsidRoot w:val="00172A27"/>
    <w:rsid w:val="00007408"/>
    <w:rsid w:val="0000742F"/>
    <w:rsid w:val="00011F35"/>
    <w:rsid w:val="000120CD"/>
    <w:rsid w:val="00012213"/>
    <w:rsid w:val="00030511"/>
    <w:rsid w:val="0003065E"/>
    <w:rsid w:val="00034087"/>
    <w:rsid w:val="000362C3"/>
    <w:rsid w:val="00037D2A"/>
    <w:rsid w:val="00042702"/>
    <w:rsid w:val="00042BFE"/>
    <w:rsid w:val="00045E78"/>
    <w:rsid w:val="00047980"/>
    <w:rsid w:val="000506CB"/>
    <w:rsid w:val="00054F0F"/>
    <w:rsid w:val="00056488"/>
    <w:rsid w:val="000579F9"/>
    <w:rsid w:val="0006033E"/>
    <w:rsid w:val="00066AAE"/>
    <w:rsid w:val="00071521"/>
    <w:rsid w:val="00071B49"/>
    <w:rsid w:val="000729D0"/>
    <w:rsid w:val="00077BFB"/>
    <w:rsid w:val="000839BA"/>
    <w:rsid w:val="000910C0"/>
    <w:rsid w:val="000924B2"/>
    <w:rsid w:val="00096898"/>
    <w:rsid w:val="000969F8"/>
    <w:rsid w:val="000A334B"/>
    <w:rsid w:val="000B2124"/>
    <w:rsid w:val="000B28F8"/>
    <w:rsid w:val="000B44F6"/>
    <w:rsid w:val="000B49BA"/>
    <w:rsid w:val="000B4AFA"/>
    <w:rsid w:val="000B5B99"/>
    <w:rsid w:val="000C05B2"/>
    <w:rsid w:val="000C075C"/>
    <w:rsid w:val="000C2DD7"/>
    <w:rsid w:val="000C4657"/>
    <w:rsid w:val="000C5CAA"/>
    <w:rsid w:val="000D24A9"/>
    <w:rsid w:val="000D4E3C"/>
    <w:rsid w:val="000D7AFD"/>
    <w:rsid w:val="000E1C0D"/>
    <w:rsid w:val="000E207D"/>
    <w:rsid w:val="000E3D93"/>
    <w:rsid w:val="000E4764"/>
    <w:rsid w:val="000F060C"/>
    <w:rsid w:val="000F75FD"/>
    <w:rsid w:val="00100645"/>
    <w:rsid w:val="00100A46"/>
    <w:rsid w:val="001048E7"/>
    <w:rsid w:val="00105077"/>
    <w:rsid w:val="001050EF"/>
    <w:rsid w:val="00107900"/>
    <w:rsid w:val="0011077D"/>
    <w:rsid w:val="00115839"/>
    <w:rsid w:val="00117030"/>
    <w:rsid w:val="0012054A"/>
    <w:rsid w:val="00122511"/>
    <w:rsid w:val="0012318E"/>
    <w:rsid w:val="00131DD7"/>
    <w:rsid w:val="0013723B"/>
    <w:rsid w:val="00140152"/>
    <w:rsid w:val="00144A80"/>
    <w:rsid w:val="00146D90"/>
    <w:rsid w:val="00151E5F"/>
    <w:rsid w:val="001555CD"/>
    <w:rsid w:val="001620B2"/>
    <w:rsid w:val="00170FE4"/>
    <w:rsid w:val="00171012"/>
    <w:rsid w:val="00172A27"/>
    <w:rsid w:val="00172FCC"/>
    <w:rsid w:val="00174EE7"/>
    <w:rsid w:val="00175C07"/>
    <w:rsid w:val="00182761"/>
    <w:rsid w:val="0018467E"/>
    <w:rsid w:val="001847BC"/>
    <w:rsid w:val="00191ADB"/>
    <w:rsid w:val="001A0145"/>
    <w:rsid w:val="001A201A"/>
    <w:rsid w:val="001A2530"/>
    <w:rsid w:val="001A3B0C"/>
    <w:rsid w:val="001A5065"/>
    <w:rsid w:val="001A6F3C"/>
    <w:rsid w:val="001A7558"/>
    <w:rsid w:val="001C126F"/>
    <w:rsid w:val="001C18ED"/>
    <w:rsid w:val="001C4863"/>
    <w:rsid w:val="001D065E"/>
    <w:rsid w:val="001D4319"/>
    <w:rsid w:val="001D4E2B"/>
    <w:rsid w:val="001D5C72"/>
    <w:rsid w:val="001E02A9"/>
    <w:rsid w:val="001E0D82"/>
    <w:rsid w:val="001E1B8B"/>
    <w:rsid w:val="001E1D7C"/>
    <w:rsid w:val="001E505A"/>
    <w:rsid w:val="001E57E9"/>
    <w:rsid w:val="001E5FBF"/>
    <w:rsid w:val="001E6C2C"/>
    <w:rsid w:val="001F1B09"/>
    <w:rsid w:val="001F41D7"/>
    <w:rsid w:val="002034F9"/>
    <w:rsid w:val="0020398C"/>
    <w:rsid w:val="00203D57"/>
    <w:rsid w:val="00206506"/>
    <w:rsid w:val="00210168"/>
    <w:rsid w:val="0021056C"/>
    <w:rsid w:val="002269DB"/>
    <w:rsid w:val="002272BD"/>
    <w:rsid w:val="00231716"/>
    <w:rsid w:val="002324C9"/>
    <w:rsid w:val="002327DA"/>
    <w:rsid w:val="00232892"/>
    <w:rsid w:val="002353A5"/>
    <w:rsid w:val="0023593D"/>
    <w:rsid w:val="002375F2"/>
    <w:rsid w:val="00240E04"/>
    <w:rsid w:val="002479C3"/>
    <w:rsid w:val="002509C2"/>
    <w:rsid w:val="00251F30"/>
    <w:rsid w:val="00253EFF"/>
    <w:rsid w:val="002564BA"/>
    <w:rsid w:val="002605AB"/>
    <w:rsid w:val="00261246"/>
    <w:rsid w:val="00266AC9"/>
    <w:rsid w:val="00266F75"/>
    <w:rsid w:val="0027035F"/>
    <w:rsid w:val="00272AED"/>
    <w:rsid w:val="00274D1A"/>
    <w:rsid w:val="00277BA0"/>
    <w:rsid w:val="00280EE5"/>
    <w:rsid w:val="002844C4"/>
    <w:rsid w:val="0028782C"/>
    <w:rsid w:val="00290BCC"/>
    <w:rsid w:val="00292DC4"/>
    <w:rsid w:val="00295971"/>
    <w:rsid w:val="002A1138"/>
    <w:rsid w:val="002A2754"/>
    <w:rsid w:val="002A36FC"/>
    <w:rsid w:val="002A4DFF"/>
    <w:rsid w:val="002A5771"/>
    <w:rsid w:val="002A5A77"/>
    <w:rsid w:val="002A5ED3"/>
    <w:rsid w:val="002A7295"/>
    <w:rsid w:val="002B1848"/>
    <w:rsid w:val="002B7CB8"/>
    <w:rsid w:val="002C26A5"/>
    <w:rsid w:val="002C5C26"/>
    <w:rsid w:val="002C7D88"/>
    <w:rsid w:val="002D0394"/>
    <w:rsid w:val="002D123C"/>
    <w:rsid w:val="002D4441"/>
    <w:rsid w:val="002D4B00"/>
    <w:rsid w:val="002D51FB"/>
    <w:rsid w:val="002E2A57"/>
    <w:rsid w:val="002E2EB0"/>
    <w:rsid w:val="002E43E1"/>
    <w:rsid w:val="002F3DF7"/>
    <w:rsid w:val="002F5982"/>
    <w:rsid w:val="003014EF"/>
    <w:rsid w:val="003017BD"/>
    <w:rsid w:val="0030358C"/>
    <w:rsid w:val="00304AE0"/>
    <w:rsid w:val="00305BC4"/>
    <w:rsid w:val="003077C9"/>
    <w:rsid w:val="00321F05"/>
    <w:rsid w:val="003225FA"/>
    <w:rsid w:val="00322D2C"/>
    <w:rsid w:val="0032359A"/>
    <w:rsid w:val="00326E27"/>
    <w:rsid w:val="00327CF1"/>
    <w:rsid w:val="003367CF"/>
    <w:rsid w:val="00341315"/>
    <w:rsid w:val="0034205D"/>
    <w:rsid w:val="003514D5"/>
    <w:rsid w:val="00352099"/>
    <w:rsid w:val="00353364"/>
    <w:rsid w:val="00354420"/>
    <w:rsid w:val="0036279D"/>
    <w:rsid w:val="00363784"/>
    <w:rsid w:val="0036398A"/>
    <w:rsid w:val="003662C5"/>
    <w:rsid w:val="0038305B"/>
    <w:rsid w:val="00385FC0"/>
    <w:rsid w:val="00386B2D"/>
    <w:rsid w:val="00392DA8"/>
    <w:rsid w:val="00393618"/>
    <w:rsid w:val="00394F7D"/>
    <w:rsid w:val="0039731B"/>
    <w:rsid w:val="003A02E4"/>
    <w:rsid w:val="003A71FD"/>
    <w:rsid w:val="003B6F87"/>
    <w:rsid w:val="003C4066"/>
    <w:rsid w:val="003C641C"/>
    <w:rsid w:val="003D4ECF"/>
    <w:rsid w:val="003D6955"/>
    <w:rsid w:val="003D6CDA"/>
    <w:rsid w:val="003E021F"/>
    <w:rsid w:val="003E20D0"/>
    <w:rsid w:val="003E294A"/>
    <w:rsid w:val="003E3740"/>
    <w:rsid w:val="003E5462"/>
    <w:rsid w:val="003F0220"/>
    <w:rsid w:val="003F444B"/>
    <w:rsid w:val="003F61B9"/>
    <w:rsid w:val="003F6EA5"/>
    <w:rsid w:val="00404784"/>
    <w:rsid w:val="00405733"/>
    <w:rsid w:val="004075A9"/>
    <w:rsid w:val="00407D5C"/>
    <w:rsid w:val="004121D7"/>
    <w:rsid w:val="00414F99"/>
    <w:rsid w:val="00415B43"/>
    <w:rsid w:val="0042622A"/>
    <w:rsid w:val="00427659"/>
    <w:rsid w:val="00434AD3"/>
    <w:rsid w:val="00436997"/>
    <w:rsid w:val="004379CD"/>
    <w:rsid w:val="0044052A"/>
    <w:rsid w:val="00442C5F"/>
    <w:rsid w:val="00443CEB"/>
    <w:rsid w:val="00444622"/>
    <w:rsid w:val="00445647"/>
    <w:rsid w:val="00446964"/>
    <w:rsid w:val="00450BA4"/>
    <w:rsid w:val="00451314"/>
    <w:rsid w:val="0046302C"/>
    <w:rsid w:val="00463166"/>
    <w:rsid w:val="0047045C"/>
    <w:rsid w:val="00470B1C"/>
    <w:rsid w:val="00470B5E"/>
    <w:rsid w:val="004740FA"/>
    <w:rsid w:val="004764EF"/>
    <w:rsid w:val="00477C67"/>
    <w:rsid w:val="00481696"/>
    <w:rsid w:val="00485ECF"/>
    <w:rsid w:val="00495295"/>
    <w:rsid w:val="0049569F"/>
    <w:rsid w:val="00496C67"/>
    <w:rsid w:val="004A16F3"/>
    <w:rsid w:val="004A25AE"/>
    <w:rsid w:val="004A3AF8"/>
    <w:rsid w:val="004A6E79"/>
    <w:rsid w:val="004B13F5"/>
    <w:rsid w:val="004B486D"/>
    <w:rsid w:val="004B5D3B"/>
    <w:rsid w:val="004B70BA"/>
    <w:rsid w:val="004C0ED0"/>
    <w:rsid w:val="004C3F37"/>
    <w:rsid w:val="004C4ABC"/>
    <w:rsid w:val="004C7712"/>
    <w:rsid w:val="004D0A35"/>
    <w:rsid w:val="004D12E0"/>
    <w:rsid w:val="004D1908"/>
    <w:rsid w:val="004D46A6"/>
    <w:rsid w:val="004D64E7"/>
    <w:rsid w:val="004E475B"/>
    <w:rsid w:val="004E536D"/>
    <w:rsid w:val="004E6519"/>
    <w:rsid w:val="004F3A71"/>
    <w:rsid w:val="004F430B"/>
    <w:rsid w:val="004F6940"/>
    <w:rsid w:val="00500934"/>
    <w:rsid w:val="00502388"/>
    <w:rsid w:val="00503481"/>
    <w:rsid w:val="00503D88"/>
    <w:rsid w:val="005043A2"/>
    <w:rsid w:val="005056E7"/>
    <w:rsid w:val="00507DAF"/>
    <w:rsid w:val="00512107"/>
    <w:rsid w:val="005162CF"/>
    <w:rsid w:val="00523046"/>
    <w:rsid w:val="005248F4"/>
    <w:rsid w:val="00526303"/>
    <w:rsid w:val="0053065D"/>
    <w:rsid w:val="005329F3"/>
    <w:rsid w:val="00544937"/>
    <w:rsid w:val="00550BB1"/>
    <w:rsid w:val="00552B63"/>
    <w:rsid w:val="0055300C"/>
    <w:rsid w:val="00555114"/>
    <w:rsid w:val="00562A7E"/>
    <w:rsid w:val="005630BC"/>
    <w:rsid w:val="00563E6A"/>
    <w:rsid w:val="005640F2"/>
    <w:rsid w:val="00564EA0"/>
    <w:rsid w:val="00567938"/>
    <w:rsid w:val="00571852"/>
    <w:rsid w:val="005730CF"/>
    <w:rsid w:val="00573683"/>
    <w:rsid w:val="005822E0"/>
    <w:rsid w:val="00582DF2"/>
    <w:rsid w:val="00585F82"/>
    <w:rsid w:val="005866B0"/>
    <w:rsid w:val="00586890"/>
    <w:rsid w:val="00590220"/>
    <w:rsid w:val="005928D3"/>
    <w:rsid w:val="00592A76"/>
    <w:rsid w:val="00595843"/>
    <w:rsid w:val="005A05DF"/>
    <w:rsid w:val="005A0D96"/>
    <w:rsid w:val="005A1DF4"/>
    <w:rsid w:val="005A22B3"/>
    <w:rsid w:val="005A3072"/>
    <w:rsid w:val="005A3BCB"/>
    <w:rsid w:val="005A6AB9"/>
    <w:rsid w:val="005A758D"/>
    <w:rsid w:val="005B4990"/>
    <w:rsid w:val="005C3815"/>
    <w:rsid w:val="005C4482"/>
    <w:rsid w:val="005C534C"/>
    <w:rsid w:val="005D5DC5"/>
    <w:rsid w:val="005D6057"/>
    <w:rsid w:val="005E400F"/>
    <w:rsid w:val="005E6293"/>
    <w:rsid w:val="005F16D1"/>
    <w:rsid w:val="005F1F9B"/>
    <w:rsid w:val="005F57B1"/>
    <w:rsid w:val="006004AD"/>
    <w:rsid w:val="00603DA3"/>
    <w:rsid w:val="00605F3E"/>
    <w:rsid w:val="00611189"/>
    <w:rsid w:val="00613027"/>
    <w:rsid w:val="00613A65"/>
    <w:rsid w:val="006155C6"/>
    <w:rsid w:val="00615919"/>
    <w:rsid w:val="00620BC5"/>
    <w:rsid w:val="00620ED9"/>
    <w:rsid w:val="0062186A"/>
    <w:rsid w:val="00621A9B"/>
    <w:rsid w:val="0062346E"/>
    <w:rsid w:val="006241D7"/>
    <w:rsid w:val="006245B1"/>
    <w:rsid w:val="00627006"/>
    <w:rsid w:val="00630EF7"/>
    <w:rsid w:val="0063404C"/>
    <w:rsid w:val="00640E52"/>
    <w:rsid w:val="0064104F"/>
    <w:rsid w:val="00642221"/>
    <w:rsid w:val="00642B32"/>
    <w:rsid w:val="00643848"/>
    <w:rsid w:val="00646949"/>
    <w:rsid w:val="00647880"/>
    <w:rsid w:val="006518BA"/>
    <w:rsid w:val="00653D85"/>
    <w:rsid w:val="006542A1"/>
    <w:rsid w:val="006545F7"/>
    <w:rsid w:val="0065787B"/>
    <w:rsid w:val="00661CE8"/>
    <w:rsid w:val="00666A9E"/>
    <w:rsid w:val="00670E10"/>
    <w:rsid w:val="00672748"/>
    <w:rsid w:val="0067322A"/>
    <w:rsid w:val="006750CE"/>
    <w:rsid w:val="00681970"/>
    <w:rsid w:val="00682065"/>
    <w:rsid w:val="00683116"/>
    <w:rsid w:val="00683FB7"/>
    <w:rsid w:val="006870C0"/>
    <w:rsid w:val="00692E6A"/>
    <w:rsid w:val="0069516C"/>
    <w:rsid w:val="00695C54"/>
    <w:rsid w:val="0069775F"/>
    <w:rsid w:val="006A1ECC"/>
    <w:rsid w:val="006A3B93"/>
    <w:rsid w:val="006A3FB1"/>
    <w:rsid w:val="006A4837"/>
    <w:rsid w:val="006B3F40"/>
    <w:rsid w:val="006B7CE4"/>
    <w:rsid w:val="006C0503"/>
    <w:rsid w:val="006C2966"/>
    <w:rsid w:val="006C2AB6"/>
    <w:rsid w:val="006C6B43"/>
    <w:rsid w:val="006D3441"/>
    <w:rsid w:val="006D5009"/>
    <w:rsid w:val="006E7D27"/>
    <w:rsid w:val="006F3977"/>
    <w:rsid w:val="006F64C9"/>
    <w:rsid w:val="006F662F"/>
    <w:rsid w:val="00700784"/>
    <w:rsid w:val="0070135F"/>
    <w:rsid w:val="00701575"/>
    <w:rsid w:val="007047E9"/>
    <w:rsid w:val="0071317A"/>
    <w:rsid w:val="00713954"/>
    <w:rsid w:val="00713ADA"/>
    <w:rsid w:val="007149A2"/>
    <w:rsid w:val="00714CDA"/>
    <w:rsid w:val="00715A5A"/>
    <w:rsid w:val="00715C46"/>
    <w:rsid w:val="00717479"/>
    <w:rsid w:val="00720F53"/>
    <w:rsid w:val="00721883"/>
    <w:rsid w:val="00723814"/>
    <w:rsid w:val="00723876"/>
    <w:rsid w:val="00723BCC"/>
    <w:rsid w:val="007264BC"/>
    <w:rsid w:val="00731C6A"/>
    <w:rsid w:val="0073762C"/>
    <w:rsid w:val="00743B7D"/>
    <w:rsid w:val="007524FB"/>
    <w:rsid w:val="00753326"/>
    <w:rsid w:val="00755779"/>
    <w:rsid w:val="00755FB3"/>
    <w:rsid w:val="007608FD"/>
    <w:rsid w:val="007625FC"/>
    <w:rsid w:val="00762775"/>
    <w:rsid w:val="00764DA1"/>
    <w:rsid w:val="00772894"/>
    <w:rsid w:val="00772D2A"/>
    <w:rsid w:val="00784F63"/>
    <w:rsid w:val="00785729"/>
    <w:rsid w:val="007866FC"/>
    <w:rsid w:val="00786CDE"/>
    <w:rsid w:val="00790835"/>
    <w:rsid w:val="0079504A"/>
    <w:rsid w:val="00795382"/>
    <w:rsid w:val="00796472"/>
    <w:rsid w:val="00796EE8"/>
    <w:rsid w:val="00796F75"/>
    <w:rsid w:val="00797AEB"/>
    <w:rsid w:val="007A080A"/>
    <w:rsid w:val="007A1AF5"/>
    <w:rsid w:val="007A2297"/>
    <w:rsid w:val="007A4759"/>
    <w:rsid w:val="007B15A2"/>
    <w:rsid w:val="007B3A75"/>
    <w:rsid w:val="007B63FA"/>
    <w:rsid w:val="007C6EBB"/>
    <w:rsid w:val="007D3237"/>
    <w:rsid w:val="007D4B70"/>
    <w:rsid w:val="007D7986"/>
    <w:rsid w:val="007E0634"/>
    <w:rsid w:val="007E45D9"/>
    <w:rsid w:val="007F06D0"/>
    <w:rsid w:val="007F0A9B"/>
    <w:rsid w:val="007F1C77"/>
    <w:rsid w:val="008007E4"/>
    <w:rsid w:val="00800C8C"/>
    <w:rsid w:val="00804FD5"/>
    <w:rsid w:val="008152F3"/>
    <w:rsid w:val="00815465"/>
    <w:rsid w:val="00816F80"/>
    <w:rsid w:val="00817A7E"/>
    <w:rsid w:val="008205D8"/>
    <w:rsid w:val="0082264A"/>
    <w:rsid w:val="008327E1"/>
    <w:rsid w:val="00834759"/>
    <w:rsid w:val="00836F22"/>
    <w:rsid w:val="00841E66"/>
    <w:rsid w:val="00843897"/>
    <w:rsid w:val="00857539"/>
    <w:rsid w:val="00861820"/>
    <w:rsid w:val="00861DD2"/>
    <w:rsid w:val="00862F86"/>
    <w:rsid w:val="008644C8"/>
    <w:rsid w:val="00864C92"/>
    <w:rsid w:val="0087452C"/>
    <w:rsid w:val="00882530"/>
    <w:rsid w:val="00882E95"/>
    <w:rsid w:val="00884EFE"/>
    <w:rsid w:val="008853D1"/>
    <w:rsid w:val="008924C1"/>
    <w:rsid w:val="0089322A"/>
    <w:rsid w:val="0089326B"/>
    <w:rsid w:val="008965EF"/>
    <w:rsid w:val="00897C02"/>
    <w:rsid w:val="008A0320"/>
    <w:rsid w:val="008A2021"/>
    <w:rsid w:val="008B0062"/>
    <w:rsid w:val="008B3D30"/>
    <w:rsid w:val="008B3F60"/>
    <w:rsid w:val="008B46DA"/>
    <w:rsid w:val="008B4F84"/>
    <w:rsid w:val="008B559D"/>
    <w:rsid w:val="008B689B"/>
    <w:rsid w:val="008C292B"/>
    <w:rsid w:val="008C35CF"/>
    <w:rsid w:val="008C3DAA"/>
    <w:rsid w:val="008C49D7"/>
    <w:rsid w:val="008C531C"/>
    <w:rsid w:val="008D0433"/>
    <w:rsid w:val="008D2B7F"/>
    <w:rsid w:val="008D45D3"/>
    <w:rsid w:val="008D5C28"/>
    <w:rsid w:val="008D6675"/>
    <w:rsid w:val="008E1EFC"/>
    <w:rsid w:val="008E383B"/>
    <w:rsid w:val="008E5043"/>
    <w:rsid w:val="008F1222"/>
    <w:rsid w:val="008F1240"/>
    <w:rsid w:val="008F1C9B"/>
    <w:rsid w:val="008F4C49"/>
    <w:rsid w:val="0091047E"/>
    <w:rsid w:val="009107AC"/>
    <w:rsid w:val="009125DA"/>
    <w:rsid w:val="0091483D"/>
    <w:rsid w:val="00916785"/>
    <w:rsid w:val="009207F2"/>
    <w:rsid w:val="00921B03"/>
    <w:rsid w:val="00922FF6"/>
    <w:rsid w:val="00923529"/>
    <w:rsid w:val="00933808"/>
    <w:rsid w:val="009410DF"/>
    <w:rsid w:val="009436DB"/>
    <w:rsid w:val="00945E8A"/>
    <w:rsid w:val="00947329"/>
    <w:rsid w:val="00947E19"/>
    <w:rsid w:val="00952179"/>
    <w:rsid w:val="009528E5"/>
    <w:rsid w:val="0095291B"/>
    <w:rsid w:val="00952B60"/>
    <w:rsid w:val="00952FF9"/>
    <w:rsid w:val="00957D81"/>
    <w:rsid w:val="00964A57"/>
    <w:rsid w:val="009678B6"/>
    <w:rsid w:val="00967CE0"/>
    <w:rsid w:val="00970186"/>
    <w:rsid w:val="00975D96"/>
    <w:rsid w:val="00977B0E"/>
    <w:rsid w:val="00983EA8"/>
    <w:rsid w:val="00992E33"/>
    <w:rsid w:val="00994624"/>
    <w:rsid w:val="009A47E8"/>
    <w:rsid w:val="009A4F04"/>
    <w:rsid w:val="009A776D"/>
    <w:rsid w:val="009A7BF1"/>
    <w:rsid w:val="009B1A0B"/>
    <w:rsid w:val="009B1E4F"/>
    <w:rsid w:val="009B3694"/>
    <w:rsid w:val="009B3D2A"/>
    <w:rsid w:val="009B4780"/>
    <w:rsid w:val="009C00C6"/>
    <w:rsid w:val="009C04F2"/>
    <w:rsid w:val="009C3858"/>
    <w:rsid w:val="009C386B"/>
    <w:rsid w:val="009C520D"/>
    <w:rsid w:val="009C5CB0"/>
    <w:rsid w:val="009D2A50"/>
    <w:rsid w:val="009D2FEE"/>
    <w:rsid w:val="009D5290"/>
    <w:rsid w:val="009D5FA2"/>
    <w:rsid w:val="009D7B47"/>
    <w:rsid w:val="009D7DB1"/>
    <w:rsid w:val="009E24CB"/>
    <w:rsid w:val="009E2ECE"/>
    <w:rsid w:val="009E59E4"/>
    <w:rsid w:val="009E5E9A"/>
    <w:rsid w:val="009E69FD"/>
    <w:rsid w:val="009F15D1"/>
    <w:rsid w:val="00A012CF"/>
    <w:rsid w:val="00A04247"/>
    <w:rsid w:val="00A050A5"/>
    <w:rsid w:val="00A050E8"/>
    <w:rsid w:val="00A1001C"/>
    <w:rsid w:val="00A123BD"/>
    <w:rsid w:val="00A158A7"/>
    <w:rsid w:val="00A15C88"/>
    <w:rsid w:val="00A15D81"/>
    <w:rsid w:val="00A171B0"/>
    <w:rsid w:val="00A25968"/>
    <w:rsid w:val="00A27D6C"/>
    <w:rsid w:val="00A31646"/>
    <w:rsid w:val="00A356E7"/>
    <w:rsid w:val="00A35EA6"/>
    <w:rsid w:val="00A360F1"/>
    <w:rsid w:val="00A43069"/>
    <w:rsid w:val="00A4682B"/>
    <w:rsid w:val="00A46B9D"/>
    <w:rsid w:val="00A46C90"/>
    <w:rsid w:val="00A50EA7"/>
    <w:rsid w:val="00A54CA0"/>
    <w:rsid w:val="00A55AA2"/>
    <w:rsid w:val="00A56833"/>
    <w:rsid w:val="00A56D44"/>
    <w:rsid w:val="00A6081B"/>
    <w:rsid w:val="00A61BC5"/>
    <w:rsid w:val="00A6263F"/>
    <w:rsid w:val="00A70EAB"/>
    <w:rsid w:val="00A8144A"/>
    <w:rsid w:val="00A81B72"/>
    <w:rsid w:val="00A83264"/>
    <w:rsid w:val="00A83333"/>
    <w:rsid w:val="00A85543"/>
    <w:rsid w:val="00A868A3"/>
    <w:rsid w:val="00A91271"/>
    <w:rsid w:val="00A92276"/>
    <w:rsid w:val="00A93387"/>
    <w:rsid w:val="00A96864"/>
    <w:rsid w:val="00AA33C4"/>
    <w:rsid w:val="00AB058E"/>
    <w:rsid w:val="00AB13E7"/>
    <w:rsid w:val="00AB396B"/>
    <w:rsid w:val="00AB3A1E"/>
    <w:rsid w:val="00AB3ACC"/>
    <w:rsid w:val="00AB54FE"/>
    <w:rsid w:val="00AC133B"/>
    <w:rsid w:val="00AD0525"/>
    <w:rsid w:val="00AD4338"/>
    <w:rsid w:val="00AD69A8"/>
    <w:rsid w:val="00AD77BE"/>
    <w:rsid w:val="00AE0945"/>
    <w:rsid w:val="00AE243A"/>
    <w:rsid w:val="00AE5015"/>
    <w:rsid w:val="00AE5735"/>
    <w:rsid w:val="00AE581C"/>
    <w:rsid w:val="00AF39BA"/>
    <w:rsid w:val="00AF5809"/>
    <w:rsid w:val="00AF7A25"/>
    <w:rsid w:val="00B005A4"/>
    <w:rsid w:val="00B01AEF"/>
    <w:rsid w:val="00B029D8"/>
    <w:rsid w:val="00B04489"/>
    <w:rsid w:val="00B05F89"/>
    <w:rsid w:val="00B0672C"/>
    <w:rsid w:val="00B14145"/>
    <w:rsid w:val="00B15FF7"/>
    <w:rsid w:val="00B17CAF"/>
    <w:rsid w:val="00B2167D"/>
    <w:rsid w:val="00B21B9F"/>
    <w:rsid w:val="00B2211E"/>
    <w:rsid w:val="00B25AA1"/>
    <w:rsid w:val="00B311EE"/>
    <w:rsid w:val="00B31920"/>
    <w:rsid w:val="00B31D02"/>
    <w:rsid w:val="00B345B8"/>
    <w:rsid w:val="00B434E3"/>
    <w:rsid w:val="00B45A21"/>
    <w:rsid w:val="00B46D9A"/>
    <w:rsid w:val="00B50554"/>
    <w:rsid w:val="00B52047"/>
    <w:rsid w:val="00B55356"/>
    <w:rsid w:val="00B579EF"/>
    <w:rsid w:val="00B606F1"/>
    <w:rsid w:val="00B60FBC"/>
    <w:rsid w:val="00B61407"/>
    <w:rsid w:val="00B629FA"/>
    <w:rsid w:val="00B64ACE"/>
    <w:rsid w:val="00B65C6C"/>
    <w:rsid w:val="00B65D62"/>
    <w:rsid w:val="00B679E4"/>
    <w:rsid w:val="00B74948"/>
    <w:rsid w:val="00B82576"/>
    <w:rsid w:val="00B826AB"/>
    <w:rsid w:val="00B83A09"/>
    <w:rsid w:val="00B8514B"/>
    <w:rsid w:val="00B86455"/>
    <w:rsid w:val="00B87911"/>
    <w:rsid w:val="00B90E29"/>
    <w:rsid w:val="00B92324"/>
    <w:rsid w:val="00B97146"/>
    <w:rsid w:val="00BA0E25"/>
    <w:rsid w:val="00BA0FF8"/>
    <w:rsid w:val="00BA18F5"/>
    <w:rsid w:val="00BA4CB0"/>
    <w:rsid w:val="00BA55CC"/>
    <w:rsid w:val="00BA5D1D"/>
    <w:rsid w:val="00BB0422"/>
    <w:rsid w:val="00BB3F81"/>
    <w:rsid w:val="00BC182A"/>
    <w:rsid w:val="00BC277B"/>
    <w:rsid w:val="00BC52B6"/>
    <w:rsid w:val="00BD0B83"/>
    <w:rsid w:val="00BD15B9"/>
    <w:rsid w:val="00BD38D1"/>
    <w:rsid w:val="00BD511B"/>
    <w:rsid w:val="00BD7017"/>
    <w:rsid w:val="00BD751D"/>
    <w:rsid w:val="00BE13B5"/>
    <w:rsid w:val="00BE450F"/>
    <w:rsid w:val="00BE6796"/>
    <w:rsid w:val="00BF2192"/>
    <w:rsid w:val="00BF2278"/>
    <w:rsid w:val="00BF39A3"/>
    <w:rsid w:val="00C03DE9"/>
    <w:rsid w:val="00C074E4"/>
    <w:rsid w:val="00C147BD"/>
    <w:rsid w:val="00C14C29"/>
    <w:rsid w:val="00C155C7"/>
    <w:rsid w:val="00C17BE9"/>
    <w:rsid w:val="00C224D3"/>
    <w:rsid w:val="00C234E7"/>
    <w:rsid w:val="00C23CAD"/>
    <w:rsid w:val="00C265DC"/>
    <w:rsid w:val="00C349A0"/>
    <w:rsid w:val="00C40B02"/>
    <w:rsid w:val="00C41661"/>
    <w:rsid w:val="00C416AF"/>
    <w:rsid w:val="00C4265F"/>
    <w:rsid w:val="00C44227"/>
    <w:rsid w:val="00C501BA"/>
    <w:rsid w:val="00C6034D"/>
    <w:rsid w:val="00C66AD9"/>
    <w:rsid w:val="00C67F1B"/>
    <w:rsid w:val="00C7070C"/>
    <w:rsid w:val="00C761E8"/>
    <w:rsid w:val="00C77247"/>
    <w:rsid w:val="00C8024E"/>
    <w:rsid w:val="00C80EE1"/>
    <w:rsid w:val="00C810F4"/>
    <w:rsid w:val="00C828BB"/>
    <w:rsid w:val="00C86BCD"/>
    <w:rsid w:val="00C905B4"/>
    <w:rsid w:val="00C92FAB"/>
    <w:rsid w:val="00C94EF5"/>
    <w:rsid w:val="00C96204"/>
    <w:rsid w:val="00C9756F"/>
    <w:rsid w:val="00C97AB0"/>
    <w:rsid w:val="00C97D32"/>
    <w:rsid w:val="00CA2ED3"/>
    <w:rsid w:val="00CA4E29"/>
    <w:rsid w:val="00CB231D"/>
    <w:rsid w:val="00CB3A27"/>
    <w:rsid w:val="00CC0105"/>
    <w:rsid w:val="00CC0AA4"/>
    <w:rsid w:val="00CC1B3C"/>
    <w:rsid w:val="00CC1DA0"/>
    <w:rsid w:val="00CC37CD"/>
    <w:rsid w:val="00CC4FE4"/>
    <w:rsid w:val="00CC661B"/>
    <w:rsid w:val="00CD1864"/>
    <w:rsid w:val="00CD2374"/>
    <w:rsid w:val="00CD405B"/>
    <w:rsid w:val="00CD4BAD"/>
    <w:rsid w:val="00CD716D"/>
    <w:rsid w:val="00CD7A96"/>
    <w:rsid w:val="00CD7B56"/>
    <w:rsid w:val="00CD7FD3"/>
    <w:rsid w:val="00CE0572"/>
    <w:rsid w:val="00CE0D84"/>
    <w:rsid w:val="00CE3175"/>
    <w:rsid w:val="00CF1ADA"/>
    <w:rsid w:val="00CF1F74"/>
    <w:rsid w:val="00CF2A77"/>
    <w:rsid w:val="00CF4F5E"/>
    <w:rsid w:val="00D00000"/>
    <w:rsid w:val="00D01C50"/>
    <w:rsid w:val="00D05993"/>
    <w:rsid w:val="00D06830"/>
    <w:rsid w:val="00D06CDA"/>
    <w:rsid w:val="00D1186B"/>
    <w:rsid w:val="00D14356"/>
    <w:rsid w:val="00D17ECF"/>
    <w:rsid w:val="00D21E2B"/>
    <w:rsid w:val="00D32BE0"/>
    <w:rsid w:val="00D3421E"/>
    <w:rsid w:val="00D35AA9"/>
    <w:rsid w:val="00D426D8"/>
    <w:rsid w:val="00D4594B"/>
    <w:rsid w:val="00D47CFB"/>
    <w:rsid w:val="00D500F0"/>
    <w:rsid w:val="00D512EF"/>
    <w:rsid w:val="00D564BB"/>
    <w:rsid w:val="00D6075D"/>
    <w:rsid w:val="00D625D3"/>
    <w:rsid w:val="00D63208"/>
    <w:rsid w:val="00D72845"/>
    <w:rsid w:val="00D77293"/>
    <w:rsid w:val="00D7782C"/>
    <w:rsid w:val="00D809D9"/>
    <w:rsid w:val="00D81C99"/>
    <w:rsid w:val="00D9312E"/>
    <w:rsid w:val="00D96DA7"/>
    <w:rsid w:val="00DA0184"/>
    <w:rsid w:val="00DB48EA"/>
    <w:rsid w:val="00DB5DC2"/>
    <w:rsid w:val="00DB5F42"/>
    <w:rsid w:val="00DB61D9"/>
    <w:rsid w:val="00DC1804"/>
    <w:rsid w:val="00DC2A51"/>
    <w:rsid w:val="00DD5EAF"/>
    <w:rsid w:val="00DE06B2"/>
    <w:rsid w:val="00DF03B6"/>
    <w:rsid w:val="00E012CF"/>
    <w:rsid w:val="00E01E92"/>
    <w:rsid w:val="00E026E3"/>
    <w:rsid w:val="00E0462F"/>
    <w:rsid w:val="00E05F20"/>
    <w:rsid w:val="00E078EC"/>
    <w:rsid w:val="00E1022D"/>
    <w:rsid w:val="00E12E85"/>
    <w:rsid w:val="00E14CF6"/>
    <w:rsid w:val="00E17FA7"/>
    <w:rsid w:val="00E204EF"/>
    <w:rsid w:val="00E24DC5"/>
    <w:rsid w:val="00E27F01"/>
    <w:rsid w:val="00E32A45"/>
    <w:rsid w:val="00E35525"/>
    <w:rsid w:val="00E36D85"/>
    <w:rsid w:val="00E37A3C"/>
    <w:rsid w:val="00E40850"/>
    <w:rsid w:val="00E4197F"/>
    <w:rsid w:val="00E521FA"/>
    <w:rsid w:val="00E5510B"/>
    <w:rsid w:val="00E6031D"/>
    <w:rsid w:val="00E60D51"/>
    <w:rsid w:val="00E6112D"/>
    <w:rsid w:val="00E630ED"/>
    <w:rsid w:val="00E63316"/>
    <w:rsid w:val="00E66784"/>
    <w:rsid w:val="00E72827"/>
    <w:rsid w:val="00E748B6"/>
    <w:rsid w:val="00E77F36"/>
    <w:rsid w:val="00E8290A"/>
    <w:rsid w:val="00E8503E"/>
    <w:rsid w:val="00E872B3"/>
    <w:rsid w:val="00E90987"/>
    <w:rsid w:val="00E944F3"/>
    <w:rsid w:val="00EA0447"/>
    <w:rsid w:val="00EA2EEE"/>
    <w:rsid w:val="00EC2247"/>
    <w:rsid w:val="00EC5C5C"/>
    <w:rsid w:val="00ED0E28"/>
    <w:rsid w:val="00ED554F"/>
    <w:rsid w:val="00ED560C"/>
    <w:rsid w:val="00EE089D"/>
    <w:rsid w:val="00EF4E76"/>
    <w:rsid w:val="00EF5FA9"/>
    <w:rsid w:val="00F00277"/>
    <w:rsid w:val="00F02B62"/>
    <w:rsid w:val="00F07134"/>
    <w:rsid w:val="00F07ED5"/>
    <w:rsid w:val="00F109FA"/>
    <w:rsid w:val="00F10F3C"/>
    <w:rsid w:val="00F133FA"/>
    <w:rsid w:val="00F1416C"/>
    <w:rsid w:val="00F174CA"/>
    <w:rsid w:val="00F20A8B"/>
    <w:rsid w:val="00F22A72"/>
    <w:rsid w:val="00F23EBA"/>
    <w:rsid w:val="00F23FE8"/>
    <w:rsid w:val="00F31C29"/>
    <w:rsid w:val="00F427C3"/>
    <w:rsid w:val="00F42BFA"/>
    <w:rsid w:val="00F5157C"/>
    <w:rsid w:val="00F56DF5"/>
    <w:rsid w:val="00F612CA"/>
    <w:rsid w:val="00F64B10"/>
    <w:rsid w:val="00F657E0"/>
    <w:rsid w:val="00F667C4"/>
    <w:rsid w:val="00F75F7C"/>
    <w:rsid w:val="00F778EF"/>
    <w:rsid w:val="00F808E4"/>
    <w:rsid w:val="00F847BD"/>
    <w:rsid w:val="00F85CA8"/>
    <w:rsid w:val="00F86AFA"/>
    <w:rsid w:val="00F93925"/>
    <w:rsid w:val="00F952F0"/>
    <w:rsid w:val="00F9654F"/>
    <w:rsid w:val="00F9703B"/>
    <w:rsid w:val="00FA24DF"/>
    <w:rsid w:val="00FA4202"/>
    <w:rsid w:val="00FA6353"/>
    <w:rsid w:val="00FA64D7"/>
    <w:rsid w:val="00FB2C38"/>
    <w:rsid w:val="00FB3557"/>
    <w:rsid w:val="00FB45B4"/>
    <w:rsid w:val="00FB5657"/>
    <w:rsid w:val="00FC092B"/>
    <w:rsid w:val="00FC2426"/>
    <w:rsid w:val="00FC28A5"/>
    <w:rsid w:val="00FC53CC"/>
    <w:rsid w:val="00FC7503"/>
    <w:rsid w:val="00FD2B47"/>
    <w:rsid w:val="00FD447A"/>
    <w:rsid w:val="00FD4589"/>
    <w:rsid w:val="00FE0A60"/>
    <w:rsid w:val="00FE1AF2"/>
    <w:rsid w:val="00FE4D98"/>
    <w:rsid w:val="00FF23AF"/>
    <w:rsid w:val="00FF245B"/>
    <w:rsid w:val="017B4EE7"/>
    <w:rsid w:val="01E8067C"/>
    <w:rsid w:val="03156465"/>
    <w:rsid w:val="032B64F8"/>
    <w:rsid w:val="04DF4780"/>
    <w:rsid w:val="07F025A5"/>
    <w:rsid w:val="09927EC2"/>
    <w:rsid w:val="09F61EC5"/>
    <w:rsid w:val="0B2E1EE3"/>
    <w:rsid w:val="0BD14F70"/>
    <w:rsid w:val="0CAB5DA2"/>
    <w:rsid w:val="0D17131E"/>
    <w:rsid w:val="0EED5065"/>
    <w:rsid w:val="1037334E"/>
    <w:rsid w:val="106A094E"/>
    <w:rsid w:val="108D0B20"/>
    <w:rsid w:val="11451DA9"/>
    <w:rsid w:val="1355022E"/>
    <w:rsid w:val="14CB0A6B"/>
    <w:rsid w:val="156B1D05"/>
    <w:rsid w:val="160A144B"/>
    <w:rsid w:val="16AA4967"/>
    <w:rsid w:val="175175BA"/>
    <w:rsid w:val="18F87BE3"/>
    <w:rsid w:val="1A555217"/>
    <w:rsid w:val="1CAB00E9"/>
    <w:rsid w:val="1D015FB2"/>
    <w:rsid w:val="1E387E23"/>
    <w:rsid w:val="1E471203"/>
    <w:rsid w:val="1EE55427"/>
    <w:rsid w:val="1F2A54EF"/>
    <w:rsid w:val="1F7155A1"/>
    <w:rsid w:val="1FB857BA"/>
    <w:rsid w:val="1FE219A2"/>
    <w:rsid w:val="20532909"/>
    <w:rsid w:val="20827A7F"/>
    <w:rsid w:val="21A04D6A"/>
    <w:rsid w:val="226A1E07"/>
    <w:rsid w:val="22A44FB2"/>
    <w:rsid w:val="22EF58C4"/>
    <w:rsid w:val="23B83E1D"/>
    <w:rsid w:val="23C05492"/>
    <w:rsid w:val="245D1A7D"/>
    <w:rsid w:val="2489657E"/>
    <w:rsid w:val="262B6696"/>
    <w:rsid w:val="26457CB1"/>
    <w:rsid w:val="27D43A83"/>
    <w:rsid w:val="280A4270"/>
    <w:rsid w:val="285159C6"/>
    <w:rsid w:val="287A70A1"/>
    <w:rsid w:val="2A664D18"/>
    <w:rsid w:val="2A81186F"/>
    <w:rsid w:val="2AC06513"/>
    <w:rsid w:val="2AD73903"/>
    <w:rsid w:val="2BDF7083"/>
    <w:rsid w:val="2C7C44A4"/>
    <w:rsid w:val="2D0B118C"/>
    <w:rsid w:val="2E411466"/>
    <w:rsid w:val="2EA67896"/>
    <w:rsid w:val="310749F6"/>
    <w:rsid w:val="32C75710"/>
    <w:rsid w:val="34196405"/>
    <w:rsid w:val="348C25F6"/>
    <w:rsid w:val="359D5F90"/>
    <w:rsid w:val="36160449"/>
    <w:rsid w:val="36AC72BA"/>
    <w:rsid w:val="36FE3D40"/>
    <w:rsid w:val="3A0C75A3"/>
    <w:rsid w:val="3A936FCA"/>
    <w:rsid w:val="3AE475EE"/>
    <w:rsid w:val="3AF00753"/>
    <w:rsid w:val="3B9D7B51"/>
    <w:rsid w:val="3C063688"/>
    <w:rsid w:val="3CD05C5A"/>
    <w:rsid w:val="3E34499F"/>
    <w:rsid w:val="3EBC4E7A"/>
    <w:rsid w:val="40283A52"/>
    <w:rsid w:val="411A5281"/>
    <w:rsid w:val="414E282B"/>
    <w:rsid w:val="4206312E"/>
    <w:rsid w:val="422A1E0A"/>
    <w:rsid w:val="427978D9"/>
    <w:rsid w:val="42F741BF"/>
    <w:rsid w:val="46537347"/>
    <w:rsid w:val="46567D3D"/>
    <w:rsid w:val="466C5026"/>
    <w:rsid w:val="46D66444"/>
    <w:rsid w:val="47281B64"/>
    <w:rsid w:val="473751E4"/>
    <w:rsid w:val="476F18A1"/>
    <w:rsid w:val="48811126"/>
    <w:rsid w:val="4A0465FC"/>
    <w:rsid w:val="4A536B4D"/>
    <w:rsid w:val="4AD076B1"/>
    <w:rsid w:val="4BBE0716"/>
    <w:rsid w:val="4C353E37"/>
    <w:rsid w:val="4E2C69CB"/>
    <w:rsid w:val="4E3D5ED8"/>
    <w:rsid w:val="4E634927"/>
    <w:rsid w:val="4EAD4771"/>
    <w:rsid w:val="4EEC04A3"/>
    <w:rsid w:val="4F34380F"/>
    <w:rsid w:val="4F7C2E75"/>
    <w:rsid w:val="4FFF7BCB"/>
    <w:rsid w:val="50CA18D0"/>
    <w:rsid w:val="519D6810"/>
    <w:rsid w:val="54103BF9"/>
    <w:rsid w:val="545F198C"/>
    <w:rsid w:val="54691CF3"/>
    <w:rsid w:val="55017692"/>
    <w:rsid w:val="574F3879"/>
    <w:rsid w:val="57B61D74"/>
    <w:rsid w:val="58F95E33"/>
    <w:rsid w:val="59675AFA"/>
    <w:rsid w:val="5B666CA6"/>
    <w:rsid w:val="5B8C5E4B"/>
    <w:rsid w:val="5D84417A"/>
    <w:rsid w:val="5E174C7D"/>
    <w:rsid w:val="5E5D02B0"/>
    <w:rsid w:val="5EE93DB3"/>
    <w:rsid w:val="5F070FCD"/>
    <w:rsid w:val="5F49747B"/>
    <w:rsid w:val="5F55552C"/>
    <w:rsid w:val="60314715"/>
    <w:rsid w:val="616377C6"/>
    <w:rsid w:val="619E7DAF"/>
    <w:rsid w:val="63D67EA8"/>
    <w:rsid w:val="64592EAE"/>
    <w:rsid w:val="6471301B"/>
    <w:rsid w:val="650419A4"/>
    <w:rsid w:val="652F592F"/>
    <w:rsid w:val="658A6068"/>
    <w:rsid w:val="65B16211"/>
    <w:rsid w:val="65FF6888"/>
    <w:rsid w:val="680254F4"/>
    <w:rsid w:val="68B0538B"/>
    <w:rsid w:val="68DD37C5"/>
    <w:rsid w:val="69AD6C05"/>
    <w:rsid w:val="69CC060C"/>
    <w:rsid w:val="69E2664E"/>
    <w:rsid w:val="6A335CEC"/>
    <w:rsid w:val="6AFE26B4"/>
    <w:rsid w:val="6B390B61"/>
    <w:rsid w:val="6BF07722"/>
    <w:rsid w:val="6BF57328"/>
    <w:rsid w:val="6C2E1DF8"/>
    <w:rsid w:val="6C704A85"/>
    <w:rsid w:val="6CFE78DF"/>
    <w:rsid w:val="6D7F6887"/>
    <w:rsid w:val="6F59582F"/>
    <w:rsid w:val="6F635CA7"/>
    <w:rsid w:val="6F9C69DE"/>
    <w:rsid w:val="6FCC53BD"/>
    <w:rsid w:val="6FEE2621"/>
    <w:rsid w:val="70365293"/>
    <w:rsid w:val="706268F4"/>
    <w:rsid w:val="71516517"/>
    <w:rsid w:val="73BD785C"/>
    <w:rsid w:val="73C64D7F"/>
    <w:rsid w:val="76C32490"/>
    <w:rsid w:val="78552B5D"/>
    <w:rsid w:val="785F2F7B"/>
    <w:rsid w:val="79D139C2"/>
    <w:rsid w:val="7A3A4D14"/>
    <w:rsid w:val="7B070BE4"/>
    <w:rsid w:val="7B40323E"/>
    <w:rsid w:val="7CC73DF4"/>
    <w:rsid w:val="7CC97B25"/>
    <w:rsid w:val="7CF37291"/>
    <w:rsid w:val="7D2D3022"/>
    <w:rsid w:val="7D3703EA"/>
    <w:rsid w:val="7DB823EF"/>
    <w:rsid w:val="7E422B16"/>
    <w:rsid w:val="7E700BD8"/>
    <w:rsid w:val="7F213866"/>
    <w:rsid w:val="7F3164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60"/>
    <w:qFormat/>
    <w:uiPriority w:val="0"/>
    <w:pPr>
      <w:keepNext/>
      <w:keepLines/>
      <w:spacing w:before="340" w:after="330" w:line="576" w:lineRule="auto"/>
      <w:outlineLvl w:val="0"/>
    </w:pPr>
    <w:rPr>
      <w:rFonts w:ascii="Calibri" w:hAnsi="Calibri"/>
      <w:b/>
      <w:bCs/>
      <w:kern w:val="44"/>
      <w:sz w:val="44"/>
      <w:szCs w:val="44"/>
    </w:rPr>
  </w:style>
  <w:style w:type="paragraph" w:styleId="6">
    <w:name w:val="heading 2"/>
    <w:basedOn w:val="1"/>
    <w:next w:val="1"/>
    <w:link w:val="61"/>
    <w:qFormat/>
    <w:uiPriority w:val="0"/>
    <w:pPr>
      <w:keepNext/>
      <w:keepLines/>
      <w:spacing w:before="260" w:after="260" w:line="413" w:lineRule="auto"/>
      <w:outlineLvl w:val="1"/>
    </w:pPr>
    <w:rPr>
      <w:rFonts w:ascii="Cambria" w:hAnsi="Cambria"/>
      <w:b/>
      <w:bCs/>
      <w:sz w:val="32"/>
      <w:szCs w:val="32"/>
    </w:rPr>
  </w:style>
  <w:style w:type="paragraph" w:styleId="7">
    <w:name w:val="heading 3"/>
    <w:basedOn w:val="1"/>
    <w:next w:val="1"/>
    <w:link w:val="62"/>
    <w:qFormat/>
    <w:uiPriority w:val="0"/>
    <w:pPr>
      <w:keepNext/>
      <w:keepLines/>
      <w:spacing w:line="360" w:lineRule="auto"/>
      <w:outlineLvl w:val="2"/>
    </w:pPr>
    <w:rPr>
      <w:b/>
      <w:bCs/>
      <w:sz w:val="24"/>
      <w:szCs w:val="32"/>
    </w:rPr>
  </w:style>
  <w:style w:type="paragraph" w:styleId="8">
    <w:name w:val="heading 4"/>
    <w:basedOn w:val="1"/>
    <w:next w:val="1"/>
    <w:link w:val="63"/>
    <w:qFormat/>
    <w:uiPriority w:val="0"/>
    <w:pPr>
      <w:keepNext/>
      <w:keepLines/>
      <w:spacing w:line="360" w:lineRule="auto"/>
      <w:outlineLvl w:val="3"/>
    </w:pPr>
    <w:rPr>
      <w:rFonts w:ascii="Arial" w:hAnsi="Arial"/>
      <w:b/>
      <w:bCs/>
      <w:szCs w:val="28"/>
    </w:rPr>
  </w:style>
  <w:style w:type="paragraph" w:styleId="9">
    <w:name w:val="heading 5"/>
    <w:basedOn w:val="1"/>
    <w:next w:val="1"/>
    <w:link w:val="64"/>
    <w:qFormat/>
    <w:uiPriority w:val="0"/>
    <w:pPr>
      <w:keepNext/>
      <w:keepLines/>
      <w:spacing w:before="280" w:after="290" w:line="372" w:lineRule="auto"/>
      <w:outlineLvl w:val="4"/>
    </w:pPr>
    <w:rPr>
      <w:rFonts w:ascii="Calibri" w:hAnsi="Calibri"/>
      <w:b/>
      <w:bCs/>
      <w:sz w:val="28"/>
      <w:szCs w:val="28"/>
    </w:rPr>
  </w:style>
  <w:style w:type="paragraph" w:styleId="10">
    <w:name w:val="heading 6"/>
    <w:basedOn w:val="1"/>
    <w:next w:val="1"/>
    <w:link w:val="65"/>
    <w:qFormat/>
    <w:uiPriority w:val="0"/>
    <w:pPr>
      <w:keepNext/>
      <w:keepLines/>
      <w:spacing w:before="240" w:after="64" w:line="317" w:lineRule="auto"/>
      <w:outlineLvl w:val="5"/>
    </w:pPr>
    <w:rPr>
      <w:rFonts w:ascii="Cambria" w:hAnsi="Cambria"/>
      <w:b/>
      <w:bCs/>
      <w:sz w:val="24"/>
    </w:rPr>
  </w:style>
  <w:style w:type="paragraph" w:styleId="11">
    <w:name w:val="heading 7"/>
    <w:basedOn w:val="1"/>
    <w:next w:val="1"/>
    <w:link w:val="66"/>
    <w:qFormat/>
    <w:uiPriority w:val="0"/>
    <w:pPr>
      <w:keepNext/>
      <w:keepLines/>
      <w:spacing w:before="240" w:after="64" w:line="317" w:lineRule="auto"/>
      <w:outlineLvl w:val="6"/>
    </w:pPr>
    <w:rPr>
      <w:rFonts w:ascii="Calibri" w:hAnsi="Calibri"/>
      <w:b/>
      <w:bCs/>
      <w:sz w:val="24"/>
    </w:rPr>
  </w:style>
  <w:style w:type="paragraph" w:styleId="12">
    <w:name w:val="heading 8"/>
    <w:basedOn w:val="1"/>
    <w:next w:val="1"/>
    <w:link w:val="67"/>
    <w:qFormat/>
    <w:uiPriority w:val="0"/>
    <w:pPr>
      <w:keepNext/>
      <w:keepLines/>
      <w:spacing w:before="240" w:after="64" w:line="317" w:lineRule="auto"/>
      <w:outlineLvl w:val="7"/>
    </w:pPr>
    <w:rPr>
      <w:rFonts w:ascii="Cambria" w:hAnsi="Cambria"/>
      <w:sz w:val="24"/>
    </w:rPr>
  </w:style>
  <w:style w:type="paragraph" w:styleId="13">
    <w:name w:val="heading 9"/>
    <w:basedOn w:val="1"/>
    <w:next w:val="1"/>
    <w:link w:val="68"/>
    <w:qFormat/>
    <w:uiPriority w:val="0"/>
    <w:pPr>
      <w:keepNext/>
      <w:keepLines/>
      <w:spacing w:before="240" w:after="64" w:line="317" w:lineRule="auto"/>
      <w:outlineLvl w:val="8"/>
    </w:pPr>
    <w:rPr>
      <w:rFonts w:ascii="Cambria" w:hAnsi="Cambria"/>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3"/>
    <w:qFormat/>
    <w:uiPriority w:val="0"/>
    <w:pPr>
      <w:spacing w:after="120" w:line="240" w:lineRule="auto"/>
      <w:ind w:left="420" w:leftChars="200" w:firstLine="420" w:firstLineChars="200"/>
      <w:jc w:val="both"/>
    </w:pPr>
    <w:rPr>
      <w:rFonts w:ascii="Times New Roman" w:eastAsia="宋体"/>
      <w:b w:val="0"/>
      <w:sz w:val="21"/>
      <w:szCs w:val="24"/>
    </w:rPr>
  </w:style>
  <w:style w:type="paragraph" w:styleId="3">
    <w:name w:val="Body Text Indent"/>
    <w:basedOn w:val="1"/>
    <w:next w:val="4"/>
    <w:link w:val="101"/>
    <w:qFormat/>
    <w:uiPriority w:val="0"/>
    <w:pPr>
      <w:spacing w:line="360" w:lineRule="auto"/>
      <w:ind w:firstLine="482" w:firstLineChars="100"/>
      <w:jc w:val="center"/>
    </w:pPr>
    <w:rPr>
      <w:rFonts w:ascii="黑体" w:eastAsia="黑体"/>
      <w:b/>
      <w:sz w:val="48"/>
      <w:szCs w:val="28"/>
    </w:rPr>
  </w:style>
  <w:style w:type="paragraph" w:styleId="4">
    <w:name w:val="envelope return"/>
    <w:basedOn w:val="1"/>
    <w:qFormat/>
    <w:uiPriority w:val="99"/>
    <w:pPr>
      <w:snapToGrid w:val="0"/>
    </w:pPr>
    <w:rPr>
      <w:rFonts w:ascii="Arial" w:hAnsi="Arial"/>
    </w:rPr>
  </w:style>
  <w:style w:type="paragraph" w:styleId="14">
    <w:name w:val="toc 7"/>
    <w:basedOn w:val="1"/>
    <w:next w:val="1"/>
    <w:qFormat/>
    <w:uiPriority w:val="0"/>
    <w:pPr>
      <w:ind w:left="2520" w:leftChars="1200"/>
    </w:pPr>
    <w:rPr>
      <w:rFonts w:ascii="Calibri" w:hAnsi="Calibri"/>
      <w:szCs w:val="22"/>
    </w:rPr>
  </w:style>
  <w:style w:type="paragraph" w:styleId="15">
    <w:name w:val="Note Heading"/>
    <w:basedOn w:val="16"/>
    <w:next w:val="16"/>
    <w:qFormat/>
    <w:uiPriority w:val="0"/>
    <w:rPr>
      <w:rFonts w:ascii="..ì." w:eastAsia="..ì." w:cs="Times New Roman"/>
      <w:color w:val="auto"/>
      <w:szCs w:val="2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7">
    <w:name w:val="Normal Indent"/>
    <w:basedOn w:val="1"/>
    <w:qFormat/>
    <w:uiPriority w:val="0"/>
    <w:pPr>
      <w:adjustRightInd w:val="0"/>
      <w:spacing w:line="360" w:lineRule="atLeast"/>
      <w:ind w:firstLine="482"/>
      <w:textAlignment w:val="baseline"/>
    </w:pPr>
    <w:rPr>
      <w:kern w:val="0"/>
      <w:sz w:val="24"/>
      <w:szCs w:val="20"/>
    </w:rPr>
  </w:style>
  <w:style w:type="paragraph" w:styleId="18">
    <w:name w:val="caption"/>
    <w:basedOn w:val="1"/>
    <w:next w:val="1"/>
    <w:qFormat/>
    <w:uiPriority w:val="0"/>
    <w:rPr>
      <w:rFonts w:ascii="Cambria" w:hAnsi="Cambria" w:eastAsia="黑体"/>
      <w:sz w:val="20"/>
      <w:szCs w:val="20"/>
    </w:rPr>
  </w:style>
  <w:style w:type="paragraph" w:styleId="19">
    <w:name w:val="Document Map"/>
    <w:basedOn w:val="1"/>
    <w:link w:val="93"/>
    <w:qFormat/>
    <w:uiPriority w:val="0"/>
    <w:pPr>
      <w:shd w:val="clear" w:color="auto" w:fill="000080"/>
    </w:pPr>
  </w:style>
  <w:style w:type="paragraph" w:styleId="20">
    <w:name w:val="annotation text"/>
    <w:basedOn w:val="1"/>
    <w:link w:val="75"/>
    <w:qFormat/>
    <w:uiPriority w:val="0"/>
    <w:pPr>
      <w:jc w:val="left"/>
    </w:pPr>
  </w:style>
  <w:style w:type="paragraph" w:styleId="21">
    <w:name w:val="Salutation"/>
    <w:basedOn w:val="1"/>
    <w:next w:val="1"/>
    <w:link w:val="94"/>
    <w:qFormat/>
    <w:uiPriority w:val="0"/>
    <w:rPr>
      <w:rFonts w:ascii="宋体"/>
      <w:sz w:val="24"/>
      <w:szCs w:val="20"/>
    </w:rPr>
  </w:style>
  <w:style w:type="paragraph" w:styleId="22">
    <w:name w:val="Body Text 3"/>
    <w:basedOn w:val="1"/>
    <w:link w:val="103"/>
    <w:qFormat/>
    <w:uiPriority w:val="0"/>
    <w:pPr>
      <w:spacing w:after="120"/>
    </w:pPr>
    <w:rPr>
      <w:sz w:val="16"/>
      <w:szCs w:val="16"/>
    </w:rPr>
  </w:style>
  <w:style w:type="paragraph" w:styleId="23">
    <w:name w:val="Body Text"/>
    <w:basedOn w:val="1"/>
    <w:next w:val="1"/>
    <w:link w:val="109"/>
    <w:qFormat/>
    <w:uiPriority w:val="0"/>
    <w:pPr>
      <w:spacing w:after="120"/>
    </w:pPr>
  </w:style>
  <w:style w:type="paragraph" w:styleId="24">
    <w:name w:val="index 4"/>
    <w:basedOn w:val="1"/>
    <w:next w:val="1"/>
    <w:qFormat/>
    <w:uiPriority w:val="0"/>
    <w:pPr>
      <w:ind w:left="600" w:leftChars="600"/>
    </w:pPr>
  </w:style>
  <w:style w:type="paragraph" w:styleId="25">
    <w:name w:val="toc 5"/>
    <w:basedOn w:val="1"/>
    <w:next w:val="1"/>
    <w:qFormat/>
    <w:uiPriority w:val="0"/>
    <w:pPr>
      <w:tabs>
        <w:tab w:val="right" w:leader="dot" w:pos="8296"/>
      </w:tabs>
      <w:ind w:left="1050" w:leftChars="500"/>
    </w:pPr>
    <w:rPr>
      <w:rFonts w:ascii="Calibri" w:hAnsi="Calibri"/>
      <w:szCs w:val="22"/>
    </w:rPr>
  </w:style>
  <w:style w:type="paragraph" w:styleId="26">
    <w:name w:val="toc 3"/>
    <w:basedOn w:val="1"/>
    <w:next w:val="1"/>
    <w:qFormat/>
    <w:uiPriority w:val="39"/>
    <w:pPr>
      <w:ind w:left="840" w:leftChars="400"/>
    </w:pPr>
    <w:rPr>
      <w:rFonts w:ascii="Calibri" w:hAnsi="Calibri"/>
      <w:szCs w:val="22"/>
    </w:rPr>
  </w:style>
  <w:style w:type="paragraph" w:styleId="27">
    <w:name w:val="Plain Text"/>
    <w:basedOn w:val="1"/>
    <w:link w:val="96"/>
    <w:qFormat/>
    <w:uiPriority w:val="0"/>
    <w:rPr>
      <w:rFonts w:ascii="宋体" w:hAnsi="Courier New"/>
      <w:szCs w:val="21"/>
    </w:rPr>
  </w:style>
  <w:style w:type="paragraph" w:styleId="28">
    <w:name w:val="toc 8"/>
    <w:basedOn w:val="1"/>
    <w:next w:val="1"/>
    <w:qFormat/>
    <w:uiPriority w:val="0"/>
    <w:pPr>
      <w:ind w:left="2940" w:leftChars="1400"/>
    </w:pPr>
    <w:rPr>
      <w:rFonts w:ascii="Calibri" w:hAnsi="Calibri"/>
      <w:szCs w:val="22"/>
    </w:rPr>
  </w:style>
  <w:style w:type="paragraph" w:styleId="29">
    <w:name w:val="Date"/>
    <w:basedOn w:val="1"/>
    <w:next w:val="1"/>
    <w:link w:val="111"/>
    <w:qFormat/>
    <w:uiPriority w:val="0"/>
    <w:pPr>
      <w:ind w:left="100" w:leftChars="2500"/>
    </w:pPr>
  </w:style>
  <w:style w:type="paragraph" w:styleId="30">
    <w:name w:val="Body Text Indent 2"/>
    <w:basedOn w:val="1"/>
    <w:link w:val="110"/>
    <w:qFormat/>
    <w:uiPriority w:val="0"/>
    <w:pPr>
      <w:spacing w:line="600" w:lineRule="exact"/>
      <w:ind w:firstLine="480" w:firstLineChars="200"/>
    </w:pPr>
    <w:rPr>
      <w:rFonts w:ascii="宋体" w:hAnsi="宋体"/>
      <w:kern w:val="0"/>
      <w:sz w:val="24"/>
      <w:szCs w:val="28"/>
    </w:rPr>
  </w:style>
  <w:style w:type="paragraph" w:styleId="31">
    <w:name w:val="Balloon Text"/>
    <w:basedOn w:val="1"/>
    <w:link w:val="88"/>
    <w:qFormat/>
    <w:uiPriority w:val="0"/>
    <w:rPr>
      <w:sz w:val="18"/>
      <w:szCs w:val="18"/>
    </w:rPr>
  </w:style>
  <w:style w:type="paragraph" w:styleId="32">
    <w:name w:val="footer"/>
    <w:basedOn w:val="1"/>
    <w:link w:val="72"/>
    <w:qFormat/>
    <w:uiPriority w:val="99"/>
    <w:pPr>
      <w:tabs>
        <w:tab w:val="center" w:pos="4153"/>
        <w:tab w:val="right" w:pos="8306"/>
      </w:tabs>
      <w:snapToGrid w:val="0"/>
      <w:jc w:val="left"/>
    </w:pPr>
    <w:rPr>
      <w:sz w:val="18"/>
      <w:szCs w:val="18"/>
    </w:rPr>
  </w:style>
  <w:style w:type="paragraph" w:styleId="33">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style>
  <w:style w:type="paragraph" w:styleId="35">
    <w:name w:val="toc 4"/>
    <w:basedOn w:val="1"/>
    <w:next w:val="1"/>
    <w:qFormat/>
    <w:uiPriority w:val="0"/>
    <w:pPr>
      <w:tabs>
        <w:tab w:val="left" w:pos="1890"/>
        <w:tab w:val="right" w:leader="dot" w:pos="8296"/>
      </w:tabs>
      <w:ind w:left="630" w:leftChars="300"/>
    </w:pPr>
    <w:rPr>
      <w:rFonts w:ascii="Calibri" w:hAnsi="Calibri"/>
      <w:szCs w:val="22"/>
    </w:rPr>
  </w:style>
  <w:style w:type="paragraph" w:styleId="36">
    <w:name w:val="Subtitle"/>
    <w:basedOn w:val="1"/>
    <w:next w:val="1"/>
    <w:link w:val="107"/>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79"/>
    <w:qFormat/>
    <w:uiPriority w:val="0"/>
    <w:pPr>
      <w:snapToGrid w:val="0"/>
      <w:jc w:val="left"/>
    </w:pPr>
    <w:rPr>
      <w:sz w:val="18"/>
      <w:szCs w:val="18"/>
    </w:rPr>
  </w:style>
  <w:style w:type="paragraph" w:styleId="38">
    <w:name w:val="toc 6"/>
    <w:basedOn w:val="1"/>
    <w:next w:val="1"/>
    <w:qFormat/>
    <w:uiPriority w:val="0"/>
    <w:pPr>
      <w:ind w:left="2100" w:leftChars="1000"/>
    </w:pPr>
    <w:rPr>
      <w:rFonts w:ascii="Calibri" w:hAnsi="Calibri"/>
      <w:szCs w:val="22"/>
    </w:rPr>
  </w:style>
  <w:style w:type="paragraph" w:styleId="39">
    <w:name w:val="Body Text Indent 3"/>
    <w:basedOn w:val="1"/>
    <w:link w:val="77"/>
    <w:qFormat/>
    <w:uiPriority w:val="0"/>
    <w:pPr>
      <w:tabs>
        <w:tab w:val="left" w:pos="4500"/>
      </w:tabs>
      <w:ind w:firstLine="435"/>
    </w:pPr>
    <w:rPr>
      <w:sz w:val="24"/>
    </w:rPr>
  </w:style>
  <w:style w:type="paragraph" w:styleId="40">
    <w:name w:val="toc 2"/>
    <w:basedOn w:val="1"/>
    <w:next w:val="1"/>
    <w:qFormat/>
    <w:uiPriority w:val="39"/>
    <w:pPr>
      <w:ind w:left="420" w:leftChars="200"/>
    </w:pPr>
    <w:rPr>
      <w:rFonts w:ascii="宋体"/>
      <w:b/>
      <w:sz w:val="28"/>
      <w:szCs w:val="20"/>
    </w:rPr>
  </w:style>
  <w:style w:type="paragraph" w:styleId="41">
    <w:name w:val="toc 9"/>
    <w:basedOn w:val="1"/>
    <w:next w:val="1"/>
    <w:qFormat/>
    <w:uiPriority w:val="0"/>
    <w:pPr>
      <w:ind w:left="3360" w:leftChars="1600"/>
    </w:pPr>
    <w:rPr>
      <w:rFonts w:ascii="Calibri" w:hAnsi="Calibri"/>
      <w:szCs w:val="22"/>
    </w:rPr>
  </w:style>
  <w:style w:type="paragraph" w:styleId="42">
    <w:name w:val="Body Text 2"/>
    <w:basedOn w:val="1"/>
    <w:link w:val="71"/>
    <w:qFormat/>
    <w:uiPriority w:val="0"/>
    <w:rPr>
      <w:rFonts w:ascii="黑体" w:eastAsia="仿宋_GB2312"/>
      <w:color w:val="993366"/>
      <w:sz w:val="24"/>
    </w:rPr>
  </w:style>
  <w:style w:type="paragraph" w:styleId="43">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44">
    <w:name w:val="index 1"/>
    <w:basedOn w:val="1"/>
    <w:next w:val="1"/>
    <w:qFormat/>
    <w:uiPriority w:val="0"/>
    <w:pPr>
      <w:spacing w:line="220" w:lineRule="exact"/>
      <w:jc w:val="center"/>
    </w:pPr>
    <w:rPr>
      <w:rFonts w:ascii="仿宋_GB2312" w:eastAsia="仿宋_GB2312"/>
      <w:szCs w:val="21"/>
    </w:rPr>
  </w:style>
  <w:style w:type="paragraph" w:styleId="45">
    <w:name w:val="Title"/>
    <w:basedOn w:val="1"/>
    <w:next w:val="1"/>
    <w:link w:val="87"/>
    <w:qFormat/>
    <w:uiPriority w:val="0"/>
    <w:pPr>
      <w:spacing w:before="240" w:after="60"/>
      <w:jc w:val="center"/>
      <w:outlineLvl w:val="0"/>
    </w:pPr>
    <w:rPr>
      <w:rFonts w:ascii="Cambria" w:hAnsi="Cambria"/>
      <w:b/>
      <w:bCs/>
      <w:sz w:val="32"/>
      <w:szCs w:val="32"/>
    </w:rPr>
  </w:style>
  <w:style w:type="paragraph" w:styleId="46">
    <w:name w:val="annotation subject"/>
    <w:basedOn w:val="20"/>
    <w:next w:val="20"/>
    <w:link w:val="74"/>
    <w:qFormat/>
    <w:uiPriority w:val="0"/>
    <w:rPr>
      <w:b/>
      <w:bCs/>
    </w:rPr>
  </w:style>
  <w:style w:type="paragraph" w:styleId="47">
    <w:name w:val="Body Text First Indent"/>
    <w:basedOn w:val="23"/>
    <w:next w:val="2"/>
    <w:link w:val="142"/>
    <w:unhideWhenUsed/>
    <w:qFormat/>
    <w:uiPriority w:val="99"/>
    <w:pPr>
      <w:ind w:firstLine="420" w:firstLineChars="100"/>
    </w:pPr>
  </w:style>
  <w:style w:type="table" w:styleId="49">
    <w:name w:val="Table Grid"/>
    <w:basedOn w:val="4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paragraph" w:customStyle="1" w:styleId="57">
    <w:name w:val="BodyText1I"/>
    <w:basedOn w:val="58"/>
    <w:qFormat/>
    <w:uiPriority w:val="99"/>
    <w:pPr>
      <w:ind w:firstLine="420" w:firstLineChars="100"/>
    </w:pPr>
  </w:style>
  <w:style w:type="paragraph" w:customStyle="1" w:styleId="58">
    <w:name w:val="BodyText"/>
    <w:basedOn w:val="1"/>
    <w:qFormat/>
    <w:uiPriority w:val="99"/>
    <w:pPr>
      <w:spacing w:after="120"/>
    </w:pPr>
  </w:style>
  <w:style w:type="paragraph" w:customStyle="1" w:styleId="59">
    <w:name w:val="无间隔1"/>
    <w:basedOn w:val="1"/>
    <w:next w:val="18"/>
    <w:qFormat/>
    <w:uiPriority w:val="1"/>
    <w:pPr>
      <w:spacing w:line="400" w:lineRule="exact"/>
    </w:pPr>
    <w:rPr>
      <w:sz w:val="24"/>
    </w:rPr>
  </w:style>
  <w:style w:type="character" w:customStyle="1" w:styleId="60">
    <w:name w:val="标题 1 字符"/>
    <w:link w:val="5"/>
    <w:qFormat/>
    <w:uiPriority w:val="0"/>
    <w:rPr>
      <w:rFonts w:ascii="Calibri" w:hAnsi="Calibri" w:eastAsia="宋体"/>
      <w:b/>
      <w:bCs/>
      <w:kern w:val="44"/>
      <w:sz w:val="44"/>
      <w:szCs w:val="44"/>
      <w:lang w:val="en-US" w:eastAsia="zh-CN" w:bidi="ar-SA"/>
    </w:rPr>
  </w:style>
  <w:style w:type="character" w:customStyle="1" w:styleId="61">
    <w:name w:val="标题 2 字符"/>
    <w:link w:val="6"/>
    <w:qFormat/>
    <w:uiPriority w:val="0"/>
    <w:rPr>
      <w:rFonts w:ascii="Cambria" w:hAnsi="Cambria" w:eastAsia="宋体"/>
      <w:b/>
      <w:bCs/>
      <w:kern w:val="2"/>
      <w:sz w:val="32"/>
      <w:szCs w:val="32"/>
      <w:lang w:val="en-US" w:eastAsia="zh-CN" w:bidi="ar-SA"/>
    </w:rPr>
  </w:style>
  <w:style w:type="character" w:customStyle="1" w:styleId="62">
    <w:name w:val="标题 3 字符"/>
    <w:link w:val="7"/>
    <w:qFormat/>
    <w:uiPriority w:val="0"/>
    <w:rPr>
      <w:rFonts w:eastAsia="宋体"/>
      <w:b/>
      <w:bCs/>
      <w:kern w:val="2"/>
      <w:sz w:val="24"/>
      <w:szCs w:val="32"/>
      <w:lang w:val="en-US" w:eastAsia="zh-CN" w:bidi="ar-SA"/>
    </w:rPr>
  </w:style>
  <w:style w:type="character" w:customStyle="1" w:styleId="63">
    <w:name w:val="标题 4 字符"/>
    <w:link w:val="8"/>
    <w:qFormat/>
    <w:uiPriority w:val="0"/>
    <w:rPr>
      <w:rFonts w:ascii="Arial" w:hAnsi="Arial" w:eastAsia="宋体"/>
      <w:b/>
      <w:bCs/>
      <w:kern w:val="2"/>
      <w:sz w:val="21"/>
      <w:szCs w:val="28"/>
      <w:lang w:val="en-US" w:eastAsia="zh-CN" w:bidi="ar-SA"/>
    </w:rPr>
  </w:style>
  <w:style w:type="character" w:customStyle="1" w:styleId="64">
    <w:name w:val="标题 5 字符"/>
    <w:link w:val="9"/>
    <w:qFormat/>
    <w:uiPriority w:val="0"/>
    <w:rPr>
      <w:rFonts w:ascii="Calibri" w:hAnsi="Calibri" w:eastAsia="宋体"/>
      <w:b/>
      <w:bCs/>
      <w:kern w:val="2"/>
      <w:sz w:val="28"/>
      <w:szCs w:val="28"/>
      <w:lang w:val="en-US" w:eastAsia="zh-CN" w:bidi="ar-SA"/>
    </w:rPr>
  </w:style>
  <w:style w:type="character" w:customStyle="1" w:styleId="65">
    <w:name w:val="标题 6 字符"/>
    <w:link w:val="10"/>
    <w:qFormat/>
    <w:uiPriority w:val="0"/>
    <w:rPr>
      <w:rFonts w:ascii="Cambria" w:hAnsi="Cambria" w:eastAsia="宋体"/>
      <w:b/>
      <w:bCs/>
      <w:kern w:val="2"/>
      <w:sz w:val="24"/>
      <w:szCs w:val="24"/>
      <w:lang w:val="en-US" w:eastAsia="zh-CN" w:bidi="ar-SA"/>
    </w:rPr>
  </w:style>
  <w:style w:type="character" w:customStyle="1" w:styleId="66">
    <w:name w:val="标题 7 字符"/>
    <w:link w:val="11"/>
    <w:qFormat/>
    <w:uiPriority w:val="0"/>
    <w:rPr>
      <w:rFonts w:ascii="Calibri" w:hAnsi="Calibri" w:eastAsia="宋体"/>
      <w:b/>
      <w:bCs/>
      <w:kern w:val="2"/>
      <w:sz w:val="24"/>
      <w:szCs w:val="24"/>
      <w:lang w:val="en-US" w:eastAsia="zh-CN" w:bidi="ar-SA"/>
    </w:rPr>
  </w:style>
  <w:style w:type="character" w:customStyle="1" w:styleId="67">
    <w:name w:val="标题 8 字符"/>
    <w:link w:val="12"/>
    <w:qFormat/>
    <w:uiPriority w:val="0"/>
    <w:rPr>
      <w:rFonts w:ascii="Cambria" w:hAnsi="Cambria" w:eastAsia="宋体"/>
      <w:kern w:val="2"/>
      <w:sz w:val="24"/>
      <w:szCs w:val="24"/>
      <w:lang w:val="en-US" w:eastAsia="zh-CN" w:bidi="ar-SA"/>
    </w:rPr>
  </w:style>
  <w:style w:type="character" w:customStyle="1" w:styleId="68">
    <w:name w:val="标题 9 字符"/>
    <w:link w:val="13"/>
    <w:qFormat/>
    <w:uiPriority w:val="0"/>
    <w:rPr>
      <w:rFonts w:ascii="Cambria" w:hAnsi="Cambria" w:eastAsia="宋体"/>
      <w:kern w:val="2"/>
      <w:sz w:val="21"/>
      <w:szCs w:val="21"/>
      <w:lang w:val="en-US" w:eastAsia="zh-CN" w:bidi="ar-SA"/>
    </w:rPr>
  </w:style>
  <w:style w:type="character" w:customStyle="1" w:styleId="69">
    <w:name w:val="文档结构图 Char1"/>
    <w:qFormat/>
    <w:uiPriority w:val="0"/>
    <w:rPr>
      <w:rFonts w:ascii="宋体"/>
      <w:kern w:val="2"/>
      <w:sz w:val="18"/>
      <w:szCs w:val="18"/>
    </w:rPr>
  </w:style>
  <w:style w:type="character" w:customStyle="1" w:styleId="70">
    <w:name w:val="批注框文本 Char1"/>
    <w:qFormat/>
    <w:uiPriority w:val="0"/>
    <w:rPr>
      <w:kern w:val="2"/>
      <w:sz w:val="18"/>
      <w:szCs w:val="18"/>
    </w:rPr>
  </w:style>
  <w:style w:type="character" w:customStyle="1" w:styleId="71">
    <w:name w:val="正文文本 2 字符"/>
    <w:link w:val="42"/>
    <w:qFormat/>
    <w:uiPriority w:val="0"/>
    <w:rPr>
      <w:rFonts w:ascii="黑体" w:eastAsia="仿宋_GB2312"/>
      <w:color w:val="993366"/>
      <w:kern w:val="2"/>
      <w:sz w:val="24"/>
      <w:szCs w:val="24"/>
    </w:rPr>
  </w:style>
  <w:style w:type="character" w:customStyle="1" w:styleId="72">
    <w:name w:val="页脚 字符"/>
    <w:link w:val="32"/>
    <w:qFormat/>
    <w:uiPriority w:val="99"/>
    <w:rPr>
      <w:rFonts w:eastAsia="宋体"/>
      <w:kern w:val="2"/>
      <w:sz w:val="18"/>
      <w:szCs w:val="18"/>
      <w:lang w:val="en-US" w:eastAsia="zh-CN" w:bidi="ar-SA"/>
    </w:rPr>
  </w:style>
  <w:style w:type="character" w:customStyle="1" w:styleId="73">
    <w:name w:val="不明显强调1"/>
    <w:qFormat/>
    <w:uiPriority w:val="0"/>
    <w:rPr>
      <w:i/>
      <w:iCs/>
      <w:color w:val="808080"/>
    </w:rPr>
  </w:style>
  <w:style w:type="character" w:customStyle="1" w:styleId="74">
    <w:name w:val="批注主题 字符"/>
    <w:link w:val="46"/>
    <w:qFormat/>
    <w:uiPriority w:val="0"/>
    <w:rPr>
      <w:rFonts w:eastAsia="宋体"/>
      <w:b/>
      <w:bCs/>
      <w:kern w:val="2"/>
      <w:sz w:val="21"/>
      <w:szCs w:val="24"/>
      <w:lang w:val="en-US" w:eastAsia="zh-CN" w:bidi="ar-SA"/>
    </w:rPr>
  </w:style>
  <w:style w:type="character" w:customStyle="1" w:styleId="75">
    <w:name w:val="批注文字 字符"/>
    <w:link w:val="20"/>
    <w:qFormat/>
    <w:uiPriority w:val="0"/>
    <w:rPr>
      <w:rFonts w:eastAsia="宋体"/>
      <w:kern w:val="2"/>
      <w:sz w:val="21"/>
      <w:szCs w:val="24"/>
      <w:lang w:val="en-US" w:eastAsia="zh-CN" w:bidi="ar-SA"/>
    </w:rPr>
  </w:style>
  <w:style w:type="character" w:customStyle="1" w:styleId="76">
    <w:name w:val="unnamed1"/>
    <w:basedOn w:val="50"/>
    <w:qFormat/>
    <w:uiPriority w:val="0"/>
  </w:style>
  <w:style w:type="character" w:customStyle="1" w:styleId="77">
    <w:name w:val="正文文本缩进 3 字符"/>
    <w:link w:val="39"/>
    <w:qFormat/>
    <w:uiPriority w:val="0"/>
    <w:rPr>
      <w:kern w:val="2"/>
      <w:sz w:val="24"/>
      <w:szCs w:val="24"/>
    </w:rPr>
  </w:style>
  <w:style w:type="character" w:customStyle="1" w:styleId="78">
    <w:name w:val="textcontents"/>
    <w:qFormat/>
    <w:uiPriority w:val="0"/>
    <w:rPr>
      <w:rFonts w:cs="Times New Roman"/>
    </w:rPr>
  </w:style>
  <w:style w:type="character" w:customStyle="1" w:styleId="79">
    <w:name w:val="脚注文本 字符"/>
    <w:link w:val="37"/>
    <w:qFormat/>
    <w:uiPriority w:val="0"/>
    <w:rPr>
      <w:kern w:val="2"/>
      <w:sz w:val="18"/>
      <w:szCs w:val="18"/>
    </w:rPr>
  </w:style>
  <w:style w:type="character" w:customStyle="1" w:styleId="80">
    <w:name w:val="书籍标题1"/>
    <w:qFormat/>
    <w:uiPriority w:val="0"/>
    <w:rPr>
      <w:b/>
      <w:bCs/>
      <w:smallCaps/>
      <w:spacing w:val="5"/>
    </w:rPr>
  </w:style>
  <w:style w:type="character" w:customStyle="1" w:styleId="81">
    <w:name w:val="Char Char22"/>
    <w:qFormat/>
    <w:uiPriority w:val="0"/>
    <w:rPr>
      <w:rFonts w:ascii="Arial" w:hAnsi="Arial" w:eastAsia="黑体"/>
      <w:b/>
      <w:bCs/>
      <w:kern w:val="2"/>
      <w:sz w:val="28"/>
      <w:szCs w:val="28"/>
      <w:lang w:val="en-US" w:eastAsia="zh-CN" w:bidi="ar-SA"/>
    </w:rPr>
  </w:style>
  <w:style w:type="character" w:customStyle="1" w:styleId="82">
    <w:name w:val="font161"/>
    <w:qFormat/>
    <w:uiPriority w:val="0"/>
    <w:rPr>
      <w:b/>
      <w:bCs/>
      <w:sz w:val="32"/>
      <w:szCs w:val="32"/>
    </w:rPr>
  </w:style>
  <w:style w:type="character" w:customStyle="1" w:styleId="83">
    <w:name w:val="big"/>
    <w:basedOn w:val="50"/>
    <w:qFormat/>
    <w:uiPriority w:val="0"/>
  </w:style>
  <w:style w:type="character" w:customStyle="1" w:styleId="84">
    <w:name w:val="不明显参考1"/>
    <w:qFormat/>
    <w:uiPriority w:val="0"/>
    <w:rPr>
      <w:smallCaps/>
      <w:color w:val="C0504D"/>
      <w:u w:val="single"/>
    </w:rPr>
  </w:style>
  <w:style w:type="character" w:customStyle="1" w:styleId="85">
    <w:name w:val="明显引用 字符"/>
    <w:link w:val="86"/>
    <w:qFormat/>
    <w:uiPriority w:val="0"/>
    <w:rPr>
      <w:b/>
      <w:bCs/>
      <w:i/>
      <w:iCs/>
      <w:color w:val="4F81BD"/>
      <w:kern w:val="2"/>
      <w:sz w:val="21"/>
      <w:szCs w:val="22"/>
      <w:lang w:bidi="ar-SA"/>
    </w:rPr>
  </w:style>
  <w:style w:type="paragraph" w:styleId="86">
    <w:name w:val="Intense Quote"/>
    <w:basedOn w:val="1"/>
    <w:next w:val="1"/>
    <w:link w:val="85"/>
    <w:qFormat/>
    <w:uiPriority w:val="0"/>
    <w:pPr>
      <w:pBdr>
        <w:bottom w:val="single" w:color="4F81BD" w:sz="4" w:space="4"/>
      </w:pBdr>
      <w:spacing w:before="200" w:after="280"/>
      <w:ind w:left="936" w:right="936"/>
    </w:pPr>
    <w:rPr>
      <w:b/>
      <w:bCs/>
      <w:i/>
      <w:iCs/>
      <w:color w:val="4F81BD"/>
      <w:szCs w:val="22"/>
    </w:rPr>
  </w:style>
  <w:style w:type="character" w:customStyle="1" w:styleId="87">
    <w:name w:val="标题 字符"/>
    <w:link w:val="45"/>
    <w:qFormat/>
    <w:uiPriority w:val="0"/>
    <w:rPr>
      <w:rFonts w:ascii="Cambria" w:hAnsi="Cambria"/>
      <w:b/>
      <w:bCs/>
      <w:kern w:val="2"/>
      <w:sz w:val="32"/>
      <w:szCs w:val="32"/>
      <w:lang w:bidi="ar-SA"/>
    </w:rPr>
  </w:style>
  <w:style w:type="character" w:customStyle="1" w:styleId="88">
    <w:name w:val="批注框文本 字符"/>
    <w:link w:val="31"/>
    <w:qFormat/>
    <w:uiPriority w:val="0"/>
    <w:rPr>
      <w:rFonts w:eastAsia="宋体"/>
      <w:kern w:val="2"/>
      <w:sz w:val="18"/>
      <w:szCs w:val="18"/>
      <w:lang w:val="en-US" w:eastAsia="zh-CN" w:bidi="ar-SA"/>
    </w:rPr>
  </w:style>
  <w:style w:type="character" w:customStyle="1" w:styleId="89">
    <w:name w:val="Char Char10"/>
    <w:qFormat/>
    <w:locked/>
    <w:uiPriority w:val="0"/>
    <w:rPr>
      <w:rFonts w:ascii="宋体" w:hAnsi="Courier New" w:eastAsia="宋体"/>
      <w:sz w:val="21"/>
      <w:szCs w:val="21"/>
      <w:lang w:bidi="ar-SA"/>
    </w:rPr>
  </w:style>
  <w:style w:type="character" w:customStyle="1" w:styleId="90">
    <w:name w:val="明显参考1"/>
    <w:qFormat/>
    <w:uiPriority w:val="0"/>
    <w:rPr>
      <w:b/>
      <w:bCs/>
      <w:smallCaps/>
      <w:color w:val="C0504D"/>
      <w:spacing w:val="5"/>
      <w:u w:val="single"/>
    </w:rPr>
  </w:style>
  <w:style w:type="character" w:customStyle="1" w:styleId="91">
    <w:name w:val="日期 Char1"/>
    <w:qFormat/>
    <w:uiPriority w:val="0"/>
    <w:rPr>
      <w:kern w:val="2"/>
      <w:sz w:val="21"/>
      <w:szCs w:val="22"/>
    </w:rPr>
  </w:style>
  <w:style w:type="character" w:customStyle="1" w:styleId="92">
    <w:name w:val="明显强调1"/>
    <w:qFormat/>
    <w:uiPriority w:val="0"/>
    <w:rPr>
      <w:b/>
      <w:bCs/>
      <w:i/>
      <w:iCs/>
      <w:color w:val="4F81BD"/>
    </w:rPr>
  </w:style>
  <w:style w:type="character" w:customStyle="1" w:styleId="93">
    <w:name w:val="文档结构图 字符"/>
    <w:link w:val="19"/>
    <w:qFormat/>
    <w:uiPriority w:val="0"/>
    <w:rPr>
      <w:kern w:val="2"/>
      <w:sz w:val="21"/>
      <w:szCs w:val="24"/>
      <w:shd w:val="clear" w:color="auto" w:fill="000080"/>
    </w:rPr>
  </w:style>
  <w:style w:type="character" w:customStyle="1" w:styleId="94">
    <w:name w:val="称呼 字符"/>
    <w:link w:val="21"/>
    <w:qFormat/>
    <w:uiPriority w:val="0"/>
    <w:rPr>
      <w:rFonts w:ascii="宋体"/>
      <w:kern w:val="2"/>
      <w:sz w:val="24"/>
    </w:rPr>
  </w:style>
  <w:style w:type="character" w:customStyle="1" w:styleId="95">
    <w:name w:val="批注主题 Char1"/>
    <w:qFormat/>
    <w:uiPriority w:val="0"/>
    <w:rPr>
      <w:b/>
      <w:bCs/>
      <w:kern w:val="2"/>
      <w:sz w:val="21"/>
      <w:szCs w:val="22"/>
    </w:rPr>
  </w:style>
  <w:style w:type="character" w:customStyle="1" w:styleId="96">
    <w:name w:val="纯文本 字符"/>
    <w:link w:val="27"/>
    <w:qFormat/>
    <w:uiPriority w:val="0"/>
    <w:rPr>
      <w:rFonts w:ascii="宋体" w:hAnsi="Courier New" w:cs="Courier New"/>
      <w:kern w:val="2"/>
      <w:sz w:val="21"/>
      <w:szCs w:val="21"/>
    </w:rPr>
  </w:style>
  <w:style w:type="character" w:customStyle="1" w:styleId="97">
    <w:name w:val="标题4 Char Char"/>
    <w:link w:val="98"/>
    <w:qFormat/>
    <w:uiPriority w:val="0"/>
    <w:rPr>
      <w:rFonts w:ascii="Arial" w:hAnsi="Arial"/>
      <w:b/>
      <w:bCs/>
      <w:sz w:val="24"/>
      <w:szCs w:val="32"/>
      <w:lang w:bidi="ar-SA"/>
    </w:rPr>
  </w:style>
  <w:style w:type="paragraph" w:customStyle="1" w:styleId="98">
    <w:name w:val="标题4"/>
    <w:basedOn w:val="6"/>
    <w:next w:val="24"/>
    <w:link w:val="97"/>
    <w:qFormat/>
    <w:uiPriority w:val="0"/>
    <w:rPr>
      <w:rFonts w:ascii="Arial" w:hAnsi="Arial"/>
      <w:kern w:val="0"/>
      <w:sz w:val="24"/>
    </w:rPr>
  </w:style>
  <w:style w:type="character" w:customStyle="1" w:styleId="99">
    <w:name w:val="标题5 Char Char"/>
    <w:link w:val="100"/>
    <w:qFormat/>
    <w:uiPriority w:val="0"/>
    <w:rPr>
      <w:rFonts w:ascii="Arial" w:hAnsi="Arial"/>
      <w:b/>
      <w:bCs/>
      <w:sz w:val="24"/>
      <w:szCs w:val="32"/>
      <w:lang w:bidi="ar-SA"/>
    </w:rPr>
  </w:style>
  <w:style w:type="paragraph" w:customStyle="1" w:styleId="100">
    <w:name w:val="标题5"/>
    <w:basedOn w:val="7"/>
    <w:link w:val="99"/>
    <w:qFormat/>
    <w:uiPriority w:val="0"/>
    <w:pPr>
      <w:spacing w:before="260" w:after="260" w:line="413" w:lineRule="auto"/>
    </w:pPr>
    <w:rPr>
      <w:rFonts w:ascii="Arial" w:hAnsi="Arial"/>
      <w:kern w:val="0"/>
    </w:rPr>
  </w:style>
  <w:style w:type="character" w:customStyle="1" w:styleId="101">
    <w:name w:val="正文文本缩进 字符"/>
    <w:link w:val="3"/>
    <w:qFormat/>
    <w:uiPriority w:val="0"/>
    <w:rPr>
      <w:rFonts w:ascii="黑体" w:eastAsia="黑体"/>
      <w:b/>
      <w:kern w:val="2"/>
      <w:sz w:val="48"/>
      <w:szCs w:val="28"/>
    </w:rPr>
  </w:style>
  <w:style w:type="character" w:customStyle="1" w:styleId="102">
    <w:name w:val="批注文字 Char Char"/>
    <w:qFormat/>
    <w:uiPriority w:val="0"/>
    <w:rPr>
      <w:rFonts w:ascii="宋体" w:hAnsi="Times New Roman" w:eastAsia="宋体" w:cs="Times New Roman"/>
      <w:sz w:val="28"/>
      <w:szCs w:val="20"/>
    </w:rPr>
  </w:style>
  <w:style w:type="character" w:customStyle="1" w:styleId="103">
    <w:name w:val="正文文本 3 字符"/>
    <w:link w:val="22"/>
    <w:qFormat/>
    <w:uiPriority w:val="0"/>
    <w:rPr>
      <w:kern w:val="2"/>
      <w:sz w:val="16"/>
      <w:szCs w:val="16"/>
    </w:rPr>
  </w:style>
  <w:style w:type="character" w:customStyle="1" w:styleId="104">
    <w:name w:val="引用 字符"/>
    <w:link w:val="105"/>
    <w:qFormat/>
    <w:uiPriority w:val="0"/>
    <w:rPr>
      <w:i/>
      <w:iCs/>
      <w:color w:val="000000"/>
      <w:kern w:val="2"/>
      <w:sz w:val="21"/>
      <w:szCs w:val="22"/>
      <w:lang w:bidi="ar-SA"/>
    </w:rPr>
  </w:style>
  <w:style w:type="paragraph" w:styleId="105">
    <w:name w:val="Quote"/>
    <w:basedOn w:val="1"/>
    <w:next w:val="1"/>
    <w:link w:val="104"/>
    <w:qFormat/>
    <w:uiPriority w:val="0"/>
    <w:rPr>
      <w:i/>
      <w:iCs/>
      <w:color w:val="000000"/>
      <w:szCs w:val="22"/>
    </w:rPr>
  </w:style>
  <w:style w:type="character" w:customStyle="1" w:styleId="106">
    <w:name w:val="页眉 字符"/>
    <w:link w:val="33"/>
    <w:qFormat/>
    <w:uiPriority w:val="0"/>
    <w:rPr>
      <w:rFonts w:eastAsia="宋体"/>
      <w:kern w:val="2"/>
      <w:sz w:val="18"/>
      <w:szCs w:val="18"/>
      <w:lang w:val="en-US" w:eastAsia="zh-CN" w:bidi="ar-SA"/>
    </w:rPr>
  </w:style>
  <w:style w:type="character" w:customStyle="1" w:styleId="107">
    <w:name w:val="副标题 字符"/>
    <w:link w:val="36"/>
    <w:qFormat/>
    <w:uiPriority w:val="0"/>
    <w:rPr>
      <w:rFonts w:ascii="Cambria" w:hAnsi="Cambria"/>
      <w:b/>
      <w:bCs/>
      <w:kern w:val="28"/>
      <w:sz w:val="32"/>
      <w:szCs w:val="32"/>
      <w:lang w:bidi="ar-SA"/>
    </w:rPr>
  </w:style>
  <w:style w:type="character" w:customStyle="1" w:styleId="108">
    <w:name w:val="正文文本 Char1"/>
    <w:qFormat/>
    <w:uiPriority w:val="0"/>
    <w:rPr>
      <w:kern w:val="2"/>
      <w:sz w:val="21"/>
      <w:szCs w:val="22"/>
    </w:rPr>
  </w:style>
  <w:style w:type="character" w:customStyle="1" w:styleId="109">
    <w:name w:val="正文文本 字符"/>
    <w:link w:val="23"/>
    <w:qFormat/>
    <w:uiPriority w:val="0"/>
    <w:rPr>
      <w:rFonts w:eastAsia="宋体"/>
      <w:kern w:val="2"/>
      <w:sz w:val="21"/>
      <w:szCs w:val="24"/>
      <w:lang w:val="en-US" w:eastAsia="zh-CN" w:bidi="ar-SA"/>
    </w:rPr>
  </w:style>
  <w:style w:type="character" w:customStyle="1" w:styleId="110">
    <w:name w:val="正文文本缩进 2 字符"/>
    <w:link w:val="30"/>
    <w:qFormat/>
    <w:uiPriority w:val="0"/>
    <w:rPr>
      <w:rFonts w:ascii="宋体" w:hAnsi="宋体"/>
      <w:sz w:val="24"/>
      <w:szCs w:val="28"/>
    </w:rPr>
  </w:style>
  <w:style w:type="character" w:customStyle="1" w:styleId="111">
    <w:name w:val="日期 字符"/>
    <w:link w:val="29"/>
    <w:qFormat/>
    <w:uiPriority w:val="0"/>
    <w:rPr>
      <w:rFonts w:eastAsia="宋体"/>
      <w:kern w:val="2"/>
      <w:sz w:val="21"/>
      <w:szCs w:val="24"/>
      <w:lang w:val="en-US" w:eastAsia="zh-CN" w:bidi="ar-SA"/>
    </w:rPr>
  </w:style>
  <w:style w:type="paragraph" w:customStyle="1" w:styleId="112">
    <w:name w:val="表格"/>
    <w:basedOn w:val="1"/>
    <w:qFormat/>
    <w:uiPriority w:val="0"/>
    <w:pPr>
      <w:jc w:val="center"/>
      <w:textAlignment w:val="center"/>
    </w:pPr>
    <w:rPr>
      <w:rFonts w:ascii="华文细黑" w:hAnsi="华文细黑"/>
      <w:kern w:val="0"/>
      <w:szCs w:val="20"/>
    </w:rPr>
  </w:style>
  <w:style w:type="paragraph" w:customStyle="1" w:styleId="113">
    <w:name w:val="样式1"/>
    <w:basedOn w:val="33"/>
    <w:qFormat/>
    <w:uiPriority w:val="0"/>
    <w:pPr>
      <w:pBdr>
        <w:top w:val="double" w:color="auto" w:sz="4" w:space="1"/>
        <w:left w:val="double" w:color="auto" w:sz="4" w:space="4"/>
        <w:bottom w:val="double" w:color="auto" w:sz="4" w:space="1"/>
        <w:right w:val="double" w:color="auto" w:sz="4" w:space="4"/>
      </w:pBdr>
    </w:pPr>
    <w:rPr>
      <w:rFonts w:eastAsia="Times New Roman"/>
    </w:rPr>
  </w:style>
  <w:style w:type="paragraph" w:customStyle="1" w:styleId="114">
    <w:name w:val="1"/>
    <w:basedOn w:val="1"/>
    <w:next w:val="1"/>
    <w:qFormat/>
    <w:uiPriority w:val="0"/>
  </w:style>
  <w:style w:type="paragraph" w:customStyle="1" w:styleId="115">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1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7">
    <w:name w:val="样式 标题 3 + (中文) 黑体 小四 非加粗 段前: 7.8 磅 段后: 0 磅 行距: 固定值 20 磅"/>
    <w:basedOn w:val="7"/>
    <w:qFormat/>
    <w:uiPriority w:val="0"/>
    <w:pPr>
      <w:spacing w:line="400" w:lineRule="exact"/>
    </w:pPr>
    <w:rPr>
      <w:rFonts w:eastAsia="黑体" w:cs="宋体"/>
      <w:b w:val="0"/>
      <w:bCs w:val="0"/>
      <w:szCs w:val="20"/>
    </w:rPr>
  </w:style>
  <w:style w:type="paragraph" w:customStyle="1" w:styleId="11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19">
    <w:name w:val="Char1 Char Char Char"/>
    <w:basedOn w:val="1"/>
    <w:qFormat/>
    <w:uiPriority w:val="0"/>
    <w:rPr>
      <w:rFonts w:ascii="Tahoma" w:hAnsi="Tahoma"/>
      <w:sz w:val="30"/>
      <w:szCs w:val="30"/>
    </w:rPr>
  </w:style>
  <w:style w:type="paragraph" w:customStyle="1" w:styleId="120">
    <w:name w:val="普通文字"/>
    <w:basedOn w:val="1"/>
    <w:next w:val="1"/>
    <w:qFormat/>
    <w:uiPriority w:val="0"/>
    <w:pPr>
      <w:widowControl/>
    </w:pPr>
    <w:rPr>
      <w:rFonts w:ascii="宋体"/>
      <w:color w:val="000000"/>
      <w:szCs w:val="20"/>
    </w:rPr>
  </w:style>
  <w:style w:type="paragraph" w:customStyle="1" w:styleId="121">
    <w:name w:val="TOC 标题1"/>
    <w:basedOn w:val="5"/>
    <w:next w:val="1"/>
    <w:qFormat/>
    <w:uiPriority w:val="0"/>
    <w:pPr>
      <w:outlineLvl w:val="9"/>
    </w:pPr>
  </w:style>
  <w:style w:type="paragraph" w:customStyle="1" w:styleId="122">
    <w:name w:val="表格文字"/>
    <w:basedOn w:val="1"/>
    <w:qFormat/>
    <w:uiPriority w:val="0"/>
    <w:pPr>
      <w:adjustRightInd w:val="0"/>
      <w:spacing w:line="420" w:lineRule="atLeast"/>
      <w:jc w:val="left"/>
      <w:textAlignment w:val="baseline"/>
    </w:pPr>
    <w:rPr>
      <w:kern w:val="0"/>
      <w:szCs w:val="20"/>
    </w:rPr>
  </w:style>
  <w:style w:type="paragraph" w:customStyle="1" w:styleId="123">
    <w:name w:val="p16"/>
    <w:basedOn w:val="1"/>
    <w:qFormat/>
    <w:uiPriority w:val="0"/>
    <w:pPr>
      <w:widowControl/>
      <w:spacing w:after="120"/>
    </w:pPr>
    <w:rPr>
      <w:kern w:val="0"/>
      <w:sz w:val="24"/>
    </w:rPr>
  </w:style>
  <w:style w:type="paragraph" w:customStyle="1" w:styleId="124">
    <w:name w:val="Char1"/>
    <w:basedOn w:val="1"/>
    <w:qFormat/>
    <w:uiPriority w:val="0"/>
  </w:style>
  <w:style w:type="paragraph" w:customStyle="1" w:styleId="125">
    <w:name w:val="p17"/>
    <w:basedOn w:val="1"/>
    <w:qFormat/>
    <w:uiPriority w:val="0"/>
    <w:pPr>
      <w:widowControl/>
      <w:jc w:val="left"/>
    </w:pPr>
    <w:rPr>
      <w:kern w:val="0"/>
      <w:sz w:val="18"/>
      <w:szCs w:val="18"/>
    </w:rPr>
  </w:style>
  <w:style w:type="paragraph" w:customStyle="1" w:styleId="126">
    <w:name w:val="Char"/>
    <w:basedOn w:val="1"/>
    <w:qFormat/>
    <w:uiPriority w:val="0"/>
  </w:style>
  <w:style w:type="paragraph" w:customStyle="1" w:styleId="127">
    <w:name w:val="Char2"/>
    <w:basedOn w:val="1"/>
    <w:qFormat/>
    <w:uiPriority w:val="0"/>
    <w:rPr>
      <w:rFonts w:ascii="仿宋_GB2312" w:eastAsia="仿宋_GB2312"/>
      <w:b/>
      <w:sz w:val="32"/>
      <w:szCs w:val="32"/>
    </w:rPr>
  </w:style>
  <w:style w:type="paragraph" w:customStyle="1" w:styleId="128">
    <w:name w:val="Char Char Char Char"/>
    <w:basedOn w:val="1"/>
    <w:qFormat/>
    <w:uiPriority w:val="0"/>
    <w:pPr>
      <w:widowControl/>
      <w:spacing w:after="160" w:line="240" w:lineRule="exact"/>
      <w:jc w:val="left"/>
    </w:pPr>
    <w:rPr>
      <w:rFonts w:ascii="Calibri" w:hAnsi="Calibri"/>
      <w:szCs w:val="20"/>
    </w:rPr>
  </w:style>
  <w:style w:type="paragraph" w:customStyle="1" w:styleId="129">
    <w:name w:val="Char Char1 Char Char Char Char Char Char"/>
    <w:basedOn w:val="1"/>
    <w:qFormat/>
    <w:uiPriority w:val="0"/>
    <w:pPr>
      <w:widowControl/>
      <w:adjustRightInd w:val="0"/>
      <w:snapToGrid w:val="0"/>
      <w:spacing w:line="360" w:lineRule="auto"/>
      <w:ind w:firstLine="601"/>
    </w:pPr>
    <w:rPr>
      <w:rFonts w:ascii="宋体" w:hAnsi="宋体"/>
      <w:color w:val="000000"/>
      <w:kern w:val="0"/>
      <w:sz w:val="24"/>
    </w:rPr>
  </w:style>
  <w:style w:type="paragraph" w:customStyle="1" w:styleId="13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131">
    <w:name w:val="List Paragraph"/>
    <w:basedOn w:val="1"/>
    <w:qFormat/>
    <w:uiPriority w:val="0"/>
    <w:pPr>
      <w:ind w:firstLine="420" w:firstLineChars="200"/>
    </w:pPr>
    <w:rPr>
      <w:rFonts w:ascii="Calibri" w:hAnsi="Calibri"/>
      <w:szCs w:val="22"/>
    </w:rPr>
  </w:style>
  <w:style w:type="paragraph" w:customStyle="1" w:styleId="132">
    <w:name w:val="_Style 37"/>
    <w:basedOn w:val="1"/>
    <w:qFormat/>
    <w:uiPriority w:val="0"/>
    <w:pPr>
      <w:widowControl/>
      <w:spacing w:after="160" w:line="360" w:lineRule="auto"/>
      <w:ind w:firstLine="200" w:firstLineChars="200"/>
      <w:jc w:val="left"/>
    </w:pPr>
    <w:rPr>
      <w:szCs w:val="20"/>
    </w:rPr>
  </w:style>
  <w:style w:type="paragraph" w:customStyle="1" w:styleId="133">
    <w:name w:val="400章"/>
    <w:qFormat/>
    <w:uiPriority w:val="0"/>
    <w:pPr>
      <w:tabs>
        <w:tab w:val="left" w:pos="720"/>
      </w:tabs>
      <w:adjustRightInd w:val="0"/>
      <w:spacing w:line="312" w:lineRule="atLeast"/>
      <w:ind w:left="720" w:hanging="720"/>
      <w:textAlignment w:val="baseline"/>
    </w:pPr>
    <w:rPr>
      <w:rFonts w:ascii="宋体" w:hAnsi="Times New Roman" w:eastAsia="宋体" w:cs="Times New Roman"/>
      <w:sz w:val="24"/>
      <w:lang w:val="en-US" w:eastAsia="zh-CN" w:bidi="ar-SA"/>
    </w:rPr>
  </w:style>
  <w:style w:type="paragraph" w:customStyle="1" w:styleId="134">
    <w:name w:val="m_title"/>
    <w:basedOn w:val="1"/>
    <w:qFormat/>
    <w:uiPriority w:val="0"/>
    <w:pPr>
      <w:widowControl/>
      <w:spacing w:before="100" w:beforeAutospacing="1" w:after="100" w:afterAutospacing="1"/>
      <w:jc w:val="left"/>
    </w:pPr>
    <w:rPr>
      <w:rFonts w:ascii="ˎ̥" w:hAnsi="ˎ̥" w:cs="宋体"/>
      <w:color w:val="FFFFFF"/>
      <w:kern w:val="0"/>
      <w:sz w:val="18"/>
      <w:szCs w:val="18"/>
    </w:rPr>
  </w:style>
  <w:style w:type="paragraph" w:customStyle="1" w:styleId="135">
    <w:name w:val="修订1"/>
    <w:qFormat/>
    <w:uiPriority w:val="0"/>
    <w:rPr>
      <w:rFonts w:ascii="Times New Roman" w:hAnsi="Times New Roman" w:eastAsia="宋体" w:cs="Times New Roman"/>
      <w:kern w:val="2"/>
      <w:sz w:val="21"/>
      <w:szCs w:val="24"/>
      <w:lang w:val="en-US" w:eastAsia="zh-CN" w:bidi="ar-SA"/>
    </w:rPr>
  </w:style>
  <w:style w:type="paragraph" w:styleId="13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p0"/>
    <w:basedOn w:val="1"/>
    <w:unhideWhenUsed/>
    <w:qFormat/>
    <w:uiPriority w:val="0"/>
    <w:pPr>
      <w:widowControl/>
      <w:spacing w:before="100" w:beforeAutospacing="1" w:after="100" w:afterAutospacing="1"/>
      <w:jc w:val="left"/>
    </w:pPr>
    <w:rPr>
      <w:rFonts w:hint="eastAsia" w:ascii="宋体" w:hAnsi="宋体"/>
      <w:sz w:val="24"/>
    </w:rPr>
  </w:style>
  <w:style w:type="paragraph" w:customStyle="1" w:styleId="138">
    <w:name w:val="p15"/>
    <w:basedOn w:val="1"/>
    <w:qFormat/>
    <w:uiPriority w:val="0"/>
    <w:pPr>
      <w:widowControl/>
    </w:pPr>
    <w:rPr>
      <w:kern w:val="0"/>
      <w:sz w:val="18"/>
      <w:szCs w:val="18"/>
    </w:rPr>
  </w:style>
  <w:style w:type="paragraph" w:customStyle="1" w:styleId="139">
    <w:name w:val="样式 标题 2 + Times New Roman 四号 非加粗 段前: 5 磅 段后: 0 磅 行距: 固定值 20..."/>
    <w:basedOn w:val="6"/>
    <w:qFormat/>
    <w:uiPriority w:val="0"/>
    <w:pPr>
      <w:spacing w:before="100" w:after="0" w:line="400" w:lineRule="exact"/>
    </w:pPr>
    <w:rPr>
      <w:rFonts w:ascii="Times New Roman" w:hAnsi="Times New Roman" w:eastAsia="黑体" w:cs="宋体"/>
      <w:b w:val="0"/>
      <w:bCs w:val="0"/>
      <w:kern w:val="0"/>
      <w:sz w:val="28"/>
      <w:szCs w:val="20"/>
    </w:rPr>
  </w:style>
  <w:style w:type="paragraph" w:customStyle="1" w:styleId="140">
    <w:name w:val="Char Char Char Char1"/>
    <w:basedOn w:val="1"/>
    <w:qFormat/>
    <w:uiPriority w:val="0"/>
    <w:rPr>
      <w:rFonts w:ascii="Tahoma" w:hAnsi="Tahoma"/>
      <w:sz w:val="24"/>
      <w:szCs w:val="20"/>
    </w:rPr>
  </w:style>
  <w:style w:type="character" w:customStyle="1" w:styleId="141">
    <w:name w:val="apple-converted-space"/>
    <w:qFormat/>
    <w:uiPriority w:val="0"/>
  </w:style>
  <w:style w:type="character" w:customStyle="1" w:styleId="142">
    <w:name w:val="正文文本首行缩进 字符"/>
    <w:basedOn w:val="109"/>
    <w:link w:val="47"/>
    <w:qFormat/>
    <w:uiPriority w:val="99"/>
    <w:rPr>
      <w:rFonts w:eastAsia="宋体"/>
      <w:kern w:val="2"/>
      <w:sz w:val="21"/>
      <w:szCs w:val="24"/>
      <w:lang w:val="en-US" w:eastAsia="zh-CN" w:bidi="ar-SA"/>
    </w:rPr>
  </w:style>
  <w:style w:type="character" w:customStyle="1" w:styleId="143">
    <w:name w:val="正文文本首行缩进 2 字符"/>
    <w:basedOn w:val="101"/>
    <w:link w:val="2"/>
    <w:qFormat/>
    <w:uiPriority w:val="0"/>
    <w:rPr>
      <w:rFonts w:ascii="黑体" w:eastAsia="黑体"/>
      <w:kern w:val="2"/>
      <w:sz w:val="21"/>
      <w:szCs w:val="24"/>
    </w:rPr>
  </w:style>
  <w:style w:type="paragraph" w:customStyle="1" w:styleId="144">
    <w:name w:val="正文1"/>
    <w:basedOn w:val="1"/>
    <w:qFormat/>
    <w:uiPriority w:val="0"/>
    <w:pPr>
      <w:widowControl/>
      <w:topLinePunct/>
      <w:spacing w:beforeLines="50" w:afterLines="50" w:line="300" w:lineRule="auto"/>
      <w:ind w:left="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83F65-4B47-49D5-B2F2-250A75454D3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68</Pages>
  <Words>22440</Words>
  <Characters>23786</Characters>
  <Lines>182</Lines>
  <Paragraphs>51</Paragraphs>
  <TotalTime>0</TotalTime>
  <ScaleCrop>false</ScaleCrop>
  <LinksUpToDate>false</LinksUpToDate>
  <CharactersWithSpaces>24571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2020-08-21T05:19:00Z</dcterms:created>
  <dc:creator>微软用户</dc:creator>
  <cp:lastModifiedBy>user</cp:lastModifiedBy>
  <cp:lastPrinted>2020-10-19T02:30:00Z</cp:lastPrinted>
  <dcterms:modified xsi:type="dcterms:W3CDTF">2024-06-28T07:17:54Z</dcterms:modified>
  <dc:title>逸品香山二期工程施工</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EF3B86C691F64632BAEAC474C3172DED</vt:lpwstr>
  </property>
</Properties>
</file>