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jc w:val="center"/>
        <w:rPr>
          <w:rFonts w:ascii="Arial Black" w:hAnsi="Arial Black" w:eastAsia="黑体"/>
          <w:b/>
          <w:color w:val="auto"/>
          <w:spacing w:val="36"/>
          <w:sz w:val="52"/>
          <w:szCs w:val="52"/>
          <w:highlight w:val="none"/>
        </w:rPr>
      </w:pPr>
      <w:r>
        <w:rPr>
          <w:rFonts w:hint="eastAsia" w:ascii="Arial Black" w:hAnsi="Arial Black" w:eastAsia="黑体"/>
          <w:b/>
          <w:bCs/>
          <w:color w:val="auto"/>
          <w:spacing w:val="36"/>
          <w:sz w:val="52"/>
          <w:szCs w:val="52"/>
          <w:highlight w:val="none"/>
        </w:rPr>
        <w:t>周口市公共资源交易中心</w:t>
      </w:r>
    </w:p>
    <w:p>
      <w:pPr>
        <w:tabs>
          <w:tab w:val="left" w:pos="315"/>
          <w:tab w:val="left" w:pos="8820"/>
        </w:tabs>
        <w:spacing w:line="600" w:lineRule="auto"/>
        <w:ind w:right="267" w:rightChars="127"/>
        <w:jc w:val="center"/>
        <w:rPr>
          <w:rFonts w:ascii="微软简标宋" w:eastAsia="黑体"/>
          <w:b/>
          <w:bCs/>
          <w:color w:val="auto"/>
          <w:sz w:val="48"/>
          <w:highlight w:val="none"/>
        </w:rPr>
      </w:pPr>
    </w:p>
    <w:p>
      <w:pPr>
        <w:tabs>
          <w:tab w:val="left" w:pos="315"/>
          <w:tab w:val="left" w:pos="8820"/>
        </w:tabs>
        <w:spacing w:line="600" w:lineRule="auto"/>
        <w:ind w:right="267" w:rightChars="127"/>
        <w:jc w:val="center"/>
        <w:rPr>
          <w:rFonts w:ascii="微软简标宋" w:eastAsia="黑体"/>
          <w:b/>
          <w:bCs/>
          <w:color w:val="auto"/>
          <w:sz w:val="48"/>
          <w:highlight w:val="none"/>
        </w:rPr>
      </w:pPr>
    </w:p>
    <w:p>
      <w:pPr>
        <w:tabs>
          <w:tab w:val="left" w:pos="315"/>
          <w:tab w:val="left" w:pos="8820"/>
        </w:tabs>
        <w:spacing w:line="600" w:lineRule="auto"/>
        <w:ind w:right="267" w:rightChars="127"/>
        <w:jc w:val="center"/>
        <w:rPr>
          <w:rFonts w:ascii="微软简标宋" w:eastAsia="黑体"/>
          <w:b/>
          <w:bCs/>
          <w:color w:val="auto"/>
          <w:sz w:val="48"/>
          <w:highlight w:val="none"/>
        </w:rPr>
      </w:pPr>
      <w:r>
        <w:rPr>
          <w:rFonts w:hint="eastAsia" w:ascii="微软简标宋" w:eastAsia="黑体"/>
          <w:b/>
          <w:bCs/>
          <w:color w:val="auto"/>
          <w:sz w:val="48"/>
          <w:highlight w:val="none"/>
        </w:rPr>
        <w:t>竞争性磋商文件</w:t>
      </w:r>
    </w:p>
    <w:p>
      <w:pPr>
        <w:tabs>
          <w:tab w:val="left" w:pos="315"/>
          <w:tab w:val="left" w:pos="8820"/>
        </w:tabs>
        <w:ind w:right="267" w:rightChars="127"/>
        <w:rPr>
          <w:rFonts w:ascii="仿宋_GB2312" w:eastAsia="仿宋_GB2312"/>
          <w:color w:val="auto"/>
          <w:sz w:val="44"/>
          <w:highlight w:val="none"/>
        </w:rPr>
      </w:pPr>
    </w:p>
    <w:p>
      <w:pPr>
        <w:tabs>
          <w:tab w:val="left" w:pos="315"/>
          <w:tab w:val="left" w:pos="8820"/>
        </w:tabs>
        <w:spacing w:line="500" w:lineRule="exact"/>
        <w:ind w:right="267" w:rightChars="127"/>
        <w:rPr>
          <w:rFonts w:ascii="仿宋_GB2312" w:eastAsia="仿宋_GB2312"/>
          <w:b/>
          <w:bCs/>
          <w:color w:val="auto"/>
          <w:sz w:val="36"/>
          <w:highlight w:val="none"/>
        </w:rPr>
      </w:pPr>
    </w:p>
    <w:p>
      <w:pPr>
        <w:tabs>
          <w:tab w:val="left" w:pos="315"/>
          <w:tab w:val="left" w:pos="8820"/>
        </w:tabs>
        <w:spacing w:line="500" w:lineRule="exact"/>
        <w:ind w:right="267" w:rightChars="127"/>
        <w:rPr>
          <w:rFonts w:ascii="仿宋_GB2312" w:eastAsia="仿宋_GB2312"/>
          <w:b/>
          <w:bCs/>
          <w:color w:val="auto"/>
          <w:sz w:val="36"/>
          <w:highlight w:val="none"/>
        </w:rPr>
      </w:pPr>
    </w:p>
    <w:p>
      <w:pPr>
        <w:tabs>
          <w:tab w:val="left" w:pos="315"/>
          <w:tab w:val="left" w:pos="8820"/>
        </w:tabs>
        <w:spacing w:line="500" w:lineRule="exact"/>
        <w:ind w:right="267" w:rightChars="127"/>
        <w:jc w:val="center"/>
        <w:rPr>
          <w:rFonts w:ascii="宋体" w:hAnsi="宋体"/>
          <w:color w:val="auto"/>
          <w:sz w:val="32"/>
          <w:highlight w:val="none"/>
        </w:rPr>
      </w:pPr>
    </w:p>
    <w:p>
      <w:pPr>
        <w:pStyle w:val="2"/>
        <w:ind w:firstLine="320"/>
        <w:rPr>
          <w:rFonts w:ascii="宋体" w:hAnsi="宋体"/>
          <w:color w:val="auto"/>
          <w:sz w:val="32"/>
          <w:highlight w:val="none"/>
        </w:rPr>
      </w:pPr>
    </w:p>
    <w:p>
      <w:pPr>
        <w:pStyle w:val="2"/>
        <w:ind w:firstLine="320"/>
        <w:rPr>
          <w:rFonts w:ascii="宋体" w:hAnsi="宋体"/>
          <w:color w:val="auto"/>
          <w:sz w:val="32"/>
          <w:highlight w:val="none"/>
        </w:rPr>
      </w:pPr>
    </w:p>
    <w:p>
      <w:pPr>
        <w:tabs>
          <w:tab w:val="left" w:pos="315"/>
          <w:tab w:val="left" w:pos="8820"/>
        </w:tabs>
        <w:spacing w:line="600" w:lineRule="exact"/>
        <w:ind w:right="267" w:rightChars="127"/>
        <w:jc w:val="left"/>
        <w:rPr>
          <w:rFonts w:ascii="宋体" w:hAnsi="宋体"/>
          <w:b/>
          <w:bCs/>
          <w:color w:val="auto"/>
          <w:sz w:val="32"/>
          <w:szCs w:val="32"/>
          <w:highlight w:val="none"/>
        </w:rPr>
      </w:pPr>
    </w:p>
    <w:p>
      <w:pPr>
        <w:tabs>
          <w:tab w:val="left" w:pos="315"/>
          <w:tab w:val="left" w:pos="8820"/>
        </w:tabs>
        <w:spacing w:line="600" w:lineRule="exact"/>
        <w:ind w:right="267" w:rightChars="127"/>
        <w:jc w:val="left"/>
        <w:rPr>
          <w:rFonts w:hint="eastAsia" w:ascii="宋体" w:hAnsi="宋体" w:eastAsia="宋体" w:cs="宋体"/>
          <w:color w:val="auto"/>
          <w:sz w:val="32"/>
          <w:szCs w:val="32"/>
          <w:highlight w:val="none"/>
          <w:lang w:eastAsia="zh-CN"/>
        </w:rPr>
      </w:pPr>
      <w:r>
        <w:rPr>
          <w:rFonts w:hint="eastAsia" w:ascii="宋体" w:hAnsi="宋体"/>
          <w:b/>
          <w:bCs/>
          <w:color w:val="auto"/>
          <w:sz w:val="32"/>
          <w:szCs w:val="32"/>
          <w:highlight w:val="none"/>
        </w:rPr>
        <w:t>项目名称:</w:t>
      </w: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lang w:eastAsia="zh-CN"/>
        </w:rPr>
        <w:t>周口市淮阳区朱集乡卫生院医疗设备采购项目</w:t>
      </w:r>
    </w:p>
    <w:p>
      <w:pPr>
        <w:pStyle w:val="2"/>
        <w:ind w:firstLine="0" w:firstLineChars="0"/>
        <w:rPr>
          <w:color w:val="auto"/>
          <w:highlight w:val="none"/>
        </w:rPr>
      </w:pPr>
      <w:r>
        <w:rPr>
          <w:rFonts w:hint="eastAsia" w:ascii="宋体" w:hAnsi="宋体"/>
          <w:b/>
          <w:bCs/>
          <w:color w:val="auto"/>
          <w:sz w:val="32"/>
          <w:szCs w:val="32"/>
          <w:highlight w:val="none"/>
        </w:rPr>
        <w:t xml:space="preserve">项目编号: </w:t>
      </w:r>
      <w:r>
        <w:rPr>
          <w:rFonts w:hint="eastAsia" w:ascii="宋体" w:hAnsi="宋体" w:eastAsia="宋体" w:cs="宋体"/>
          <w:color w:val="auto"/>
          <w:kern w:val="2"/>
          <w:sz w:val="32"/>
          <w:szCs w:val="32"/>
          <w:highlight w:val="none"/>
          <w:lang w:val="en-US" w:eastAsia="zh-CN" w:bidi="ar-SA"/>
        </w:rPr>
        <w:t>淮财磋商采购-2024-30</w:t>
      </w:r>
    </w:p>
    <w:p>
      <w:pPr>
        <w:tabs>
          <w:tab w:val="left" w:pos="315"/>
          <w:tab w:val="left" w:pos="8820"/>
        </w:tabs>
        <w:spacing w:line="600" w:lineRule="exact"/>
        <w:ind w:right="267" w:rightChars="127" w:firstLine="2200" w:firstLineChars="500"/>
        <w:jc w:val="left"/>
        <w:rPr>
          <w:rFonts w:ascii="宋体" w:hAnsi="宋体"/>
          <w:color w:val="auto"/>
          <w:sz w:val="44"/>
          <w:szCs w:val="44"/>
          <w:highlight w:val="none"/>
        </w:rPr>
      </w:pPr>
    </w:p>
    <w:p>
      <w:pPr>
        <w:pStyle w:val="10"/>
        <w:rPr>
          <w:rFonts w:ascii="宋体" w:hAnsi="宋体"/>
          <w:b/>
          <w:color w:val="auto"/>
          <w:sz w:val="32"/>
          <w:highlight w:val="none"/>
        </w:rPr>
      </w:pPr>
    </w:p>
    <w:p>
      <w:pPr>
        <w:pStyle w:val="10"/>
        <w:jc w:val="center"/>
        <w:rPr>
          <w:rFonts w:ascii="宋体" w:hAnsi="宋体"/>
          <w:b/>
          <w:color w:val="auto"/>
          <w:sz w:val="32"/>
          <w:highlight w:val="none"/>
        </w:rPr>
      </w:pPr>
      <w:r>
        <w:rPr>
          <w:rFonts w:ascii="宋体" w:hAnsi="宋体"/>
          <w:b/>
          <w:color w:val="auto"/>
          <w:sz w:val="32"/>
          <w:highlight w:val="none"/>
        </w:rPr>
        <w:t>2024</w:t>
      </w:r>
      <w:r>
        <w:rPr>
          <w:rFonts w:hint="eastAsia" w:ascii="宋体" w:hAnsi="宋体"/>
          <w:b/>
          <w:color w:val="auto"/>
          <w:sz w:val="32"/>
          <w:highlight w:val="none"/>
        </w:rPr>
        <w:t>年</w:t>
      </w:r>
      <w:r>
        <w:rPr>
          <w:rFonts w:hint="eastAsia" w:ascii="宋体" w:hAnsi="宋体"/>
          <w:b/>
          <w:color w:val="auto"/>
          <w:sz w:val="32"/>
          <w:highlight w:val="none"/>
          <w:lang w:val="en-US" w:eastAsia="zh-CN"/>
        </w:rPr>
        <w:t>7</w:t>
      </w:r>
      <w:r>
        <w:rPr>
          <w:rFonts w:hint="eastAsia" w:ascii="宋体" w:hAnsi="宋体"/>
          <w:b/>
          <w:color w:val="auto"/>
          <w:sz w:val="32"/>
          <w:highlight w:val="none"/>
        </w:rPr>
        <w:t>月</w:t>
      </w:r>
    </w:p>
    <w:sdt>
      <w:sdtPr>
        <w:rPr>
          <w:rFonts w:ascii="Times New Roman" w:hAnsi="Times New Roman" w:eastAsia="宋体" w:cs="Times New Roman"/>
          <w:color w:val="auto"/>
          <w:kern w:val="2"/>
          <w:sz w:val="21"/>
          <w:szCs w:val="24"/>
          <w:highlight w:val="none"/>
          <w:lang w:val="zh-CN"/>
        </w:rPr>
        <w:id w:val="-1992012059"/>
        <w:docPartObj>
          <w:docPartGallery w:val="Table of Contents"/>
          <w:docPartUnique/>
        </w:docPartObj>
      </w:sdtPr>
      <w:sdtEndPr>
        <w:rPr>
          <w:rFonts w:ascii="Times New Roman" w:hAnsi="Times New Roman" w:eastAsia="宋体" w:cs="Times New Roman"/>
          <w:b/>
          <w:bCs/>
          <w:color w:val="auto"/>
          <w:kern w:val="2"/>
          <w:sz w:val="21"/>
          <w:szCs w:val="24"/>
          <w:highlight w:val="none"/>
          <w:lang w:val="zh-CN"/>
        </w:rPr>
      </w:sdtEndPr>
      <w:sdtContent>
        <w:p>
          <w:pPr>
            <w:pStyle w:val="88"/>
            <w:jc w:val="center"/>
            <w:rPr>
              <w:rFonts w:ascii="Times New Roman" w:hAnsi="Times New Roman" w:eastAsia="宋体" w:cs="Times New Roman"/>
              <w:color w:val="auto"/>
              <w:kern w:val="2"/>
              <w:sz w:val="21"/>
              <w:szCs w:val="24"/>
              <w:highlight w:val="none"/>
              <w:lang w:val="zh-CN"/>
            </w:rPr>
          </w:pPr>
        </w:p>
        <w:p>
          <w:pPr>
            <w:rPr>
              <w:rFonts w:ascii="Times New Roman" w:hAnsi="Times New Roman" w:eastAsia="宋体" w:cs="Times New Roman"/>
              <w:color w:val="auto"/>
              <w:kern w:val="2"/>
              <w:sz w:val="21"/>
              <w:szCs w:val="24"/>
              <w:highlight w:val="none"/>
              <w:lang w:val="zh-CN"/>
            </w:rPr>
          </w:pPr>
          <w:r>
            <w:rPr>
              <w:rFonts w:ascii="Times New Roman" w:hAnsi="Times New Roman" w:eastAsia="宋体" w:cs="Times New Roman"/>
              <w:color w:val="auto"/>
              <w:kern w:val="2"/>
              <w:sz w:val="21"/>
              <w:szCs w:val="24"/>
              <w:highlight w:val="none"/>
              <w:lang w:val="zh-CN"/>
            </w:rPr>
            <w:br w:type="page"/>
          </w:r>
        </w:p>
        <w:p>
          <w:pPr>
            <w:pStyle w:val="88"/>
            <w:jc w:val="center"/>
            <w:rPr>
              <w:color w:val="auto"/>
              <w:highlight w:val="none"/>
            </w:rPr>
          </w:pPr>
          <w:r>
            <w:rPr>
              <w:color w:val="auto"/>
              <w:highlight w:val="none"/>
              <w:lang w:val="zh-CN"/>
            </w:rPr>
            <w:t>目录</w:t>
          </w:r>
        </w:p>
        <w:p>
          <w:pPr>
            <w:pStyle w:val="21"/>
            <w:tabs>
              <w:tab w:val="right" w:leader="dot" w:pos="8835"/>
            </w:tabs>
            <w:rPr>
              <w:rFonts w:asciiTheme="minorHAnsi" w:hAnsiTheme="minorHAnsi" w:eastAsiaTheme="minorEastAsia" w:cstheme="minorBidi"/>
              <w:caps w:val="0"/>
              <w:color w:val="auto"/>
              <w:szCs w:val="22"/>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 HYPERLINK \l "_Toc90643415" </w:instrText>
          </w:r>
          <w:r>
            <w:rPr>
              <w:color w:val="auto"/>
              <w:highlight w:val="none"/>
            </w:rPr>
            <w:fldChar w:fldCharType="separate"/>
          </w:r>
          <w:r>
            <w:rPr>
              <w:rStyle w:val="34"/>
              <w:rFonts w:ascii="宋体" w:hAnsi="宋体" w:cs="宋体"/>
              <w:color w:val="auto"/>
              <w:highlight w:val="none"/>
            </w:rPr>
            <w:t>第一章    竞争性磋商邀请函</w:t>
          </w:r>
          <w:r>
            <w:rPr>
              <w:color w:val="auto"/>
              <w:highlight w:val="none"/>
            </w:rPr>
            <w:tab/>
          </w:r>
          <w:r>
            <w:rPr>
              <w:color w:val="auto"/>
              <w:highlight w:val="none"/>
            </w:rPr>
            <w:fldChar w:fldCharType="begin"/>
          </w:r>
          <w:r>
            <w:rPr>
              <w:color w:val="auto"/>
              <w:highlight w:val="none"/>
            </w:rPr>
            <w:instrText xml:space="preserve"> PAGEREF _Toc90643415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pPr>
            <w:pStyle w:val="21"/>
            <w:tabs>
              <w:tab w:val="right" w:leader="dot" w:pos="8835"/>
            </w:tabs>
            <w:rPr>
              <w:rFonts w:asciiTheme="minorHAnsi" w:hAnsiTheme="minorHAnsi" w:eastAsiaTheme="minorEastAsia" w:cstheme="minorBidi"/>
              <w:caps w:val="0"/>
              <w:color w:val="auto"/>
              <w:szCs w:val="22"/>
              <w:highlight w:val="none"/>
            </w:rPr>
          </w:pPr>
          <w:r>
            <w:rPr>
              <w:color w:val="auto"/>
              <w:highlight w:val="none"/>
            </w:rPr>
            <w:fldChar w:fldCharType="begin"/>
          </w:r>
          <w:r>
            <w:rPr>
              <w:color w:val="auto"/>
              <w:highlight w:val="none"/>
            </w:rPr>
            <w:instrText xml:space="preserve"> HYPERLINK \l "_Toc90643416" </w:instrText>
          </w:r>
          <w:r>
            <w:rPr>
              <w:color w:val="auto"/>
              <w:highlight w:val="none"/>
            </w:rPr>
            <w:fldChar w:fldCharType="separate"/>
          </w:r>
          <w:r>
            <w:rPr>
              <w:rStyle w:val="34"/>
              <w:rFonts w:ascii="宋体" w:hAnsi="宋体" w:cs="宋体"/>
              <w:color w:val="auto"/>
              <w:highlight w:val="none"/>
            </w:rPr>
            <w:t>第二章    供应商须知</w:t>
          </w:r>
          <w:r>
            <w:rPr>
              <w:color w:val="auto"/>
              <w:highlight w:val="none"/>
            </w:rPr>
            <w:tab/>
          </w:r>
          <w:r>
            <w:rPr>
              <w:color w:val="auto"/>
              <w:highlight w:val="none"/>
            </w:rPr>
            <w:fldChar w:fldCharType="begin"/>
          </w:r>
          <w:r>
            <w:rPr>
              <w:color w:val="auto"/>
              <w:highlight w:val="none"/>
            </w:rPr>
            <w:instrText xml:space="preserve"> PAGEREF _Toc90643416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pPr>
            <w:pStyle w:val="21"/>
            <w:tabs>
              <w:tab w:val="right" w:leader="dot" w:pos="8835"/>
            </w:tabs>
            <w:rPr>
              <w:rFonts w:asciiTheme="minorHAnsi" w:hAnsiTheme="minorHAnsi" w:eastAsiaTheme="minorEastAsia" w:cstheme="minorBidi"/>
              <w:caps w:val="0"/>
              <w:color w:val="auto"/>
              <w:szCs w:val="22"/>
              <w:highlight w:val="none"/>
            </w:rPr>
          </w:pPr>
          <w:r>
            <w:rPr>
              <w:color w:val="auto"/>
              <w:highlight w:val="none"/>
            </w:rPr>
            <w:fldChar w:fldCharType="begin"/>
          </w:r>
          <w:r>
            <w:rPr>
              <w:color w:val="auto"/>
              <w:highlight w:val="none"/>
            </w:rPr>
            <w:instrText xml:space="preserve"> HYPERLINK \l "_Toc90643417" </w:instrText>
          </w:r>
          <w:r>
            <w:rPr>
              <w:color w:val="auto"/>
              <w:highlight w:val="none"/>
            </w:rPr>
            <w:fldChar w:fldCharType="separate"/>
          </w:r>
          <w:r>
            <w:rPr>
              <w:rStyle w:val="34"/>
              <w:rFonts w:ascii="宋体" w:hAnsi="宋体" w:cs="宋体"/>
              <w:color w:val="auto"/>
              <w:highlight w:val="none"/>
            </w:rPr>
            <w:t>第三章    采购项目内容及要求</w:t>
          </w:r>
          <w:r>
            <w:rPr>
              <w:color w:val="auto"/>
              <w:highlight w:val="none"/>
            </w:rPr>
            <w:tab/>
          </w:r>
          <w:r>
            <w:rPr>
              <w:color w:val="auto"/>
              <w:highlight w:val="none"/>
            </w:rPr>
            <w:fldChar w:fldCharType="begin"/>
          </w:r>
          <w:r>
            <w:rPr>
              <w:color w:val="auto"/>
              <w:highlight w:val="none"/>
            </w:rPr>
            <w:instrText xml:space="preserve"> PAGEREF _Toc90643417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pPr>
            <w:pStyle w:val="21"/>
            <w:tabs>
              <w:tab w:val="right" w:leader="dot" w:pos="8835"/>
            </w:tabs>
            <w:rPr>
              <w:rFonts w:asciiTheme="minorHAnsi" w:hAnsiTheme="minorHAnsi" w:eastAsiaTheme="minorEastAsia" w:cstheme="minorBidi"/>
              <w:caps w:val="0"/>
              <w:color w:val="auto"/>
              <w:szCs w:val="22"/>
              <w:highlight w:val="none"/>
            </w:rPr>
          </w:pPr>
          <w:r>
            <w:rPr>
              <w:color w:val="auto"/>
              <w:highlight w:val="none"/>
            </w:rPr>
            <w:fldChar w:fldCharType="begin"/>
          </w:r>
          <w:r>
            <w:rPr>
              <w:color w:val="auto"/>
              <w:highlight w:val="none"/>
            </w:rPr>
            <w:instrText xml:space="preserve"> HYPERLINK \l "_Toc90643418" </w:instrText>
          </w:r>
          <w:r>
            <w:rPr>
              <w:color w:val="auto"/>
              <w:highlight w:val="none"/>
            </w:rPr>
            <w:fldChar w:fldCharType="separate"/>
          </w:r>
          <w:r>
            <w:rPr>
              <w:rStyle w:val="34"/>
              <w:rFonts w:ascii="宋体" w:hAnsi="宋体" w:cs="宋体"/>
              <w:color w:val="auto"/>
              <w:highlight w:val="none"/>
            </w:rPr>
            <w:t>第四章    响应性文件内容及格式</w:t>
          </w:r>
          <w:r>
            <w:rPr>
              <w:color w:val="auto"/>
              <w:highlight w:val="none"/>
            </w:rPr>
            <w:tab/>
          </w:r>
          <w:r>
            <w:rPr>
              <w:color w:val="auto"/>
              <w:highlight w:val="none"/>
            </w:rPr>
            <w:fldChar w:fldCharType="begin"/>
          </w:r>
          <w:r>
            <w:rPr>
              <w:color w:val="auto"/>
              <w:highlight w:val="none"/>
            </w:rPr>
            <w:instrText xml:space="preserve"> PAGEREF _Toc90643418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pPr>
            <w:pStyle w:val="21"/>
            <w:tabs>
              <w:tab w:val="right" w:leader="dot" w:pos="8835"/>
            </w:tabs>
            <w:rPr>
              <w:rFonts w:asciiTheme="minorHAnsi" w:hAnsiTheme="minorHAnsi" w:eastAsiaTheme="minorEastAsia" w:cstheme="minorBidi"/>
              <w:caps w:val="0"/>
              <w:color w:val="auto"/>
              <w:szCs w:val="22"/>
              <w:highlight w:val="none"/>
            </w:rPr>
          </w:pPr>
          <w:r>
            <w:rPr>
              <w:color w:val="auto"/>
              <w:highlight w:val="none"/>
            </w:rPr>
            <w:fldChar w:fldCharType="begin"/>
          </w:r>
          <w:r>
            <w:rPr>
              <w:color w:val="auto"/>
              <w:highlight w:val="none"/>
            </w:rPr>
            <w:instrText xml:space="preserve"> HYPERLINK \l "_Toc90643419" </w:instrText>
          </w:r>
          <w:r>
            <w:rPr>
              <w:color w:val="auto"/>
              <w:highlight w:val="none"/>
            </w:rPr>
            <w:fldChar w:fldCharType="separate"/>
          </w:r>
          <w:r>
            <w:rPr>
              <w:rStyle w:val="34"/>
              <w:rFonts w:ascii="宋体" w:hAnsi="宋体" w:cs="宋体"/>
              <w:color w:val="auto"/>
              <w:highlight w:val="none"/>
            </w:rPr>
            <w:t>第五章</w:t>
          </w:r>
          <w:r>
            <w:rPr>
              <w:rStyle w:val="34"/>
              <w:rFonts w:hint="eastAsia" w:ascii="宋体" w:hAnsi="宋体" w:cs="宋体"/>
              <w:color w:val="auto"/>
              <w:highlight w:val="none"/>
            </w:rPr>
            <w:t xml:space="preserve">   </w:t>
          </w:r>
          <w:r>
            <w:rPr>
              <w:rStyle w:val="34"/>
              <w:rFonts w:ascii="宋体" w:hAnsi="宋体" w:cs="宋体"/>
              <w:color w:val="auto"/>
              <w:highlight w:val="none"/>
            </w:rPr>
            <w:t xml:space="preserve"> 周口市政府采购合同（货物类）标准文本</w:t>
          </w:r>
          <w:r>
            <w:rPr>
              <w:color w:val="auto"/>
              <w:highlight w:val="none"/>
            </w:rPr>
            <w:tab/>
          </w:r>
          <w:r>
            <w:rPr>
              <w:color w:val="auto"/>
              <w:highlight w:val="none"/>
            </w:rPr>
            <w:fldChar w:fldCharType="begin"/>
          </w:r>
          <w:r>
            <w:rPr>
              <w:color w:val="auto"/>
              <w:highlight w:val="none"/>
            </w:rPr>
            <w:instrText xml:space="preserve"> PAGEREF _Toc90643419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pPr>
            <w:rPr>
              <w:color w:val="auto"/>
              <w:highlight w:val="none"/>
            </w:rPr>
          </w:pPr>
          <w:r>
            <w:rPr>
              <w:b/>
              <w:bCs/>
              <w:color w:val="auto"/>
              <w:highlight w:val="none"/>
              <w:lang w:val="zh-CN"/>
            </w:rPr>
            <w:fldChar w:fldCharType="end"/>
          </w:r>
        </w:p>
      </w:sdtContent>
    </w:sdt>
    <w:p>
      <w:pPr>
        <w:pStyle w:val="2"/>
        <w:ind w:firstLine="210"/>
        <w:rPr>
          <w:color w:val="auto"/>
          <w:highlight w:val="none"/>
        </w:rPr>
      </w:pPr>
    </w:p>
    <w:p>
      <w:pPr>
        <w:pStyle w:val="2"/>
        <w:ind w:firstLine="210"/>
        <w:rPr>
          <w:color w:val="auto"/>
          <w:highlight w:val="none"/>
        </w:rPr>
      </w:pPr>
    </w:p>
    <w:p>
      <w:pPr>
        <w:pStyle w:val="2"/>
        <w:ind w:firstLine="210"/>
        <w:rPr>
          <w:color w:val="auto"/>
          <w:highlight w:val="none"/>
        </w:rPr>
      </w:pPr>
    </w:p>
    <w:p>
      <w:pPr>
        <w:pStyle w:val="4"/>
        <w:jc w:val="center"/>
        <w:rPr>
          <w:rFonts w:ascii="宋体" w:hAnsi="宋体" w:cs="宋体"/>
          <w:b w:val="0"/>
          <w:color w:val="auto"/>
          <w:sz w:val="32"/>
          <w:szCs w:val="32"/>
          <w:highlight w:val="none"/>
        </w:rPr>
      </w:pPr>
      <w:r>
        <w:rPr>
          <w:rFonts w:hint="eastAsia" w:ascii="仿宋_GB2312" w:eastAsia="仿宋_GB2312"/>
          <w:color w:val="auto"/>
          <w:sz w:val="32"/>
          <w:szCs w:val="32"/>
          <w:highlight w:val="none"/>
        </w:rPr>
        <w:br w:type="page"/>
      </w:r>
      <w:bookmarkStart w:id="0" w:name="_Toc90643415"/>
      <w:r>
        <w:rPr>
          <w:rFonts w:hint="eastAsia" w:ascii="宋体" w:hAnsi="宋体" w:cs="宋体"/>
          <w:color w:val="auto"/>
          <w:sz w:val="32"/>
          <w:szCs w:val="32"/>
          <w:highlight w:val="none"/>
        </w:rPr>
        <w:t>第一章    竞争性磋商邀请函</w:t>
      </w:r>
      <w:bookmarkEnd w:id="0"/>
    </w:p>
    <w:p>
      <w:pPr>
        <w:ind w:firstLine="480"/>
        <w:rPr>
          <w:rFonts w:eastAsia="Times New Roman"/>
          <w:color w:val="auto"/>
          <w:sz w:val="24"/>
          <w:highlight w:val="none"/>
        </w:rPr>
      </w:pPr>
      <w:bookmarkStart w:id="1" w:name="OLE_LINK3"/>
      <w:r>
        <w:rPr>
          <w:rFonts w:ascii="宋体" w:hAnsi="宋体" w:cs="宋体"/>
          <w:color w:val="auto"/>
          <w:sz w:val="24"/>
          <w:highlight w:val="none"/>
        </w:rPr>
        <w:t>项目概况</w:t>
      </w:r>
    </w:p>
    <w:p>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周口市淮阳区朱集乡卫生院医疗设备采购项目的潜在供应商应在周口市公共资源交易中心网（http://jyzx.zhoukou.gov.cn）获取采购文件，并于</w:t>
      </w:r>
      <w:r>
        <w:rPr>
          <w:rFonts w:hint="eastAsia" w:ascii="宋体" w:hAnsi="宋体" w:cs="宋体"/>
          <w:color w:val="auto"/>
          <w:sz w:val="24"/>
          <w:highlight w:val="none"/>
          <w:lang w:val="en-US" w:eastAsia="zh-CN"/>
        </w:rPr>
        <w:t>2024</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07</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15日10</w:t>
      </w:r>
      <w:r>
        <w:rPr>
          <w:rFonts w:hint="eastAsia" w:ascii="宋体" w:hAnsi="宋体" w:cs="宋体"/>
          <w:color w:val="auto"/>
          <w:sz w:val="24"/>
          <w:highlight w:val="none"/>
          <w:lang w:eastAsia="zh-CN"/>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lang w:eastAsia="zh-CN"/>
        </w:rPr>
        <w:t>分（北京时间）前提交响应文件。</w:t>
      </w:r>
    </w:p>
    <w:p>
      <w:pPr>
        <w:spacing w:line="360" w:lineRule="auto"/>
        <w:jc w:val="left"/>
        <w:rPr>
          <w:rFonts w:eastAsia="Times New Roman"/>
          <w:color w:val="auto"/>
          <w:sz w:val="24"/>
          <w:highlight w:val="none"/>
        </w:rPr>
      </w:pPr>
      <w:r>
        <w:rPr>
          <w:rFonts w:ascii="宋体" w:hAnsi="宋体" w:cs="宋体"/>
          <w:color w:val="auto"/>
          <w:sz w:val="24"/>
          <w:highlight w:val="none"/>
        </w:rPr>
        <w:t>一、项目基本情况</w:t>
      </w:r>
    </w:p>
    <w:p>
      <w:pPr>
        <w:spacing w:line="360" w:lineRule="auto"/>
        <w:ind w:firstLine="480"/>
        <w:rPr>
          <w:color w:val="auto"/>
          <w:sz w:val="24"/>
          <w:highlight w:val="none"/>
        </w:rPr>
      </w:pPr>
      <w:r>
        <w:rPr>
          <w:rFonts w:ascii="宋体" w:hAnsi="宋体" w:cs="宋体"/>
          <w:color w:val="auto"/>
          <w:sz w:val="24"/>
          <w:highlight w:val="none"/>
        </w:rPr>
        <w:t>项目编号：</w:t>
      </w:r>
      <w:r>
        <w:rPr>
          <w:rFonts w:hint="eastAsia" w:ascii="宋体" w:hAnsi="宋体" w:cs="宋体"/>
          <w:color w:val="auto"/>
          <w:sz w:val="24"/>
          <w:highlight w:val="none"/>
          <w:lang w:val="en-US" w:eastAsia="zh-CN"/>
        </w:rPr>
        <w:t>淮财磋商采购-2024-30</w:t>
      </w:r>
    </w:p>
    <w:p>
      <w:pPr>
        <w:spacing w:line="360" w:lineRule="auto"/>
        <w:ind w:firstLine="480"/>
        <w:rPr>
          <w:rFonts w:hint="eastAsia" w:ascii="宋体" w:hAnsi="宋体" w:cs="宋体"/>
          <w:color w:val="auto"/>
          <w:sz w:val="24"/>
          <w:highlight w:val="none"/>
          <w:lang w:val="en-US" w:eastAsia="zh-CN"/>
        </w:rPr>
      </w:pPr>
      <w:r>
        <w:rPr>
          <w:rFonts w:ascii="宋体" w:hAnsi="宋体" w:cs="宋体"/>
          <w:color w:val="auto"/>
          <w:sz w:val="24"/>
          <w:highlight w:val="none"/>
        </w:rPr>
        <w:t>项</w:t>
      </w:r>
      <w:r>
        <w:rPr>
          <w:rFonts w:hint="eastAsia" w:ascii="宋体" w:hAnsi="宋体" w:cs="宋体"/>
          <w:color w:val="auto"/>
          <w:sz w:val="24"/>
          <w:highlight w:val="none"/>
          <w:lang w:val="en-US" w:eastAsia="zh-CN"/>
        </w:rPr>
        <w:t>目名称：周口市淮阳区朱集乡卫生院医疗设备采购项目</w:t>
      </w:r>
    </w:p>
    <w:p>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采购方式：竞争性磋商</w:t>
      </w:r>
    </w:p>
    <w:p>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预算金额：650000元</w:t>
      </w:r>
    </w:p>
    <w:p>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最高限价：650000元</w:t>
      </w:r>
      <w:bookmarkStart w:id="12" w:name="_GoBack"/>
      <w:bookmarkEnd w:id="12"/>
    </w:p>
    <w:p>
      <w:pPr>
        <w:spacing w:line="360" w:lineRule="auto"/>
        <w:ind w:firstLine="480"/>
        <w:rPr>
          <w:rFonts w:ascii="宋体" w:hAnsi="宋体" w:cs="宋体"/>
          <w:color w:val="auto"/>
          <w:sz w:val="24"/>
          <w:highlight w:val="none"/>
        </w:rPr>
      </w:pPr>
      <w:r>
        <w:rPr>
          <w:rFonts w:ascii="宋体" w:hAnsi="宋体" w:cs="宋体"/>
          <w:color w:val="auto"/>
          <w:sz w:val="24"/>
          <w:highlight w:val="none"/>
        </w:rPr>
        <w:t>包划分：1个包</w:t>
      </w:r>
    </w:p>
    <w:tbl>
      <w:tblPr>
        <w:tblStyle w:val="29"/>
        <w:tblW w:w="0" w:type="auto"/>
        <w:tblInd w:w="0" w:type="dxa"/>
        <w:tblLayout w:type="autofit"/>
        <w:tblCellMar>
          <w:top w:w="0" w:type="dxa"/>
          <w:left w:w="10" w:type="dxa"/>
          <w:bottom w:w="0" w:type="dxa"/>
          <w:right w:w="10" w:type="dxa"/>
        </w:tblCellMar>
      </w:tblPr>
      <w:tblGrid>
        <w:gridCol w:w="768"/>
        <w:gridCol w:w="7017"/>
        <w:gridCol w:w="2133"/>
      </w:tblGrid>
      <w:tr>
        <w:tblPrEx>
          <w:tblCellMar>
            <w:top w:w="0" w:type="dxa"/>
            <w:left w:w="10" w:type="dxa"/>
            <w:bottom w:w="0" w:type="dxa"/>
            <w:right w:w="10" w:type="dxa"/>
          </w:tblCellMar>
        </w:tblPrEx>
        <w:trPr>
          <w:trHeight w:val="1" w:hRule="atLeast"/>
        </w:trPr>
        <w:tc>
          <w:tcPr>
            <w:tcW w:w="7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cs="宋体"/>
                <w:color w:val="auto"/>
                <w:highlight w:val="none"/>
              </w:rPr>
            </w:pPr>
            <w:r>
              <w:rPr>
                <w:rFonts w:ascii="宋体" w:hAnsi="宋体" w:cs="宋体"/>
                <w:color w:val="auto"/>
                <w:sz w:val="24"/>
                <w:highlight w:val="none"/>
                <w:shd w:val="clear" w:color="auto" w:fill="FFFFFF"/>
              </w:rPr>
              <w:t>包号</w:t>
            </w:r>
          </w:p>
        </w:tc>
        <w:tc>
          <w:tcPr>
            <w:tcW w:w="70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cs="宋体"/>
                <w:color w:val="auto"/>
                <w:highlight w:val="none"/>
              </w:rPr>
            </w:pPr>
            <w:r>
              <w:rPr>
                <w:rFonts w:ascii="宋体" w:hAnsi="宋体" w:cs="宋体"/>
                <w:color w:val="auto"/>
                <w:sz w:val="24"/>
                <w:highlight w:val="none"/>
                <w:shd w:val="clear" w:color="auto" w:fill="FFFFFF"/>
              </w:rPr>
              <w:t>包名称</w:t>
            </w:r>
          </w:p>
        </w:tc>
        <w:tc>
          <w:tcPr>
            <w:tcW w:w="21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cs="宋体"/>
                <w:color w:val="auto"/>
                <w:highlight w:val="none"/>
              </w:rPr>
            </w:pPr>
            <w:r>
              <w:rPr>
                <w:rFonts w:hint="eastAsia" w:ascii="宋体" w:hAnsi="宋体" w:cs="宋体"/>
                <w:color w:val="auto"/>
                <w:sz w:val="24"/>
                <w:highlight w:val="none"/>
                <w:shd w:val="clear" w:color="auto" w:fill="FFFFFF"/>
              </w:rPr>
              <w:t>包最高限价（元）</w:t>
            </w:r>
          </w:p>
        </w:tc>
      </w:tr>
      <w:tr>
        <w:tblPrEx>
          <w:tblCellMar>
            <w:top w:w="0" w:type="dxa"/>
            <w:left w:w="10" w:type="dxa"/>
            <w:bottom w:w="0" w:type="dxa"/>
            <w:right w:w="10" w:type="dxa"/>
          </w:tblCellMar>
        </w:tblPrEx>
        <w:trPr>
          <w:trHeight w:val="748" w:hRule="atLeast"/>
        </w:trPr>
        <w:tc>
          <w:tcPr>
            <w:tcW w:w="7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cs="宋体"/>
                <w:color w:val="auto"/>
                <w:sz w:val="24"/>
                <w:highlight w:val="none"/>
              </w:rPr>
            </w:pPr>
            <w:r>
              <w:rPr>
                <w:rFonts w:ascii="宋体" w:hAnsi="宋体" w:cs="宋体"/>
                <w:color w:val="auto"/>
                <w:sz w:val="24"/>
                <w:highlight w:val="none"/>
              </w:rPr>
              <w:t>1</w:t>
            </w:r>
          </w:p>
        </w:tc>
        <w:tc>
          <w:tcPr>
            <w:tcW w:w="701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周口市淮阳区朱集乡卫生院医疗设备采购项目</w:t>
            </w:r>
          </w:p>
        </w:tc>
        <w:tc>
          <w:tcPr>
            <w:tcW w:w="21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650000.00</w:t>
            </w:r>
          </w:p>
        </w:tc>
      </w:tr>
    </w:tbl>
    <w:p>
      <w:pPr>
        <w:spacing w:line="360" w:lineRule="auto"/>
        <w:ind w:firstLine="480"/>
        <w:rPr>
          <w:rFonts w:ascii="宋体" w:hAnsi="宋体" w:cs="宋体"/>
          <w:color w:val="auto"/>
          <w:sz w:val="24"/>
          <w:highlight w:val="none"/>
        </w:rPr>
      </w:pPr>
      <w:r>
        <w:rPr>
          <w:rFonts w:ascii="宋体" w:hAnsi="宋体" w:cs="宋体"/>
          <w:color w:val="auto"/>
          <w:sz w:val="24"/>
          <w:highlight w:val="none"/>
        </w:rPr>
        <w:t>采购需求：</w:t>
      </w:r>
      <w:r>
        <w:rPr>
          <w:rFonts w:hint="eastAsia" w:ascii="宋体" w:hAnsi="宋体" w:cs="宋体"/>
          <w:color w:val="auto"/>
          <w:sz w:val="24"/>
          <w:highlight w:val="none"/>
          <w:lang w:eastAsia="zh-CN"/>
        </w:rPr>
        <w:t>周口市淮阳区朱集乡卫生院医疗设备采购项目</w:t>
      </w:r>
      <w:r>
        <w:rPr>
          <w:rFonts w:hint="eastAsia" w:ascii="宋体" w:hAnsi="宋体" w:cs="宋体"/>
          <w:color w:val="auto"/>
          <w:sz w:val="24"/>
          <w:highlight w:val="none"/>
        </w:rPr>
        <w:t xml:space="preserve"> (数量及要求详见磋商文件)</w:t>
      </w:r>
    </w:p>
    <w:p>
      <w:pPr>
        <w:spacing w:line="360" w:lineRule="auto"/>
        <w:ind w:firstLine="480"/>
        <w:rPr>
          <w:rFonts w:ascii="宋体" w:hAnsi="宋体" w:cs="宋体"/>
          <w:color w:val="auto"/>
          <w:sz w:val="24"/>
          <w:highlight w:val="none"/>
        </w:rPr>
      </w:pPr>
      <w:r>
        <w:rPr>
          <w:rFonts w:ascii="宋体" w:hAnsi="宋体" w:cs="宋体"/>
          <w:color w:val="auto"/>
          <w:sz w:val="24"/>
          <w:highlight w:val="none"/>
        </w:rPr>
        <w:t>合同履行期限：</w:t>
      </w:r>
      <w:r>
        <w:rPr>
          <w:rFonts w:hint="eastAsia" w:ascii="宋体" w:hAnsi="宋体" w:cs="宋体"/>
          <w:color w:val="auto"/>
          <w:sz w:val="24"/>
          <w:highlight w:val="none"/>
          <w:lang w:eastAsia="zh-CN"/>
        </w:rPr>
        <w:t>合同签订后</w:t>
      </w:r>
      <w:r>
        <w:rPr>
          <w:rFonts w:hint="eastAsia" w:ascii="宋体" w:hAnsi="宋体" w:cs="宋体"/>
          <w:color w:val="auto"/>
          <w:sz w:val="24"/>
          <w:highlight w:val="none"/>
          <w:lang w:val="en-US" w:eastAsia="zh-CN"/>
        </w:rPr>
        <w:t>10</w:t>
      </w:r>
      <w:r>
        <w:rPr>
          <w:rFonts w:hint="eastAsia" w:ascii="宋体" w:hAnsi="宋体" w:cs="宋体"/>
          <w:color w:val="auto"/>
          <w:sz w:val="24"/>
          <w:highlight w:val="none"/>
          <w:lang w:eastAsia="zh-CN"/>
        </w:rPr>
        <w:t>日历天</w:t>
      </w:r>
    </w:p>
    <w:p>
      <w:pPr>
        <w:spacing w:line="360" w:lineRule="auto"/>
        <w:ind w:firstLine="480"/>
        <w:rPr>
          <w:rFonts w:eastAsiaTheme="minorEastAsia"/>
          <w:color w:val="auto"/>
          <w:sz w:val="24"/>
          <w:highlight w:val="none"/>
        </w:rPr>
      </w:pPr>
      <w:r>
        <w:rPr>
          <w:rFonts w:ascii="宋体" w:hAnsi="宋体" w:cs="宋体"/>
          <w:color w:val="auto"/>
          <w:sz w:val="24"/>
          <w:highlight w:val="none"/>
        </w:rPr>
        <w:t>是否接受进口产品：</w:t>
      </w:r>
      <w:r>
        <w:rPr>
          <w:rFonts w:eastAsia="Times New Roman"/>
          <w:color w:val="auto"/>
          <w:sz w:val="24"/>
          <w:highlight w:val="none"/>
        </w:rPr>
        <w:t xml:space="preserve"> </w:t>
      </w:r>
      <w:r>
        <w:rPr>
          <w:rFonts w:hint="eastAsia"/>
          <w:color w:val="auto"/>
          <w:sz w:val="24"/>
          <w:highlight w:val="none"/>
        </w:rPr>
        <w:t>否</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本项目是否接受联合体投标：否</w:t>
      </w:r>
    </w:p>
    <w:p>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本项目是否为只面向中小企业采购：否</w:t>
      </w:r>
    </w:p>
    <w:p>
      <w:pPr>
        <w:spacing w:line="360" w:lineRule="auto"/>
        <w:jc w:val="left"/>
        <w:rPr>
          <w:rFonts w:eastAsia="Times New Roman"/>
          <w:color w:val="auto"/>
          <w:sz w:val="24"/>
          <w:highlight w:val="none"/>
        </w:rPr>
      </w:pPr>
      <w:r>
        <w:rPr>
          <w:rFonts w:ascii="宋体" w:hAnsi="宋体" w:cs="宋体"/>
          <w:color w:val="auto"/>
          <w:sz w:val="24"/>
          <w:highlight w:val="none"/>
        </w:rPr>
        <w:t>二、申请人的资格要求：</w:t>
      </w:r>
    </w:p>
    <w:p>
      <w:pPr>
        <w:spacing w:line="360" w:lineRule="auto"/>
        <w:ind w:firstLine="540"/>
        <w:rPr>
          <w:rFonts w:eastAsia="Times New Roman"/>
          <w:color w:val="auto"/>
          <w:sz w:val="24"/>
          <w:highlight w:val="none"/>
        </w:rPr>
      </w:pPr>
      <w:r>
        <w:rPr>
          <w:rFonts w:eastAsia="Times New Roman"/>
          <w:color w:val="auto"/>
          <w:sz w:val="24"/>
          <w:highlight w:val="none"/>
        </w:rPr>
        <w:t>1.</w:t>
      </w:r>
      <w:r>
        <w:rPr>
          <w:rFonts w:ascii="宋体" w:hAnsi="宋体" w:cs="宋体"/>
          <w:color w:val="auto"/>
          <w:sz w:val="24"/>
          <w:highlight w:val="none"/>
        </w:rPr>
        <w:t>满足《中华人民共和国政府采购法》第二十二条规定；</w:t>
      </w:r>
    </w:p>
    <w:p>
      <w:pPr>
        <w:spacing w:line="360" w:lineRule="auto"/>
        <w:ind w:firstLine="480"/>
        <w:rPr>
          <w:rFonts w:eastAsia="Times New Roman"/>
          <w:color w:val="auto"/>
          <w:sz w:val="24"/>
          <w:highlight w:val="none"/>
        </w:rPr>
      </w:pPr>
      <w:r>
        <w:rPr>
          <w:rFonts w:ascii="宋体" w:hAnsi="宋体" w:cs="宋体"/>
          <w:color w:val="auto"/>
          <w:sz w:val="24"/>
          <w:highlight w:val="none"/>
        </w:rPr>
        <w:t>（</w:t>
      </w:r>
      <w:r>
        <w:rPr>
          <w:rFonts w:eastAsia="Times New Roman"/>
          <w:color w:val="auto"/>
          <w:sz w:val="24"/>
          <w:highlight w:val="none"/>
        </w:rPr>
        <w:t>1</w:t>
      </w:r>
      <w:r>
        <w:rPr>
          <w:rFonts w:ascii="宋体" w:hAnsi="宋体" w:cs="宋体"/>
          <w:color w:val="auto"/>
          <w:sz w:val="24"/>
          <w:highlight w:val="none"/>
        </w:rPr>
        <w:t>）具有独立承担民事责任的能力；</w:t>
      </w:r>
      <w:r>
        <w:rPr>
          <w:rFonts w:eastAsia="Times New Roman"/>
          <w:color w:val="auto"/>
          <w:sz w:val="24"/>
          <w:highlight w:val="none"/>
        </w:rPr>
        <w:t xml:space="preserve"> </w:t>
      </w:r>
    </w:p>
    <w:p>
      <w:pPr>
        <w:spacing w:line="360" w:lineRule="auto"/>
        <w:ind w:firstLine="480"/>
        <w:rPr>
          <w:rFonts w:eastAsia="Times New Roman"/>
          <w:color w:val="auto"/>
          <w:sz w:val="24"/>
          <w:highlight w:val="none"/>
        </w:rPr>
      </w:pPr>
      <w:r>
        <w:rPr>
          <w:rFonts w:ascii="宋体" w:hAnsi="宋体" w:cs="宋体"/>
          <w:color w:val="auto"/>
          <w:sz w:val="24"/>
          <w:highlight w:val="none"/>
        </w:rPr>
        <w:t>（</w:t>
      </w:r>
      <w:r>
        <w:rPr>
          <w:rFonts w:eastAsia="Times New Roman"/>
          <w:color w:val="auto"/>
          <w:sz w:val="24"/>
          <w:highlight w:val="none"/>
        </w:rPr>
        <w:t>2</w:t>
      </w:r>
      <w:r>
        <w:rPr>
          <w:rFonts w:ascii="宋体" w:hAnsi="宋体" w:cs="宋体"/>
          <w:color w:val="auto"/>
          <w:sz w:val="24"/>
          <w:highlight w:val="none"/>
        </w:rPr>
        <w:t>）具有良好的商业信誉和健全的财务会计制度；</w:t>
      </w:r>
      <w:r>
        <w:rPr>
          <w:rFonts w:eastAsia="Times New Roman"/>
          <w:color w:val="auto"/>
          <w:sz w:val="24"/>
          <w:highlight w:val="none"/>
        </w:rPr>
        <w:t xml:space="preserve"> </w:t>
      </w:r>
    </w:p>
    <w:p>
      <w:pPr>
        <w:spacing w:line="360" w:lineRule="auto"/>
        <w:ind w:firstLine="480"/>
        <w:rPr>
          <w:rFonts w:eastAsia="Times New Roman"/>
          <w:color w:val="auto"/>
          <w:sz w:val="24"/>
          <w:highlight w:val="none"/>
        </w:rPr>
      </w:pPr>
      <w:r>
        <w:rPr>
          <w:rFonts w:ascii="宋体" w:hAnsi="宋体" w:cs="宋体"/>
          <w:color w:val="auto"/>
          <w:sz w:val="24"/>
          <w:highlight w:val="none"/>
        </w:rPr>
        <w:t>（</w:t>
      </w:r>
      <w:r>
        <w:rPr>
          <w:rFonts w:eastAsia="Times New Roman"/>
          <w:color w:val="auto"/>
          <w:sz w:val="24"/>
          <w:highlight w:val="none"/>
        </w:rPr>
        <w:t>3</w:t>
      </w:r>
      <w:r>
        <w:rPr>
          <w:rFonts w:ascii="宋体" w:hAnsi="宋体" w:cs="宋体"/>
          <w:color w:val="auto"/>
          <w:sz w:val="24"/>
          <w:highlight w:val="none"/>
        </w:rPr>
        <w:t>）具有履行合同所必需的设备和专业技术能力；</w:t>
      </w:r>
      <w:r>
        <w:rPr>
          <w:rFonts w:eastAsia="Times New Roman"/>
          <w:color w:val="auto"/>
          <w:sz w:val="24"/>
          <w:highlight w:val="none"/>
        </w:rPr>
        <w:t xml:space="preserve"> </w:t>
      </w:r>
    </w:p>
    <w:p>
      <w:pPr>
        <w:spacing w:line="360" w:lineRule="auto"/>
        <w:ind w:firstLine="480"/>
        <w:rPr>
          <w:rFonts w:eastAsia="Times New Roman"/>
          <w:color w:val="auto"/>
          <w:sz w:val="24"/>
          <w:highlight w:val="none"/>
        </w:rPr>
      </w:pPr>
      <w:r>
        <w:rPr>
          <w:rFonts w:ascii="宋体" w:hAnsi="宋体" w:cs="宋体"/>
          <w:color w:val="auto"/>
          <w:sz w:val="24"/>
          <w:highlight w:val="none"/>
        </w:rPr>
        <w:t>（</w:t>
      </w:r>
      <w:r>
        <w:rPr>
          <w:rFonts w:eastAsia="Times New Roman"/>
          <w:color w:val="auto"/>
          <w:sz w:val="24"/>
          <w:highlight w:val="none"/>
        </w:rPr>
        <w:t>4</w:t>
      </w:r>
      <w:r>
        <w:rPr>
          <w:rFonts w:ascii="宋体" w:hAnsi="宋体" w:cs="宋体"/>
          <w:color w:val="auto"/>
          <w:sz w:val="24"/>
          <w:highlight w:val="none"/>
        </w:rPr>
        <w:t>）有依法缴纳税收和社会保障资金的良好记录；</w:t>
      </w:r>
      <w:r>
        <w:rPr>
          <w:rFonts w:eastAsia="Times New Roman"/>
          <w:color w:val="auto"/>
          <w:sz w:val="24"/>
          <w:highlight w:val="none"/>
        </w:rPr>
        <w:t xml:space="preserve"> </w:t>
      </w:r>
    </w:p>
    <w:p>
      <w:pPr>
        <w:spacing w:line="360" w:lineRule="auto"/>
        <w:ind w:firstLine="480"/>
        <w:rPr>
          <w:rFonts w:eastAsia="Times New Roman"/>
          <w:color w:val="auto"/>
          <w:sz w:val="24"/>
          <w:highlight w:val="none"/>
        </w:rPr>
      </w:pPr>
      <w:r>
        <w:rPr>
          <w:rFonts w:ascii="宋体" w:hAnsi="宋体" w:cs="宋体"/>
          <w:color w:val="auto"/>
          <w:sz w:val="24"/>
          <w:highlight w:val="none"/>
        </w:rPr>
        <w:t>（</w:t>
      </w:r>
      <w:r>
        <w:rPr>
          <w:rFonts w:eastAsia="Times New Roman"/>
          <w:color w:val="auto"/>
          <w:sz w:val="24"/>
          <w:highlight w:val="none"/>
        </w:rPr>
        <w:t>5</w:t>
      </w:r>
      <w:r>
        <w:rPr>
          <w:rFonts w:ascii="宋体" w:hAnsi="宋体" w:cs="宋体"/>
          <w:color w:val="auto"/>
          <w:sz w:val="24"/>
          <w:highlight w:val="none"/>
        </w:rPr>
        <w:t>）参加政府采购活动前三年内，在经营活动中没有重大违法记录；</w:t>
      </w:r>
      <w:r>
        <w:rPr>
          <w:rFonts w:eastAsia="Times New Roman"/>
          <w:color w:val="auto"/>
          <w:sz w:val="24"/>
          <w:highlight w:val="none"/>
        </w:rPr>
        <w:t xml:space="preserve"> </w:t>
      </w:r>
    </w:p>
    <w:p>
      <w:pPr>
        <w:spacing w:line="360" w:lineRule="auto"/>
        <w:ind w:firstLine="480"/>
        <w:rPr>
          <w:rFonts w:eastAsia="Times New Roman"/>
          <w:color w:val="auto"/>
          <w:highlight w:val="none"/>
        </w:rPr>
      </w:pPr>
      <w:r>
        <w:rPr>
          <w:rFonts w:ascii="宋体" w:hAnsi="宋体" w:cs="宋体"/>
          <w:color w:val="auto"/>
          <w:sz w:val="24"/>
          <w:highlight w:val="none"/>
        </w:rPr>
        <w:t>（</w:t>
      </w:r>
      <w:r>
        <w:rPr>
          <w:rFonts w:eastAsia="Times New Roman"/>
          <w:color w:val="auto"/>
          <w:sz w:val="24"/>
          <w:highlight w:val="none"/>
        </w:rPr>
        <w:t>6</w:t>
      </w:r>
      <w:r>
        <w:rPr>
          <w:rFonts w:ascii="宋体" w:hAnsi="宋体" w:cs="宋体"/>
          <w:color w:val="auto"/>
          <w:sz w:val="24"/>
          <w:highlight w:val="none"/>
        </w:rPr>
        <w:t>）法律、行政法规规定的其他条件。</w:t>
      </w:r>
      <w:r>
        <w:rPr>
          <w:rFonts w:eastAsia="Times New Roman"/>
          <w:color w:val="auto"/>
          <w:sz w:val="24"/>
          <w:highlight w:val="none"/>
        </w:rPr>
        <w:t xml:space="preserve"> </w:t>
      </w:r>
    </w:p>
    <w:p>
      <w:pPr>
        <w:spacing w:line="360" w:lineRule="auto"/>
        <w:ind w:firstLine="540"/>
        <w:rPr>
          <w:rFonts w:eastAsia="Times New Roman"/>
          <w:color w:val="auto"/>
          <w:sz w:val="24"/>
          <w:highlight w:val="none"/>
        </w:rPr>
      </w:pPr>
      <w:r>
        <w:rPr>
          <w:rFonts w:eastAsia="Times New Roman"/>
          <w:color w:val="auto"/>
          <w:sz w:val="24"/>
          <w:highlight w:val="none"/>
        </w:rPr>
        <w:t>2.</w:t>
      </w:r>
      <w:r>
        <w:rPr>
          <w:rFonts w:ascii="宋体" w:hAnsi="宋体" w:cs="宋体"/>
          <w:color w:val="auto"/>
          <w:sz w:val="24"/>
          <w:highlight w:val="none"/>
        </w:rPr>
        <w:t>落实政府采购政策需满足的资格要求：促进中小企业和监狱企业发展扶持政策、政府强制采购节能产品强制采购、节能产品及环境标志产品优先采购、促进残疾人就业政府采购政策。</w:t>
      </w:r>
      <w:r>
        <w:rPr>
          <w:rFonts w:eastAsia="Times New Roman"/>
          <w:color w:val="auto"/>
          <w:sz w:val="24"/>
          <w:highlight w:val="none"/>
        </w:rPr>
        <w:t xml:space="preserve"> </w:t>
      </w:r>
    </w:p>
    <w:p>
      <w:pPr>
        <w:spacing w:line="360" w:lineRule="auto"/>
        <w:ind w:firstLine="540"/>
        <w:rPr>
          <w:rFonts w:ascii="宋体" w:hAnsi="宋体" w:cs="宋体"/>
          <w:color w:val="auto"/>
          <w:sz w:val="24"/>
          <w:highlight w:val="none"/>
        </w:rPr>
      </w:pPr>
      <w:r>
        <w:rPr>
          <w:rFonts w:eastAsia="Times New Roman"/>
          <w:color w:val="auto"/>
          <w:sz w:val="24"/>
          <w:highlight w:val="none"/>
        </w:rPr>
        <w:t>3.</w:t>
      </w:r>
      <w:r>
        <w:rPr>
          <w:rFonts w:ascii="宋体" w:hAnsi="宋体" w:cs="宋体"/>
          <w:color w:val="auto"/>
          <w:sz w:val="24"/>
          <w:highlight w:val="none"/>
        </w:rPr>
        <w:t>本项目的特定资格要求：</w:t>
      </w:r>
    </w:p>
    <w:p>
      <w:pPr>
        <w:spacing w:line="360" w:lineRule="auto"/>
        <w:ind w:firstLine="540"/>
        <w:rPr>
          <w:rFonts w:hint="eastAsia" w:ascii="宋体" w:hAnsi="宋体" w:cs="宋体"/>
          <w:color w:val="auto"/>
          <w:sz w:val="24"/>
          <w:highlight w:val="none"/>
        </w:rPr>
      </w:pPr>
      <w:r>
        <w:rPr>
          <w:rFonts w:hint="eastAsia" w:ascii="宋体" w:hAnsi="宋体" w:cs="宋体"/>
          <w:color w:val="auto"/>
          <w:sz w:val="24"/>
          <w:highlight w:val="none"/>
          <w:lang w:val="en-US" w:eastAsia="zh-CN"/>
        </w:rPr>
        <w:t>3.1</w:t>
      </w:r>
      <w:r>
        <w:rPr>
          <w:rFonts w:hint="eastAsia" w:ascii="宋体" w:hAnsi="宋体" w:cs="宋体"/>
          <w:color w:val="auto"/>
          <w:sz w:val="24"/>
          <w:highlight w:val="none"/>
        </w:rPr>
        <w:t>根据《关于在政府采购活动中查询及使用信用记录有关问题的通知》(财库[2016]125号)和豫财购【2016】15号的规定，对列入“信用中国”网站（www.creditchina.gov.cn）的“失信被执行人”、“重大税收违法案件当事人名单（重大税收违法失信主体）”和“中国政府采购”网站(www.ccgp.gov.cn)的“政府采购严重违法失信行为记录名单”的供应商和法定代表人，将拒绝其参加政府采购活动；在标书中附加盖公章的网页查询扫描件，查询日期为公告发布之日起至投标截止之日止。</w:t>
      </w:r>
    </w:p>
    <w:p>
      <w:pPr>
        <w:spacing w:line="360" w:lineRule="auto"/>
        <w:ind w:firstLine="54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3.2</w:t>
      </w:r>
      <w:r>
        <w:rPr>
          <w:rFonts w:hint="eastAsia" w:ascii="宋体" w:hAnsi="宋体" w:eastAsia="宋体" w:cs="宋体"/>
          <w:color w:val="auto"/>
          <w:sz w:val="24"/>
          <w:highlight w:val="none"/>
        </w:rPr>
        <w:t>供应商</w:t>
      </w:r>
      <w:r>
        <w:rPr>
          <w:rFonts w:hint="eastAsia" w:ascii="宋体" w:hAnsi="宋体" w:eastAsia="宋体" w:cs="宋体"/>
          <w:bCs/>
          <w:color w:val="auto"/>
          <w:kern w:val="2"/>
          <w:sz w:val="24"/>
          <w:szCs w:val="24"/>
          <w:highlight w:val="none"/>
          <w:lang w:val="en-US" w:eastAsia="zh-CN" w:bidi="ar-SA"/>
        </w:rPr>
        <w:t>为经销商时应具有《医疗器械经营许可证》；当</w:t>
      </w:r>
      <w:r>
        <w:rPr>
          <w:rFonts w:hint="eastAsia" w:ascii="宋体" w:hAnsi="宋体" w:eastAsia="宋体" w:cs="宋体"/>
          <w:color w:val="auto"/>
          <w:sz w:val="24"/>
          <w:highlight w:val="none"/>
        </w:rPr>
        <w:t>供应商</w:t>
      </w:r>
      <w:r>
        <w:rPr>
          <w:rFonts w:hint="eastAsia" w:ascii="宋体" w:hAnsi="宋体" w:eastAsia="宋体" w:cs="宋体"/>
          <w:bCs/>
          <w:color w:val="auto"/>
          <w:kern w:val="2"/>
          <w:sz w:val="24"/>
          <w:szCs w:val="24"/>
          <w:highlight w:val="none"/>
          <w:lang w:val="en-US" w:eastAsia="zh-CN" w:bidi="ar-SA"/>
        </w:rPr>
        <w:t>为生产厂家时，需具有《医疗器械生产许可证》；</w:t>
      </w:r>
      <w:r>
        <w:rPr>
          <w:rFonts w:hint="eastAsia" w:ascii="宋体" w:hAnsi="宋体" w:cs="宋体"/>
          <w:color w:val="auto"/>
          <w:sz w:val="24"/>
          <w:szCs w:val="24"/>
          <w:highlight w:val="none"/>
        </w:rPr>
        <w:t>投标产品须具有有效期内的医疗器械注册证。</w:t>
      </w:r>
    </w:p>
    <w:p>
      <w:pPr>
        <w:pStyle w:val="2"/>
        <w:ind w:firstLine="240"/>
        <w:rPr>
          <w:rFonts w:eastAsia="Times New Roman"/>
          <w:color w:val="auto"/>
          <w:sz w:val="24"/>
          <w:highlight w:val="none"/>
        </w:rPr>
      </w:pPr>
      <w:r>
        <w:rPr>
          <w:rFonts w:ascii="宋体" w:hAnsi="宋体" w:cs="宋体"/>
          <w:color w:val="auto"/>
          <w:sz w:val="24"/>
          <w:highlight w:val="none"/>
        </w:rPr>
        <w:t>三、获取采购文件</w:t>
      </w:r>
    </w:p>
    <w:p>
      <w:pPr>
        <w:spacing w:line="360" w:lineRule="auto"/>
        <w:ind w:firstLine="480"/>
        <w:rPr>
          <w:rFonts w:ascii="宋体" w:hAnsi="宋体" w:cs="宋体"/>
          <w:color w:val="auto"/>
          <w:sz w:val="24"/>
          <w:highlight w:val="none"/>
        </w:rPr>
      </w:pPr>
      <w:r>
        <w:rPr>
          <w:rFonts w:ascii="宋体" w:hAnsi="宋体" w:cs="宋体"/>
          <w:color w:val="auto"/>
          <w:sz w:val="24"/>
          <w:highlight w:val="none"/>
        </w:rPr>
        <w:t>时间：</w:t>
      </w:r>
      <w:r>
        <w:rPr>
          <w:rFonts w:hint="eastAsia" w:ascii="宋体" w:hAnsi="宋体" w:cs="宋体"/>
          <w:color w:val="auto"/>
          <w:sz w:val="24"/>
          <w:highlight w:val="none"/>
          <w:lang w:val="en-US" w:eastAsia="zh-CN"/>
        </w:rPr>
        <w:t>2024</w:t>
      </w:r>
      <w:r>
        <w:rPr>
          <w:rFonts w:ascii="宋体" w:hAnsi="宋体" w:cs="宋体"/>
          <w:color w:val="auto"/>
          <w:sz w:val="24"/>
          <w:highlight w:val="none"/>
        </w:rPr>
        <w:t>年</w:t>
      </w:r>
      <w:r>
        <w:rPr>
          <w:rFonts w:hint="eastAsia" w:ascii="宋体" w:hAnsi="宋体" w:cs="宋体"/>
          <w:color w:val="auto"/>
          <w:sz w:val="24"/>
          <w:highlight w:val="none"/>
          <w:lang w:val="en-US" w:eastAsia="zh-CN"/>
        </w:rPr>
        <w:t>07</w:t>
      </w:r>
      <w:r>
        <w:rPr>
          <w:rFonts w:ascii="宋体" w:hAnsi="宋体" w:cs="宋体"/>
          <w:color w:val="auto"/>
          <w:sz w:val="24"/>
          <w:highlight w:val="none"/>
        </w:rPr>
        <w:t>月</w:t>
      </w:r>
      <w:r>
        <w:rPr>
          <w:rFonts w:hint="eastAsia" w:ascii="宋体" w:hAnsi="宋体" w:cs="宋体"/>
          <w:color w:val="auto"/>
          <w:sz w:val="24"/>
          <w:highlight w:val="none"/>
          <w:lang w:val="en-US" w:eastAsia="zh-CN"/>
        </w:rPr>
        <w:t>03</w:t>
      </w:r>
      <w:r>
        <w:rPr>
          <w:rFonts w:ascii="宋体" w:hAnsi="宋体" w:cs="宋体"/>
          <w:color w:val="auto"/>
          <w:sz w:val="24"/>
          <w:highlight w:val="none"/>
        </w:rPr>
        <w:t>日</w:t>
      </w:r>
      <w:r>
        <w:rPr>
          <w:rFonts w:ascii="宋体" w:hAnsi="宋体" w:cs="宋体"/>
          <w:color w:val="auto"/>
          <w:sz w:val="24"/>
          <w:highlight w:val="none"/>
        </w:rPr>
        <w:t>至</w:t>
      </w:r>
      <w:r>
        <w:rPr>
          <w:rFonts w:hint="eastAsia" w:ascii="宋体" w:hAnsi="宋体" w:cs="宋体"/>
          <w:color w:val="auto"/>
          <w:sz w:val="24"/>
          <w:highlight w:val="none"/>
          <w:lang w:val="en-US" w:eastAsia="zh-CN"/>
        </w:rPr>
        <w:t>2024</w:t>
      </w:r>
      <w:r>
        <w:rPr>
          <w:rFonts w:ascii="宋体" w:hAnsi="宋体" w:cs="宋体"/>
          <w:color w:val="auto"/>
          <w:sz w:val="24"/>
          <w:highlight w:val="none"/>
        </w:rPr>
        <w:t>年</w:t>
      </w:r>
      <w:r>
        <w:rPr>
          <w:rFonts w:hint="eastAsia" w:ascii="宋体" w:hAnsi="宋体" w:cs="宋体"/>
          <w:color w:val="auto"/>
          <w:sz w:val="24"/>
          <w:highlight w:val="none"/>
          <w:lang w:val="en-US" w:eastAsia="zh-CN"/>
        </w:rPr>
        <w:t>07</w:t>
      </w:r>
      <w:r>
        <w:rPr>
          <w:rFonts w:ascii="宋体" w:hAnsi="宋体" w:cs="宋体"/>
          <w:color w:val="auto"/>
          <w:sz w:val="24"/>
          <w:highlight w:val="none"/>
        </w:rPr>
        <w:t>月</w:t>
      </w:r>
      <w:r>
        <w:rPr>
          <w:rFonts w:hint="eastAsia" w:ascii="宋体" w:hAnsi="宋体" w:cs="宋体"/>
          <w:color w:val="auto"/>
          <w:sz w:val="24"/>
          <w:highlight w:val="none"/>
          <w:lang w:val="en-US" w:eastAsia="zh-CN"/>
        </w:rPr>
        <w:t>10</w:t>
      </w:r>
      <w:r>
        <w:rPr>
          <w:rFonts w:ascii="宋体" w:hAnsi="宋体" w:cs="宋体"/>
          <w:color w:val="auto"/>
          <w:sz w:val="24"/>
          <w:highlight w:val="none"/>
        </w:rPr>
        <w:t>日</w:t>
      </w:r>
      <w:r>
        <w:rPr>
          <w:rFonts w:hint="eastAsia" w:ascii="宋体" w:hAnsi="宋体" w:cs="宋体"/>
          <w:color w:val="auto"/>
          <w:sz w:val="24"/>
          <w:highlight w:val="none"/>
          <w:lang w:val="en-US" w:eastAsia="zh-CN"/>
        </w:rPr>
        <w:t>23:59</w:t>
      </w:r>
      <w:r>
        <w:rPr>
          <w:rFonts w:ascii="宋体" w:hAnsi="宋体" w:cs="宋体"/>
          <w:color w:val="auto"/>
          <w:sz w:val="24"/>
          <w:highlight w:val="none"/>
        </w:rPr>
        <w:t xml:space="preserve">（北京时间，法定节假日除外 </w:t>
      </w:r>
      <w:r>
        <w:rPr>
          <w:rFonts w:ascii="宋体" w:hAnsi="宋体" w:cs="宋体"/>
          <w:color w:val="auto"/>
          <w:sz w:val="24"/>
          <w:highlight w:val="none"/>
        </w:rPr>
        <w:t>）</w:t>
      </w:r>
    </w:p>
    <w:p>
      <w:pPr>
        <w:spacing w:line="360" w:lineRule="auto"/>
        <w:ind w:firstLine="480"/>
        <w:rPr>
          <w:rFonts w:ascii="宋体" w:hAnsi="宋体" w:cs="宋体"/>
          <w:color w:val="auto"/>
          <w:sz w:val="24"/>
          <w:highlight w:val="none"/>
        </w:rPr>
      </w:pPr>
      <w:r>
        <w:rPr>
          <w:rFonts w:ascii="宋体" w:hAnsi="宋体" w:cs="宋体"/>
          <w:color w:val="auto"/>
          <w:sz w:val="24"/>
          <w:highlight w:val="none"/>
        </w:rPr>
        <w:t>地点：周口市公共资源交易中心网（http://jyzx.zhoukou.gov.cn）</w:t>
      </w:r>
    </w:p>
    <w:p>
      <w:pPr>
        <w:spacing w:line="360" w:lineRule="auto"/>
        <w:ind w:firstLine="480"/>
        <w:rPr>
          <w:rFonts w:ascii="宋体" w:hAnsi="宋体" w:cs="宋体"/>
          <w:color w:val="auto"/>
          <w:sz w:val="24"/>
          <w:highlight w:val="none"/>
        </w:rPr>
      </w:pPr>
      <w:r>
        <w:rPr>
          <w:rFonts w:ascii="宋体" w:hAnsi="宋体" w:cs="宋体"/>
          <w:color w:val="auto"/>
          <w:sz w:val="24"/>
          <w:highlight w:val="none"/>
        </w:rPr>
        <w:t>方式：供应商请在网站自主注册后下载采购文件（zkzf格式）及资料，需办理CA数字证书后方可提交响应文件，具体办理事宜请查阅周口市公共资源交易中心网站。</w:t>
      </w:r>
    </w:p>
    <w:p>
      <w:pPr>
        <w:spacing w:line="360" w:lineRule="auto"/>
        <w:ind w:firstLine="540"/>
        <w:rPr>
          <w:rFonts w:eastAsia="Times New Roman"/>
          <w:color w:val="auto"/>
          <w:sz w:val="24"/>
          <w:highlight w:val="none"/>
        </w:rPr>
      </w:pPr>
      <w:r>
        <w:rPr>
          <w:rFonts w:ascii="宋体" w:hAnsi="宋体" w:cs="宋体"/>
          <w:color w:val="auto"/>
          <w:sz w:val="24"/>
          <w:highlight w:val="none"/>
        </w:rPr>
        <w:t>售价：</w:t>
      </w:r>
      <w:r>
        <w:rPr>
          <w:rFonts w:eastAsia="Times New Roman"/>
          <w:color w:val="auto"/>
          <w:sz w:val="24"/>
          <w:highlight w:val="none"/>
        </w:rPr>
        <w:t>0</w:t>
      </w:r>
    </w:p>
    <w:p>
      <w:pPr>
        <w:spacing w:line="360" w:lineRule="auto"/>
        <w:jc w:val="left"/>
        <w:rPr>
          <w:rFonts w:eastAsia="Times New Roman"/>
          <w:color w:val="auto"/>
          <w:sz w:val="24"/>
          <w:highlight w:val="none"/>
        </w:rPr>
      </w:pPr>
      <w:r>
        <w:rPr>
          <w:rFonts w:ascii="宋体" w:hAnsi="宋体" w:cs="宋体"/>
          <w:color w:val="auto"/>
          <w:sz w:val="24"/>
          <w:highlight w:val="none"/>
        </w:rPr>
        <w:t>四、响应文件提交</w:t>
      </w:r>
    </w:p>
    <w:p>
      <w:pPr>
        <w:spacing w:line="360" w:lineRule="auto"/>
        <w:ind w:firstLine="480"/>
        <w:rPr>
          <w:rFonts w:eastAsia="Times New Roman"/>
          <w:color w:val="auto"/>
          <w:sz w:val="24"/>
          <w:highlight w:val="none"/>
          <w:u w:val="single"/>
        </w:rPr>
      </w:pPr>
      <w:r>
        <w:rPr>
          <w:rFonts w:ascii="宋体" w:hAnsi="宋体" w:cs="宋体"/>
          <w:color w:val="auto"/>
          <w:sz w:val="24"/>
          <w:highlight w:val="none"/>
        </w:rPr>
        <w:t>截止时间：</w:t>
      </w:r>
      <w:r>
        <w:rPr>
          <w:rFonts w:hint="eastAsia" w:ascii="宋体" w:hAnsi="宋体" w:cs="宋体"/>
          <w:color w:val="auto"/>
          <w:sz w:val="24"/>
          <w:highlight w:val="none"/>
          <w:lang w:val="en-US" w:eastAsia="zh-CN"/>
        </w:rPr>
        <w:t>2024</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07</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15日10</w:t>
      </w:r>
      <w:r>
        <w:rPr>
          <w:rFonts w:hint="eastAsia" w:ascii="宋体" w:hAnsi="宋体" w:cs="宋体"/>
          <w:color w:val="auto"/>
          <w:sz w:val="24"/>
          <w:highlight w:val="none"/>
          <w:lang w:eastAsia="zh-CN"/>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lang w:eastAsia="zh-CN"/>
        </w:rPr>
        <w:t>分</w:t>
      </w:r>
      <w:r>
        <w:rPr>
          <w:rFonts w:ascii="宋体" w:hAnsi="宋体" w:cs="宋体"/>
          <w:color w:val="auto"/>
          <w:sz w:val="24"/>
          <w:highlight w:val="none"/>
        </w:rPr>
        <w:t>（北京时间）</w:t>
      </w:r>
    </w:p>
    <w:p>
      <w:pPr>
        <w:spacing w:line="360" w:lineRule="auto"/>
        <w:ind w:firstLine="480"/>
        <w:rPr>
          <w:rFonts w:eastAsia="Times New Roman"/>
          <w:color w:val="auto"/>
          <w:sz w:val="24"/>
          <w:highlight w:val="none"/>
          <w:u w:val="single"/>
        </w:rPr>
      </w:pPr>
      <w:r>
        <w:rPr>
          <w:rFonts w:ascii="宋体" w:hAnsi="宋体" w:cs="宋体"/>
          <w:color w:val="auto"/>
          <w:sz w:val="24"/>
          <w:highlight w:val="none"/>
        </w:rPr>
        <w:t>地点：加密电子响应文件须在投标截止时间前通过</w:t>
      </w:r>
      <w:r>
        <w:rPr>
          <w:rFonts w:ascii="宋体" w:hAnsi="宋体" w:cs="宋体"/>
          <w:color w:val="auto"/>
          <w:spacing w:val="-6"/>
          <w:sz w:val="24"/>
          <w:highlight w:val="none"/>
        </w:rPr>
        <w:t>周口市公共资源交易中心网</w:t>
      </w:r>
      <w:r>
        <w:rPr>
          <w:rFonts w:ascii="宋体" w:hAnsi="宋体" w:cs="宋体"/>
          <w:color w:val="auto"/>
          <w:sz w:val="24"/>
          <w:highlight w:val="none"/>
        </w:rPr>
        <w:t>（网址</w:t>
      </w:r>
      <w:r>
        <w:rPr>
          <w:color w:val="auto"/>
          <w:highlight w:val="none"/>
        </w:rPr>
        <w:fldChar w:fldCharType="begin"/>
      </w:r>
      <w:r>
        <w:rPr>
          <w:color w:val="auto"/>
          <w:highlight w:val="none"/>
        </w:rPr>
        <w:instrText xml:space="preserve"> HYPERLINK "http://jyzx.zhoukou.gov.cn/" \h </w:instrText>
      </w:r>
      <w:r>
        <w:rPr>
          <w:color w:val="auto"/>
          <w:highlight w:val="none"/>
        </w:rPr>
        <w:fldChar w:fldCharType="separate"/>
      </w:r>
      <w:r>
        <w:rPr>
          <w:rFonts w:eastAsia="Times New Roman"/>
          <w:color w:val="auto"/>
          <w:sz w:val="24"/>
          <w:highlight w:val="none"/>
          <w:u w:val="single"/>
        </w:rPr>
        <w:t>http://jyzx.zhoukou.gov.cn</w:t>
      </w:r>
      <w:r>
        <w:rPr>
          <w:rFonts w:eastAsia="Times New Roman"/>
          <w:color w:val="auto"/>
          <w:sz w:val="24"/>
          <w:highlight w:val="none"/>
          <w:u w:val="single"/>
        </w:rPr>
        <w:fldChar w:fldCharType="end"/>
      </w:r>
      <w:r>
        <w:rPr>
          <w:rFonts w:ascii="宋体" w:hAnsi="宋体" w:cs="宋体"/>
          <w:color w:val="auto"/>
          <w:sz w:val="24"/>
          <w:highlight w:val="none"/>
        </w:rPr>
        <w:t>）。</w:t>
      </w:r>
    </w:p>
    <w:p>
      <w:pPr>
        <w:spacing w:line="360" w:lineRule="auto"/>
        <w:jc w:val="left"/>
        <w:rPr>
          <w:rFonts w:eastAsia="Times New Roman"/>
          <w:color w:val="auto"/>
          <w:sz w:val="24"/>
          <w:highlight w:val="none"/>
        </w:rPr>
      </w:pPr>
      <w:r>
        <w:rPr>
          <w:rFonts w:ascii="宋体" w:hAnsi="宋体" w:cs="宋体"/>
          <w:color w:val="auto"/>
          <w:sz w:val="24"/>
          <w:highlight w:val="none"/>
        </w:rPr>
        <w:t>五、开启（竞争性磋商方式必须填写）</w:t>
      </w:r>
    </w:p>
    <w:p>
      <w:pPr>
        <w:spacing w:line="360" w:lineRule="auto"/>
        <w:ind w:firstLine="480"/>
        <w:rPr>
          <w:rFonts w:eastAsia="Times New Roman"/>
          <w:color w:val="auto"/>
          <w:sz w:val="24"/>
          <w:highlight w:val="none"/>
          <w:u w:val="single"/>
        </w:rPr>
      </w:pPr>
      <w:r>
        <w:rPr>
          <w:rFonts w:ascii="宋体" w:hAnsi="宋体" w:cs="宋体"/>
          <w:color w:val="auto"/>
          <w:sz w:val="24"/>
          <w:highlight w:val="none"/>
        </w:rPr>
        <w:t>时间：</w:t>
      </w:r>
      <w:r>
        <w:rPr>
          <w:rFonts w:hint="eastAsia" w:ascii="宋体" w:hAnsi="宋体" w:cs="宋体"/>
          <w:color w:val="auto"/>
          <w:sz w:val="24"/>
          <w:highlight w:val="none"/>
          <w:lang w:val="en-US" w:eastAsia="zh-CN"/>
        </w:rPr>
        <w:t>2024</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07</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15日10</w:t>
      </w:r>
      <w:r>
        <w:rPr>
          <w:rFonts w:hint="eastAsia" w:ascii="宋体" w:hAnsi="宋体" w:cs="宋体"/>
          <w:color w:val="auto"/>
          <w:sz w:val="24"/>
          <w:highlight w:val="none"/>
          <w:lang w:eastAsia="zh-CN"/>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lang w:eastAsia="zh-CN"/>
        </w:rPr>
        <w:t>分</w:t>
      </w:r>
      <w:r>
        <w:rPr>
          <w:rFonts w:ascii="宋体" w:hAnsi="宋体" w:cs="宋体"/>
          <w:color w:val="auto"/>
          <w:sz w:val="24"/>
          <w:highlight w:val="none"/>
        </w:rPr>
        <w:t>（北京时间）</w:t>
      </w:r>
    </w:p>
    <w:p>
      <w:pPr>
        <w:spacing w:line="360" w:lineRule="auto"/>
        <w:ind w:firstLine="480"/>
        <w:jc w:val="left"/>
        <w:rPr>
          <w:rFonts w:eastAsia="Times New Roman"/>
          <w:color w:val="auto"/>
          <w:sz w:val="24"/>
          <w:highlight w:val="none"/>
          <w:u w:val="single"/>
        </w:rPr>
      </w:pPr>
      <w:r>
        <w:rPr>
          <w:rFonts w:ascii="宋体" w:hAnsi="宋体" w:cs="宋体"/>
          <w:color w:val="auto"/>
          <w:sz w:val="24"/>
          <w:highlight w:val="none"/>
        </w:rPr>
        <w:t>地点：周口市公共资源交易中心开标室</w:t>
      </w:r>
    </w:p>
    <w:p>
      <w:pPr>
        <w:spacing w:line="360" w:lineRule="auto"/>
        <w:jc w:val="left"/>
        <w:rPr>
          <w:rFonts w:eastAsia="Times New Roman"/>
          <w:color w:val="auto"/>
          <w:sz w:val="24"/>
          <w:highlight w:val="none"/>
        </w:rPr>
      </w:pPr>
      <w:r>
        <w:rPr>
          <w:rFonts w:ascii="宋体" w:hAnsi="宋体" w:cs="宋体"/>
          <w:color w:val="auto"/>
          <w:sz w:val="24"/>
          <w:highlight w:val="none"/>
        </w:rPr>
        <w:t>六、公告期限</w:t>
      </w:r>
    </w:p>
    <w:p>
      <w:pPr>
        <w:spacing w:line="360" w:lineRule="auto"/>
        <w:ind w:firstLine="480"/>
        <w:rPr>
          <w:rFonts w:eastAsia="Times New Roman"/>
          <w:color w:val="auto"/>
          <w:sz w:val="24"/>
          <w:highlight w:val="none"/>
        </w:rPr>
      </w:pPr>
      <w:r>
        <w:rPr>
          <w:rFonts w:ascii="宋体" w:hAnsi="宋体" w:cs="宋体"/>
          <w:color w:val="auto"/>
          <w:sz w:val="24"/>
          <w:highlight w:val="none"/>
        </w:rPr>
        <w:t>自本公告发布之日起</w:t>
      </w:r>
      <w:r>
        <w:rPr>
          <w:rFonts w:hint="eastAsia"/>
          <w:color w:val="auto"/>
          <w:sz w:val="24"/>
          <w:highlight w:val="none"/>
        </w:rPr>
        <w:t>5</w:t>
      </w:r>
      <w:r>
        <w:rPr>
          <w:rFonts w:ascii="宋体" w:hAnsi="宋体" w:cs="宋体"/>
          <w:color w:val="auto"/>
          <w:sz w:val="24"/>
          <w:highlight w:val="none"/>
        </w:rPr>
        <w:t>个工作日。</w:t>
      </w:r>
    </w:p>
    <w:p>
      <w:pPr>
        <w:spacing w:line="360" w:lineRule="auto"/>
        <w:jc w:val="left"/>
        <w:rPr>
          <w:rFonts w:eastAsia="Times New Roman"/>
          <w:color w:val="auto"/>
          <w:sz w:val="24"/>
          <w:highlight w:val="none"/>
        </w:rPr>
      </w:pPr>
      <w:r>
        <w:rPr>
          <w:rFonts w:ascii="宋体" w:hAnsi="宋体" w:cs="宋体"/>
          <w:color w:val="auto"/>
          <w:sz w:val="24"/>
          <w:highlight w:val="none"/>
        </w:rPr>
        <w:t>七、其他补充事宜</w:t>
      </w:r>
    </w:p>
    <w:p>
      <w:pPr>
        <w:spacing w:line="360" w:lineRule="auto"/>
        <w:jc w:val="left"/>
        <w:rPr>
          <w:rFonts w:eastAsia="Times New Roman"/>
          <w:color w:val="auto"/>
          <w:sz w:val="24"/>
          <w:highlight w:val="none"/>
        </w:rPr>
      </w:pPr>
      <w:r>
        <w:rPr>
          <w:rFonts w:ascii="宋体" w:hAnsi="宋体" w:cs="宋体"/>
          <w:color w:val="auto"/>
          <w:sz w:val="24"/>
          <w:highlight w:val="none"/>
        </w:rPr>
        <w:t>八、凡对本次采购提出询问，请按以下方式联系。</w:t>
      </w:r>
    </w:p>
    <w:p>
      <w:pPr>
        <w:spacing w:line="360" w:lineRule="auto"/>
        <w:ind w:firstLine="480"/>
        <w:jc w:val="left"/>
        <w:rPr>
          <w:rFonts w:ascii="宋体" w:hAnsi="宋体" w:cs="宋体"/>
          <w:color w:val="auto"/>
          <w:sz w:val="24"/>
          <w:highlight w:val="none"/>
        </w:rPr>
      </w:pPr>
      <w:r>
        <w:rPr>
          <w:rFonts w:ascii="宋体" w:hAnsi="宋体" w:cs="宋体"/>
          <w:color w:val="auto"/>
          <w:sz w:val="24"/>
          <w:highlight w:val="none"/>
        </w:rPr>
        <w:t>1.采购人信息</w:t>
      </w:r>
    </w:p>
    <w:p>
      <w:pPr>
        <w:spacing w:line="360" w:lineRule="auto"/>
        <w:ind w:firstLine="480"/>
        <w:jc w:val="left"/>
        <w:rPr>
          <w:rFonts w:hint="eastAsia" w:ascii="宋体" w:hAnsi="宋体" w:eastAsia="宋体" w:cs="宋体"/>
          <w:color w:val="auto"/>
          <w:sz w:val="24"/>
          <w:highlight w:val="none"/>
          <w:lang w:eastAsia="zh-CN"/>
        </w:rPr>
      </w:pPr>
      <w:r>
        <w:rPr>
          <w:rFonts w:ascii="宋体" w:hAnsi="宋体" w:cs="宋体"/>
          <w:color w:val="auto"/>
          <w:sz w:val="24"/>
          <w:highlight w:val="none"/>
        </w:rPr>
        <w:t>名 称：</w:t>
      </w:r>
      <w:r>
        <w:rPr>
          <w:rFonts w:hint="eastAsia" w:ascii="宋体" w:hAnsi="宋体" w:cs="宋体"/>
          <w:color w:val="auto"/>
          <w:sz w:val="24"/>
          <w:highlight w:val="none"/>
          <w:lang w:eastAsia="zh-CN"/>
        </w:rPr>
        <w:t>周口市淮阳区朱集乡卫生院</w:t>
      </w:r>
    </w:p>
    <w:p>
      <w:pPr>
        <w:spacing w:line="360" w:lineRule="auto"/>
        <w:ind w:firstLine="480"/>
        <w:jc w:val="left"/>
        <w:rPr>
          <w:rFonts w:ascii="宋体" w:hAnsi="宋体" w:cs="宋体"/>
          <w:color w:val="auto"/>
          <w:sz w:val="24"/>
          <w:highlight w:val="none"/>
        </w:rPr>
      </w:pPr>
      <w:r>
        <w:rPr>
          <w:rFonts w:ascii="宋体" w:hAnsi="宋体" w:cs="宋体"/>
          <w:color w:val="auto"/>
          <w:sz w:val="24"/>
          <w:highlight w:val="none"/>
        </w:rPr>
        <w:t>地址：</w:t>
      </w:r>
      <w:r>
        <w:rPr>
          <w:rFonts w:hint="eastAsia" w:ascii="宋体" w:hAnsi="宋体" w:cs="宋体"/>
          <w:color w:val="auto"/>
          <w:sz w:val="24"/>
          <w:highlight w:val="none"/>
        </w:rPr>
        <w:t>河南省</w:t>
      </w:r>
      <w:r>
        <w:rPr>
          <w:rFonts w:hint="eastAsia" w:ascii="宋体" w:hAnsi="宋体" w:cs="宋体"/>
          <w:color w:val="auto"/>
          <w:sz w:val="24"/>
          <w:highlight w:val="none"/>
          <w:lang w:eastAsia="zh-CN"/>
        </w:rPr>
        <w:t>周口市淮阳区</w:t>
      </w:r>
    </w:p>
    <w:p>
      <w:pPr>
        <w:spacing w:line="360" w:lineRule="auto"/>
        <w:ind w:firstLine="480"/>
        <w:jc w:val="left"/>
        <w:rPr>
          <w:rFonts w:ascii="宋体" w:hAnsi="宋体" w:cs="宋体"/>
          <w:color w:val="auto"/>
          <w:sz w:val="24"/>
          <w:highlight w:val="none"/>
        </w:rPr>
      </w:pPr>
      <w:r>
        <w:rPr>
          <w:rFonts w:ascii="宋体" w:hAnsi="宋体" w:cs="宋体"/>
          <w:color w:val="auto"/>
          <w:sz w:val="24"/>
          <w:highlight w:val="none"/>
        </w:rPr>
        <w:t>项目联系人：</w:t>
      </w:r>
      <w:r>
        <w:rPr>
          <w:rFonts w:hint="eastAsia" w:ascii="宋体" w:hAnsi="宋体" w:cs="宋体"/>
          <w:color w:val="auto"/>
          <w:sz w:val="24"/>
          <w:highlight w:val="none"/>
          <w:lang w:val="en-US" w:eastAsia="zh-CN"/>
        </w:rPr>
        <w:t>苑飞宇</w:t>
      </w:r>
      <w:r>
        <w:rPr>
          <w:rFonts w:ascii="宋体" w:hAnsi="宋体" w:cs="宋体"/>
          <w:color w:val="auto"/>
          <w:sz w:val="24"/>
          <w:highlight w:val="none"/>
        </w:rPr>
        <w:t xml:space="preserve">     联系方式：</w:t>
      </w:r>
      <w:r>
        <w:rPr>
          <w:rFonts w:hint="eastAsia" w:ascii="宋体" w:hAnsi="宋体" w:cs="宋体"/>
          <w:color w:val="auto"/>
          <w:sz w:val="24"/>
          <w:highlight w:val="none"/>
          <w:lang w:val="en-US" w:eastAsia="zh-CN"/>
        </w:rPr>
        <w:t>13592239157</w:t>
      </w:r>
    </w:p>
    <w:p>
      <w:pPr>
        <w:spacing w:line="360" w:lineRule="auto"/>
        <w:ind w:firstLine="480"/>
        <w:jc w:val="left"/>
        <w:rPr>
          <w:rFonts w:ascii="宋体" w:hAnsi="宋体" w:cs="宋体"/>
          <w:color w:val="auto"/>
          <w:sz w:val="24"/>
          <w:highlight w:val="none"/>
        </w:rPr>
      </w:pPr>
      <w:r>
        <w:rPr>
          <w:rFonts w:ascii="宋体" w:hAnsi="宋体" w:cs="宋体"/>
          <w:color w:val="auto"/>
          <w:sz w:val="24"/>
          <w:highlight w:val="none"/>
        </w:rPr>
        <w:t>2.采购代理机构信息</w:t>
      </w:r>
    </w:p>
    <w:p>
      <w:pPr>
        <w:spacing w:line="360" w:lineRule="auto"/>
        <w:ind w:firstLine="480"/>
        <w:jc w:val="left"/>
        <w:rPr>
          <w:rFonts w:ascii="宋体" w:hAnsi="宋体" w:eastAsia="宋体" w:cs="宋体"/>
          <w:color w:val="auto"/>
          <w:sz w:val="24"/>
          <w:highlight w:val="none"/>
        </w:rPr>
      </w:pPr>
      <w:r>
        <w:rPr>
          <w:rFonts w:ascii="宋体" w:hAnsi="宋体" w:eastAsia="宋体" w:cs="宋体"/>
          <w:color w:val="auto"/>
          <w:sz w:val="24"/>
          <w:highlight w:val="none"/>
        </w:rPr>
        <w:t>名 称：周口市公共资源交易中心政府采购中心</w:t>
      </w:r>
    </w:p>
    <w:p>
      <w:pPr>
        <w:spacing w:line="360" w:lineRule="auto"/>
        <w:ind w:firstLine="480"/>
        <w:jc w:val="left"/>
        <w:rPr>
          <w:rFonts w:ascii="宋体" w:hAnsi="宋体" w:eastAsia="宋体" w:cs="宋体"/>
          <w:color w:val="auto"/>
          <w:sz w:val="24"/>
          <w:highlight w:val="none"/>
        </w:rPr>
      </w:pPr>
      <w:r>
        <w:rPr>
          <w:rFonts w:ascii="宋体" w:hAnsi="宋体" w:eastAsia="宋体" w:cs="宋体"/>
          <w:color w:val="auto"/>
          <w:sz w:val="24"/>
          <w:highlight w:val="none"/>
        </w:rPr>
        <w:t>地　址：周口市光明路与政通路交叉口向北100米路东</w:t>
      </w:r>
    </w:p>
    <w:p>
      <w:pPr>
        <w:spacing w:line="360" w:lineRule="auto"/>
        <w:ind w:firstLine="480"/>
        <w:jc w:val="left"/>
        <w:rPr>
          <w:rFonts w:ascii="宋体" w:hAnsi="宋体" w:eastAsia="宋体" w:cs="宋体"/>
          <w:color w:val="auto"/>
          <w:sz w:val="24"/>
          <w:highlight w:val="none"/>
        </w:rPr>
      </w:pPr>
      <w:r>
        <w:rPr>
          <w:rFonts w:ascii="宋体" w:hAnsi="宋体" w:eastAsia="宋体" w:cs="宋体"/>
          <w:color w:val="auto"/>
          <w:sz w:val="24"/>
          <w:highlight w:val="none"/>
        </w:rPr>
        <w:t>项目联系人：</w:t>
      </w:r>
      <w:r>
        <w:rPr>
          <w:rFonts w:hint="eastAsia" w:ascii="宋体" w:hAnsi="宋体" w:cs="宋体"/>
          <w:color w:val="auto"/>
          <w:sz w:val="24"/>
          <w:highlight w:val="none"/>
          <w:lang w:val="en-US" w:eastAsia="zh-CN"/>
        </w:rPr>
        <w:t xml:space="preserve">张光    </w:t>
      </w:r>
      <w:r>
        <w:rPr>
          <w:rFonts w:ascii="宋体" w:hAnsi="宋体" w:eastAsia="宋体" w:cs="宋体"/>
          <w:color w:val="auto"/>
          <w:sz w:val="24"/>
          <w:highlight w:val="none"/>
        </w:rPr>
        <w:t xml:space="preserve"> 联系方式：</w:t>
      </w:r>
      <w:r>
        <w:rPr>
          <w:rFonts w:hint="eastAsia" w:ascii="宋体" w:hAnsi="宋体" w:cs="宋体"/>
          <w:color w:val="auto"/>
          <w:sz w:val="24"/>
          <w:highlight w:val="none"/>
          <w:lang w:val="en-US" w:eastAsia="zh-CN"/>
        </w:rPr>
        <w:t>0394-8106517</w:t>
      </w:r>
      <w:r>
        <w:rPr>
          <w:rFonts w:hint="eastAsia" w:ascii="宋体" w:hAnsi="宋体" w:eastAsia="宋体" w:cs="宋体"/>
          <w:color w:val="auto"/>
          <w:sz w:val="24"/>
          <w:highlight w:val="none"/>
          <w:lang w:val="en-US" w:eastAsia="zh-CN"/>
        </w:rPr>
        <w:t xml:space="preserve"> </w:t>
      </w:r>
      <w:r>
        <w:rPr>
          <w:rFonts w:ascii="宋体" w:hAnsi="宋体" w:eastAsia="宋体" w:cs="宋体"/>
          <w:color w:val="auto"/>
          <w:sz w:val="24"/>
          <w:highlight w:val="none"/>
        </w:rPr>
        <w:t>　　　　　　　</w:t>
      </w:r>
    </w:p>
    <w:p>
      <w:pPr>
        <w:spacing w:line="360" w:lineRule="auto"/>
        <w:ind w:firstLine="480"/>
        <w:jc w:val="left"/>
        <w:rPr>
          <w:rFonts w:hint="default" w:ascii="宋体" w:hAnsi="宋体" w:eastAsia="宋体" w:cs="宋体"/>
          <w:color w:val="auto"/>
          <w:sz w:val="24"/>
          <w:highlight w:val="none"/>
          <w:lang w:val="en-US" w:eastAsia="zh-CN"/>
        </w:rPr>
      </w:pPr>
      <w:r>
        <w:rPr>
          <w:rFonts w:ascii="宋体" w:hAnsi="宋体" w:eastAsia="宋体" w:cs="宋体"/>
          <w:color w:val="auto"/>
          <w:sz w:val="24"/>
          <w:highlight w:val="none"/>
        </w:rPr>
        <w:t>3.</w:t>
      </w:r>
      <w:r>
        <w:rPr>
          <w:rFonts w:hint="eastAsia" w:ascii="宋体" w:hAnsi="宋体" w:eastAsia="宋体" w:cs="宋体"/>
          <w:color w:val="auto"/>
          <w:sz w:val="24"/>
          <w:highlight w:val="none"/>
          <w:lang w:val="en-US"/>
        </w:rPr>
        <w:t>监督单位：</w:t>
      </w:r>
      <w:r>
        <w:rPr>
          <w:rFonts w:hint="eastAsia" w:ascii="宋体" w:hAnsi="宋体" w:eastAsia="宋体" w:cs="宋体"/>
          <w:color w:val="auto"/>
          <w:sz w:val="24"/>
          <w:highlight w:val="none"/>
          <w:lang w:val="en-US" w:eastAsia="zh-CN"/>
        </w:rPr>
        <w:t>周口市淮阳区财政局</w:t>
      </w:r>
    </w:p>
    <w:p>
      <w:pPr>
        <w:spacing w:line="360" w:lineRule="auto"/>
        <w:ind w:firstLine="48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rPr>
        <w:t>联系方式：0394</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val="en-US"/>
        </w:rPr>
        <w:t>2667059</w:t>
      </w:r>
      <w:r>
        <w:rPr>
          <w:rFonts w:hint="eastAsia" w:ascii="宋体" w:hAnsi="宋体" w:eastAsia="宋体" w:cs="宋体"/>
          <w:color w:val="auto"/>
          <w:sz w:val="24"/>
          <w:highlight w:val="none"/>
          <w:lang w:val="en-US" w:eastAsia="zh-CN"/>
        </w:rPr>
        <w:t xml:space="preserve"> </w:t>
      </w:r>
    </w:p>
    <w:p>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 xml:space="preserve"> </w:t>
      </w:r>
    </w:p>
    <w:p>
      <w:pPr>
        <w:ind w:firstLine="420"/>
        <w:jc w:val="left"/>
        <w:rPr>
          <w:rFonts w:eastAsia="Times New Roman"/>
          <w:color w:val="auto"/>
          <w:sz w:val="22"/>
          <w:highlight w:val="none"/>
        </w:rPr>
      </w:pPr>
    </w:p>
    <w:p>
      <w:pPr>
        <w:spacing w:after="120" w:line="360" w:lineRule="auto"/>
        <w:ind w:firstLine="2040"/>
        <w:rPr>
          <w:rFonts w:ascii="宋体" w:hAnsi="宋体" w:cs="宋体"/>
          <w:color w:val="auto"/>
          <w:sz w:val="24"/>
          <w:highlight w:val="none"/>
        </w:rPr>
      </w:pPr>
      <w:r>
        <w:rPr>
          <w:rFonts w:ascii="宋体" w:hAnsi="宋体" w:cs="宋体"/>
          <w:color w:val="auto"/>
          <w:sz w:val="24"/>
          <w:highlight w:val="none"/>
        </w:rPr>
        <w:t>周口市公共资源交易中心政府采购中心</w:t>
      </w:r>
    </w:p>
    <w:p>
      <w:pPr>
        <w:pStyle w:val="25"/>
        <w:shd w:val="clear" w:color="auto" w:fill="FFFFFF"/>
        <w:adjustRightInd w:val="0"/>
        <w:snapToGrid w:val="0"/>
        <w:spacing w:before="0" w:beforeAutospacing="0" w:after="0" w:afterAutospacing="0" w:line="360" w:lineRule="auto"/>
        <w:ind w:firstLine="4080" w:firstLineChars="1700"/>
        <w:rPr>
          <w:rFonts w:cs="宋体"/>
          <w:color w:val="auto"/>
          <w:kern w:val="2"/>
          <w:szCs w:val="24"/>
          <w:highlight w:val="none"/>
        </w:rPr>
      </w:pPr>
      <w:r>
        <w:rPr>
          <w:rFonts w:hint="eastAsia" w:cs="宋体"/>
          <w:color w:val="auto"/>
          <w:highlight w:val="none"/>
          <w:lang w:val="en-US" w:eastAsia="zh-CN"/>
        </w:rPr>
        <w:t>2024</w:t>
      </w:r>
      <w:r>
        <w:rPr>
          <w:rFonts w:cs="宋体"/>
          <w:color w:val="auto"/>
          <w:highlight w:val="none"/>
        </w:rPr>
        <w:t>年</w:t>
      </w:r>
      <w:r>
        <w:rPr>
          <w:rFonts w:hint="eastAsia" w:cs="宋体"/>
          <w:color w:val="auto"/>
          <w:highlight w:val="none"/>
          <w:lang w:val="en-US" w:eastAsia="zh-CN"/>
        </w:rPr>
        <w:t>07</w:t>
      </w:r>
      <w:r>
        <w:rPr>
          <w:rFonts w:cs="宋体"/>
          <w:color w:val="auto"/>
          <w:highlight w:val="none"/>
        </w:rPr>
        <w:t>月</w:t>
      </w:r>
      <w:r>
        <w:rPr>
          <w:rFonts w:hint="eastAsia" w:cs="宋体"/>
          <w:color w:val="auto"/>
          <w:highlight w:val="none"/>
          <w:lang w:val="en-US" w:eastAsia="zh-CN"/>
        </w:rPr>
        <w:t>03</w:t>
      </w:r>
      <w:r>
        <w:rPr>
          <w:rFonts w:cs="宋体"/>
          <w:color w:val="auto"/>
          <w:highlight w:val="none"/>
        </w:rPr>
        <w:t>日</w:t>
      </w:r>
      <w:bookmarkEnd w:id="1"/>
    </w:p>
    <w:p>
      <w:pPr>
        <w:rPr>
          <w:rFonts w:hint="eastAsia" w:ascii="宋体" w:hAnsi="宋体" w:cs="宋体"/>
          <w:color w:val="auto"/>
          <w:sz w:val="32"/>
          <w:highlight w:val="none"/>
        </w:rPr>
      </w:pPr>
      <w:bookmarkStart w:id="2" w:name="_Toc90643416"/>
      <w:r>
        <w:rPr>
          <w:rFonts w:hint="eastAsia" w:ascii="宋体" w:hAnsi="宋体" w:cs="宋体"/>
          <w:color w:val="auto"/>
          <w:sz w:val="32"/>
          <w:highlight w:val="none"/>
        </w:rPr>
        <w:br w:type="page"/>
      </w:r>
    </w:p>
    <w:p>
      <w:pPr>
        <w:pStyle w:val="4"/>
        <w:jc w:val="center"/>
        <w:rPr>
          <w:rFonts w:ascii="宋体" w:hAnsi="宋体" w:cs="宋体"/>
          <w:b w:val="0"/>
          <w:color w:val="auto"/>
          <w:sz w:val="24"/>
          <w:highlight w:val="none"/>
        </w:rPr>
      </w:pPr>
      <w:r>
        <w:rPr>
          <w:rFonts w:hint="eastAsia" w:ascii="宋体" w:hAnsi="宋体" w:cs="宋体"/>
          <w:color w:val="auto"/>
          <w:sz w:val="32"/>
          <w:highlight w:val="none"/>
        </w:rPr>
        <w:t>第二章    供应商须知</w:t>
      </w:r>
      <w:bookmarkEnd w:id="2"/>
    </w:p>
    <w:tbl>
      <w:tblPr>
        <w:tblStyle w:val="29"/>
        <w:tblW w:w="9937"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746"/>
        <w:gridCol w:w="64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937" w:type="dxa"/>
            <w:gridSpan w:val="3"/>
            <w:vAlign w:val="center"/>
          </w:tcPr>
          <w:p>
            <w:pPr>
              <w:jc w:val="center"/>
              <w:rPr>
                <w:rFonts w:ascii="宋体" w:hAnsi="宋体" w:cs="宋体"/>
                <w:color w:val="auto"/>
                <w:sz w:val="24"/>
                <w:highlight w:val="none"/>
              </w:rPr>
            </w:pPr>
            <w:r>
              <w:rPr>
                <w:rFonts w:hint="eastAsia" w:ascii="宋体" w:hAnsi="宋体" w:cs="宋体"/>
                <w:color w:val="auto"/>
                <w:sz w:val="24"/>
                <w:highlight w:val="none"/>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序号</w:t>
            </w: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条款</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项目概况</w:t>
            </w:r>
          </w:p>
        </w:tc>
        <w:tc>
          <w:tcPr>
            <w:tcW w:w="6456" w:type="dxa"/>
            <w:vAlign w:val="center"/>
          </w:tcPr>
          <w:p>
            <w:pPr>
              <w:rPr>
                <w:rFonts w:hint="eastAsia" w:ascii="宋体" w:hAnsi="宋体" w:eastAsia="宋体" w:cs="宋体"/>
                <w:color w:val="auto"/>
                <w:sz w:val="24"/>
                <w:highlight w:val="none"/>
                <w:lang w:eastAsia="zh-CN"/>
              </w:rPr>
            </w:pPr>
            <w:r>
              <w:rPr>
                <w:rFonts w:hint="eastAsia" w:ascii="宋体" w:hAnsi="宋体" w:cs="宋体"/>
                <w:color w:val="auto"/>
                <w:sz w:val="24"/>
                <w:highlight w:val="none"/>
              </w:rPr>
              <w:t>1）项目名称：</w:t>
            </w:r>
            <w:r>
              <w:rPr>
                <w:rFonts w:hint="eastAsia" w:ascii="宋体" w:hAnsi="宋体" w:cs="宋体"/>
                <w:color w:val="auto"/>
                <w:sz w:val="24"/>
                <w:highlight w:val="none"/>
                <w:lang w:eastAsia="zh-CN"/>
              </w:rPr>
              <w:t>周口市淮阳区朱集乡卫生院医疗设备采购项目</w:t>
            </w:r>
          </w:p>
          <w:p>
            <w:pPr>
              <w:rPr>
                <w:rFonts w:hint="eastAsia" w:ascii="宋体" w:hAnsi="宋体" w:eastAsia="宋体" w:cs="宋体"/>
                <w:color w:val="auto"/>
                <w:sz w:val="24"/>
                <w:highlight w:val="none"/>
                <w:lang w:eastAsia="zh-CN"/>
              </w:rPr>
            </w:pPr>
            <w:r>
              <w:rPr>
                <w:rFonts w:hint="eastAsia" w:ascii="宋体" w:hAnsi="宋体" w:cs="宋体"/>
                <w:color w:val="auto"/>
                <w:sz w:val="24"/>
                <w:highlight w:val="none"/>
              </w:rPr>
              <w:t>2）采购内容：</w:t>
            </w:r>
            <w:r>
              <w:rPr>
                <w:rFonts w:hint="eastAsia" w:ascii="宋体" w:hAnsi="宋体" w:cs="宋体"/>
                <w:color w:val="auto"/>
                <w:sz w:val="24"/>
                <w:highlight w:val="none"/>
                <w:lang w:eastAsia="zh-CN"/>
              </w:rPr>
              <w:t>周口市淮阳区朱集乡卫生院医疗设备采购项目</w:t>
            </w:r>
          </w:p>
          <w:p>
            <w:pPr>
              <w:rPr>
                <w:rFonts w:hint="eastAsia" w:ascii="宋体" w:hAnsi="宋体" w:eastAsia="宋体" w:cs="宋体"/>
                <w:color w:val="auto"/>
                <w:sz w:val="24"/>
                <w:highlight w:val="none"/>
                <w:lang w:eastAsia="zh-CN"/>
              </w:rPr>
            </w:pPr>
            <w:r>
              <w:rPr>
                <w:rFonts w:hint="eastAsia" w:ascii="宋体" w:hAnsi="宋体" w:cs="宋体"/>
                <w:color w:val="auto"/>
                <w:sz w:val="24"/>
                <w:highlight w:val="none"/>
              </w:rPr>
              <w:t>3）采购人：</w:t>
            </w:r>
            <w:r>
              <w:rPr>
                <w:rFonts w:hint="eastAsia" w:ascii="宋体" w:hAnsi="宋体" w:cs="宋体"/>
                <w:color w:val="auto"/>
                <w:sz w:val="24"/>
                <w:highlight w:val="none"/>
                <w:lang w:eastAsia="zh-CN"/>
              </w:rPr>
              <w:t>周口市淮阳区朱集乡卫生院</w:t>
            </w:r>
          </w:p>
          <w:p>
            <w:pPr>
              <w:rPr>
                <w:rFonts w:ascii="宋体" w:hAnsi="宋体" w:cs="宋体"/>
                <w:color w:val="auto"/>
                <w:sz w:val="24"/>
                <w:highlight w:val="none"/>
              </w:rPr>
            </w:pPr>
            <w:r>
              <w:rPr>
                <w:rFonts w:hint="eastAsia" w:ascii="宋体" w:hAnsi="宋体" w:cs="宋体"/>
                <w:color w:val="auto"/>
                <w:sz w:val="24"/>
                <w:highlight w:val="none"/>
              </w:rPr>
              <w:t>4）采购代理机构：周口市公共资源交易中心政府采购中心</w:t>
            </w:r>
          </w:p>
          <w:p>
            <w:pPr>
              <w:pStyle w:val="27"/>
              <w:ind w:firstLine="0" w:firstLineChars="0"/>
              <w:rPr>
                <w:rFonts w:ascii="宋体" w:hAnsi="宋体" w:cs="宋体"/>
                <w:color w:val="auto"/>
                <w:sz w:val="24"/>
                <w:highlight w:val="none"/>
              </w:rPr>
            </w:pPr>
            <w:r>
              <w:rPr>
                <w:rFonts w:ascii="宋体" w:hAnsi="宋体" w:cs="宋体"/>
                <w:color w:val="auto"/>
                <w:sz w:val="24"/>
                <w:highlight w:val="none"/>
              </w:rPr>
              <w:t>5</w:t>
            </w:r>
            <w:r>
              <w:rPr>
                <w:rFonts w:hint="eastAsia" w:ascii="宋体" w:hAnsi="宋体" w:cs="宋体"/>
                <w:color w:val="auto"/>
                <w:sz w:val="24"/>
                <w:highlight w:val="none"/>
              </w:rPr>
              <w:t>) 监督部门：</w:t>
            </w:r>
            <w:r>
              <w:rPr>
                <w:rFonts w:hint="eastAsia" w:ascii="宋体" w:hAnsi="宋体" w:eastAsia="宋体" w:cs="宋体"/>
                <w:color w:val="auto"/>
                <w:sz w:val="24"/>
                <w:highlight w:val="none"/>
                <w:lang w:val="en-US" w:eastAsia="zh-CN"/>
              </w:rPr>
              <w:t>周口市淮阳区财政局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left="-4" w:leftChars="-4" w:hanging="4" w:hangingChars="2"/>
              <w:jc w:val="center"/>
              <w:rPr>
                <w:rFonts w:ascii="宋体" w:hAnsi="宋体" w:cs="宋体"/>
                <w:color w:val="auto"/>
                <w:sz w:val="24"/>
                <w:highlight w:val="none"/>
              </w:rPr>
            </w:pPr>
            <w:r>
              <w:rPr>
                <w:rFonts w:hint="eastAsia" w:ascii="宋体" w:hAnsi="宋体" w:cs="宋体"/>
                <w:color w:val="auto"/>
                <w:sz w:val="24"/>
                <w:highlight w:val="none"/>
              </w:rPr>
              <w:t>对供应商的资格要求</w:t>
            </w:r>
          </w:p>
        </w:tc>
        <w:tc>
          <w:tcPr>
            <w:tcW w:w="6456" w:type="dxa"/>
            <w:vAlign w:val="center"/>
          </w:tcPr>
          <w:p>
            <w:pPr>
              <w:spacing w:before="156" w:beforeLines="50"/>
              <w:ind w:left="-4" w:leftChars="-4" w:hanging="4" w:hangingChars="2"/>
              <w:rPr>
                <w:rFonts w:ascii="宋体" w:hAnsi="宋体" w:cs="宋体"/>
                <w:color w:val="auto"/>
                <w:sz w:val="24"/>
                <w:highlight w:val="none"/>
              </w:rPr>
            </w:pPr>
            <w:r>
              <w:rPr>
                <w:rFonts w:hint="eastAsia" w:ascii="宋体" w:hAnsi="宋体" w:cs="宋体"/>
                <w:color w:val="auto"/>
                <w:sz w:val="24"/>
                <w:highlight w:val="none"/>
              </w:rPr>
              <w:t>见竞争性磋商邀请函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报价费用</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无论报价和磋商的过程和结果如何，供应商自行承担所有与参加报价及磋商有关活动的全部费用。评审费用</w:t>
            </w:r>
            <w:r>
              <w:rPr>
                <w:rFonts w:ascii="宋体" w:hAnsi="宋体" w:cs="宋体"/>
                <w:color w:val="auto"/>
                <w:sz w:val="24"/>
                <w:highlight w:val="none"/>
              </w:rPr>
              <w:t>由采购人自行解决</w:t>
            </w:r>
            <w:r>
              <w:rPr>
                <w:rFonts w:hint="eastAsia" w:ascii="宋体" w:hAnsi="宋体" w:cs="宋体"/>
                <w:color w:val="auto"/>
                <w:sz w:val="24"/>
                <w:highlight w:val="none"/>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pPr>
              <w:numPr>
                <w:ilvl w:val="0"/>
                <w:numId w:val="1"/>
              </w:numPr>
              <w:spacing w:before="156" w:beforeLines="50"/>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响应文件语言</w:t>
            </w:r>
          </w:p>
        </w:tc>
        <w:tc>
          <w:tcPr>
            <w:tcW w:w="6456" w:type="dxa"/>
            <w:vAlign w:val="center"/>
          </w:tcPr>
          <w:p>
            <w:pPr>
              <w:snapToGrid w:val="0"/>
              <w:rPr>
                <w:rFonts w:ascii="宋体" w:hAnsi="宋体" w:cs="宋体"/>
                <w:color w:val="auto"/>
                <w:sz w:val="24"/>
                <w:highlight w:val="none"/>
              </w:rPr>
            </w:pPr>
            <w:r>
              <w:rPr>
                <w:rFonts w:hint="eastAsia" w:ascii="宋体" w:hAnsi="宋体" w:cs="宋体"/>
                <w:color w:val="auto"/>
                <w:sz w:val="24"/>
                <w:highlight w:val="none"/>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报价货币</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报价范围及说明</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竞争性磋商文件及采购项目内容及要求的全部内容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响应文件有效期</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响应文件递交截止之日起60日历天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tabs>
                <w:tab w:val="left" w:pos="8640"/>
              </w:tabs>
              <w:spacing w:before="156" w:beforeLines="50"/>
              <w:ind w:left="-2" w:leftChars="-1"/>
              <w:jc w:val="center"/>
              <w:rPr>
                <w:rFonts w:ascii="宋体" w:hAnsi="宋体" w:cs="宋体"/>
                <w:color w:val="auto"/>
                <w:sz w:val="24"/>
                <w:highlight w:val="none"/>
              </w:rPr>
            </w:pPr>
            <w:r>
              <w:rPr>
                <w:rFonts w:hint="eastAsia" w:ascii="宋体" w:hAnsi="宋体" w:cs="宋体"/>
                <w:color w:val="auto"/>
                <w:sz w:val="24"/>
                <w:highlight w:val="none"/>
              </w:rPr>
              <w:t>响应文件的组成</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tabs>
                <w:tab w:val="left" w:pos="8640"/>
              </w:tabs>
              <w:spacing w:before="156" w:beforeLines="50"/>
              <w:ind w:left="-2" w:leftChars="-1"/>
              <w:jc w:val="center"/>
              <w:rPr>
                <w:rFonts w:ascii="宋体" w:hAnsi="宋体" w:cs="宋体"/>
                <w:color w:val="auto"/>
                <w:sz w:val="24"/>
                <w:highlight w:val="none"/>
              </w:rPr>
            </w:pPr>
            <w:r>
              <w:rPr>
                <w:rFonts w:hint="eastAsia" w:ascii="宋体" w:hAnsi="宋体" w:cs="宋体"/>
                <w:color w:val="auto"/>
                <w:sz w:val="24"/>
                <w:highlight w:val="none"/>
              </w:rPr>
              <w:t>响应文件封面要求</w:t>
            </w:r>
          </w:p>
        </w:tc>
        <w:tc>
          <w:tcPr>
            <w:tcW w:w="6456" w:type="dxa"/>
            <w:vAlign w:val="center"/>
          </w:tcPr>
          <w:p>
            <w:pPr>
              <w:tabs>
                <w:tab w:val="left" w:pos="8640"/>
              </w:tabs>
              <w:rPr>
                <w:rFonts w:ascii="宋体" w:hAnsi="宋体" w:cs="宋体"/>
                <w:color w:val="auto"/>
                <w:sz w:val="24"/>
                <w:highlight w:val="none"/>
              </w:rPr>
            </w:pPr>
            <w:r>
              <w:rPr>
                <w:rFonts w:hint="eastAsia" w:ascii="宋体" w:hAnsi="宋体" w:eastAsia="宋体" w:cs="宋体"/>
                <w:color w:val="auto"/>
                <w:sz w:val="24"/>
                <w:highlight w:val="none"/>
              </w:rPr>
              <w:t>列明项目名称、本磋商文件编号、供应商名称和地址等</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响应文件份数要求</w:t>
            </w:r>
          </w:p>
        </w:tc>
        <w:tc>
          <w:tcPr>
            <w:tcW w:w="6456" w:type="dxa"/>
            <w:vAlign w:val="center"/>
          </w:tcPr>
          <w:p>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加密的电子投标文件须在投标截止时间前成功上传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响应文件装订和密封要求</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竞争性磋商文件的澄清</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rPr>
              <w:t>对竞争性磋商文件进行的澄清，以网上公告的方式通知供应商。澄清或修改的内容可能影响响应文件编制的，采购人、采购代理机构应当在提交响应文件截止时间至少5日前。</w:t>
            </w:r>
          </w:p>
          <w:p>
            <w:pPr>
              <w:rPr>
                <w:rFonts w:ascii="宋体" w:hAnsi="宋体" w:cs="宋体"/>
                <w:color w:val="auto"/>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响应文件递交截止时间</w:t>
            </w:r>
          </w:p>
        </w:tc>
        <w:tc>
          <w:tcPr>
            <w:tcW w:w="6456" w:type="dxa"/>
            <w:vAlign w:val="center"/>
          </w:tcPr>
          <w:p>
            <w:pPr>
              <w:rPr>
                <w:rFonts w:ascii="宋体" w:hAnsi="宋体" w:cs="宋体"/>
                <w:color w:val="auto"/>
                <w:sz w:val="24"/>
                <w:highlight w:val="none"/>
              </w:rPr>
            </w:pPr>
            <w:r>
              <w:rPr>
                <w:rFonts w:hint="eastAsia" w:ascii="宋体" w:hAnsi="宋体" w:cs="宋体"/>
                <w:color w:val="auto"/>
                <w:sz w:val="24"/>
                <w:highlight w:val="none"/>
                <w:lang w:val="en-US" w:eastAsia="zh-CN"/>
              </w:rPr>
              <w:t>2024</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07</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15日10</w:t>
            </w:r>
            <w:r>
              <w:rPr>
                <w:rFonts w:hint="eastAsia" w:ascii="宋体" w:hAnsi="宋体" w:cs="宋体"/>
                <w:color w:val="auto"/>
                <w:sz w:val="24"/>
                <w:highlight w:val="none"/>
                <w:lang w:eastAsia="zh-CN"/>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lang w:eastAsia="zh-CN"/>
              </w:rPr>
              <w:t>分</w:t>
            </w:r>
            <w:r>
              <w:rPr>
                <w:rFonts w:hint="eastAsia" w:ascii="宋体" w:hAnsi="宋体" w:cs="宋体"/>
                <w:color w:val="auto"/>
                <w:sz w:val="24"/>
                <w:highlight w:val="none"/>
              </w:rPr>
              <w:t xml:space="preserve">  （见磋商公告）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响应文件递交地点</w:t>
            </w:r>
          </w:p>
        </w:tc>
        <w:tc>
          <w:tcPr>
            <w:tcW w:w="6456" w:type="dxa"/>
            <w:vAlign w:val="center"/>
          </w:tcPr>
          <w:p>
            <w:pPr>
              <w:spacing w:line="560" w:lineRule="exact"/>
              <w:rPr>
                <w:rFonts w:ascii="宋体" w:hAnsi="宋体" w:cs="宋体"/>
                <w:color w:val="auto"/>
                <w:sz w:val="24"/>
                <w:highlight w:val="none"/>
              </w:rPr>
            </w:pPr>
            <w:r>
              <w:rPr>
                <w:rFonts w:hint="eastAsia" w:ascii="宋体" w:hAnsi="宋体" w:cs="宋体"/>
                <w:color w:val="auto"/>
                <w:sz w:val="24"/>
                <w:highlight w:val="none"/>
              </w:rPr>
              <w:t>周口市公共资源交易中心网</w:t>
            </w:r>
          </w:p>
          <w:p>
            <w:pPr>
              <w:spacing w:line="560" w:lineRule="exact"/>
              <w:rPr>
                <w:rFonts w:ascii="宋体" w:hAnsi="宋体" w:cs="宋体"/>
                <w:color w:val="auto"/>
                <w:sz w:val="24"/>
                <w:highlight w:val="none"/>
              </w:rPr>
            </w:pPr>
            <w:r>
              <w:rPr>
                <w:rFonts w:hint="eastAsia" w:ascii="宋体" w:hAnsi="宋体" w:cs="宋体"/>
                <w:color w:val="auto"/>
                <w:sz w:val="24"/>
                <w:highlight w:val="none"/>
              </w:rPr>
              <w:t>网址：周口市公共资源电子交易服务平台会员系统（网址http://jyzx.zhoukou.gov.cn）（本项目实行网上远程开标无须到现场提交响应文件）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磋商时间</w:t>
            </w:r>
          </w:p>
        </w:tc>
        <w:tc>
          <w:tcPr>
            <w:tcW w:w="6456" w:type="dxa"/>
            <w:vAlign w:val="center"/>
          </w:tcPr>
          <w:p>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lang w:val="en-US" w:eastAsia="zh-CN"/>
              </w:rPr>
              <w:t>2024</w:t>
            </w:r>
            <w:r>
              <w:rPr>
                <w:rFonts w:hint="eastAsia" w:ascii="宋体" w:hAnsi="宋体" w:cs="宋体"/>
                <w:color w:val="auto"/>
                <w:sz w:val="24"/>
                <w:highlight w:val="none"/>
                <w:lang w:eastAsia="zh-CN"/>
              </w:rPr>
              <w:t>年</w:t>
            </w:r>
            <w:r>
              <w:rPr>
                <w:rFonts w:hint="eastAsia" w:ascii="宋体" w:hAnsi="宋体" w:cs="宋体"/>
                <w:color w:val="auto"/>
                <w:sz w:val="24"/>
                <w:highlight w:val="none"/>
                <w:lang w:val="en-US" w:eastAsia="zh-CN"/>
              </w:rPr>
              <w:t>07</w:t>
            </w:r>
            <w:r>
              <w:rPr>
                <w:rFonts w:hint="eastAsia" w:ascii="宋体" w:hAnsi="宋体" w:cs="宋体"/>
                <w:color w:val="auto"/>
                <w:sz w:val="24"/>
                <w:highlight w:val="none"/>
                <w:lang w:eastAsia="zh-CN"/>
              </w:rPr>
              <w:t>月</w:t>
            </w:r>
            <w:r>
              <w:rPr>
                <w:rFonts w:hint="eastAsia" w:ascii="宋体" w:hAnsi="宋体" w:cs="宋体"/>
                <w:color w:val="auto"/>
                <w:sz w:val="24"/>
                <w:highlight w:val="none"/>
                <w:lang w:val="en-US" w:eastAsia="zh-CN"/>
              </w:rPr>
              <w:t>15日10</w:t>
            </w:r>
            <w:r>
              <w:rPr>
                <w:rFonts w:hint="eastAsia" w:ascii="宋体" w:hAnsi="宋体" w:cs="宋体"/>
                <w:color w:val="auto"/>
                <w:sz w:val="24"/>
                <w:highlight w:val="none"/>
                <w:lang w:eastAsia="zh-CN"/>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lang w:eastAsia="zh-CN"/>
              </w:rPr>
              <w:t>分</w:t>
            </w:r>
            <w:r>
              <w:rPr>
                <w:rFonts w:hint="eastAsia" w:ascii="宋体" w:hAnsi="宋体" w:cs="宋体"/>
                <w:color w:val="auto"/>
                <w:sz w:val="24"/>
                <w:highlight w:val="none"/>
              </w:rPr>
              <w:t xml:space="preserve">  见磋商公告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磋商程序和内容</w:t>
            </w:r>
          </w:p>
        </w:tc>
        <w:tc>
          <w:tcPr>
            <w:tcW w:w="6456" w:type="dxa"/>
            <w:vAlign w:val="center"/>
          </w:tcPr>
          <w:p>
            <w:pPr>
              <w:tabs>
                <w:tab w:val="left" w:pos="8640"/>
              </w:tabs>
              <w:rPr>
                <w:rFonts w:ascii="宋体" w:hAnsi="宋体" w:cs="宋体"/>
                <w:color w:val="auto"/>
                <w:sz w:val="24"/>
                <w:highlight w:val="none"/>
              </w:rPr>
            </w:pPr>
            <w:r>
              <w:rPr>
                <w:rFonts w:hint="eastAsia" w:ascii="宋体" w:hAnsi="宋体" w:cs="宋体"/>
                <w:color w:val="auto"/>
                <w:sz w:val="24"/>
                <w:highlight w:val="none"/>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授予合同</w:t>
            </w:r>
          </w:p>
        </w:tc>
        <w:tc>
          <w:tcPr>
            <w:tcW w:w="6456" w:type="dxa"/>
            <w:vAlign w:val="center"/>
          </w:tcPr>
          <w:p>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采购人根据磋商小组的推荐意见，确定成交供应商。采购代理机构向成交供应商发出成交通知书。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签订合同</w:t>
            </w:r>
          </w:p>
        </w:tc>
        <w:tc>
          <w:tcPr>
            <w:tcW w:w="6456" w:type="dxa"/>
            <w:vAlign w:val="center"/>
          </w:tcPr>
          <w:p>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1）接到成交通知书30天内，成交供应商应与采购人签订采购合同。</w:t>
            </w:r>
          </w:p>
          <w:p>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2）本磋商文件、响应文件及磋商、评审过程中有关澄清、承诺文件的内容，将作为签订合同的主要内容。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6456" w:type="dxa"/>
            <w:vAlign w:val="center"/>
          </w:tcPr>
          <w:p>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本项目不需要交纳投标保证金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tabs>
                <w:tab w:val="left" w:pos="8640"/>
              </w:tabs>
              <w:ind w:left="-2" w:leftChars="-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供货期</w:t>
            </w:r>
          </w:p>
        </w:tc>
        <w:tc>
          <w:tcPr>
            <w:tcW w:w="6456" w:type="dxa"/>
            <w:vAlign w:val="center"/>
          </w:tcPr>
          <w:p>
            <w:pPr>
              <w:tabs>
                <w:tab w:val="left" w:pos="8640"/>
              </w:tabs>
              <w:ind w:left="-2" w:leftChars="-1"/>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合同签订后</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日历天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履约保证金</w:t>
            </w:r>
          </w:p>
        </w:tc>
        <w:tc>
          <w:tcPr>
            <w:tcW w:w="6456" w:type="dxa"/>
            <w:vAlign w:val="center"/>
          </w:tcPr>
          <w:p>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付款方式</w:t>
            </w:r>
          </w:p>
        </w:tc>
        <w:tc>
          <w:tcPr>
            <w:tcW w:w="6456" w:type="dxa"/>
            <w:vAlign w:val="center"/>
          </w:tcPr>
          <w:p>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验收合格后一次性</w:t>
            </w:r>
            <w:r>
              <w:rPr>
                <w:rFonts w:ascii="宋体" w:hAnsi="宋体" w:cs="宋体"/>
                <w:color w:val="auto"/>
                <w:sz w:val="24"/>
                <w:highlight w:val="none"/>
              </w:rPr>
              <w:t>付清所有款项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勘察现场</w:t>
            </w:r>
          </w:p>
        </w:tc>
        <w:tc>
          <w:tcPr>
            <w:tcW w:w="6456" w:type="dxa"/>
            <w:vAlign w:val="center"/>
          </w:tcPr>
          <w:p>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不组织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b/>
                <w:color w:val="auto"/>
                <w:sz w:val="24"/>
                <w:highlight w:val="none"/>
              </w:rPr>
            </w:pPr>
            <w:r>
              <w:rPr>
                <w:rFonts w:hint="eastAsia" w:ascii="宋体" w:hAnsi="宋体" w:cs="宋体"/>
                <w:b/>
                <w:color w:val="auto"/>
                <w:sz w:val="24"/>
                <w:highlight w:val="none"/>
              </w:rPr>
              <w:t>其他</w:t>
            </w:r>
          </w:p>
        </w:tc>
        <w:tc>
          <w:tcPr>
            <w:tcW w:w="6456" w:type="dxa"/>
            <w:vAlign w:val="center"/>
          </w:tcPr>
          <w:p>
            <w:pPr>
              <w:tabs>
                <w:tab w:val="left" w:pos="8640"/>
              </w:tabs>
              <w:jc w:val="left"/>
              <w:rPr>
                <w:rFonts w:ascii="宋体" w:hAnsi="宋体" w:cs="宋体"/>
                <w:b/>
                <w:color w:val="auto"/>
                <w:sz w:val="24"/>
                <w:highlight w:val="none"/>
              </w:rPr>
            </w:pPr>
            <w:r>
              <w:rPr>
                <w:rFonts w:hint="eastAsia" w:ascii="宋体" w:hAnsi="宋体" w:cs="宋体"/>
                <w:b/>
                <w:color w:val="auto"/>
                <w:sz w:val="24"/>
                <w:highlight w:val="none"/>
              </w:rPr>
              <w:t>招标控制价：</w:t>
            </w:r>
            <w:r>
              <w:rPr>
                <w:rFonts w:hint="eastAsia" w:ascii="宋体" w:hAnsi="宋体" w:cs="宋体"/>
                <w:b/>
                <w:color w:val="auto"/>
                <w:sz w:val="24"/>
                <w:highlight w:val="none"/>
                <w:lang w:val="en-US" w:eastAsia="zh-CN"/>
              </w:rPr>
              <w:t>650000</w:t>
            </w:r>
            <w:r>
              <w:rPr>
                <w:rFonts w:hint="eastAsia" w:ascii="宋体" w:hAnsi="宋体" w:cs="宋体"/>
                <w:b/>
                <w:color w:val="auto"/>
                <w:sz w:val="24"/>
                <w:highlight w:val="none"/>
              </w:rPr>
              <w:t>元</w:t>
            </w:r>
          </w:p>
          <w:p>
            <w:pPr>
              <w:tabs>
                <w:tab w:val="left" w:pos="8640"/>
              </w:tabs>
              <w:jc w:val="left"/>
              <w:rPr>
                <w:rFonts w:ascii="宋体" w:hAnsi="宋体" w:cs="宋体"/>
                <w:color w:val="auto"/>
                <w:sz w:val="24"/>
                <w:highlight w:val="none"/>
              </w:rPr>
            </w:pPr>
            <w:r>
              <w:rPr>
                <w:rFonts w:hint="eastAsia" w:ascii="宋体" w:hAnsi="宋体" w:cs="宋体"/>
                <w:b/>
                <w:color w:val="auto"/>
                <w:sz w:val="24"/>
                <w:highlight w:val="none"/>
              </w:rPr>
              <w:t>竞争性磋商申请报价高于招标控制价的视无效投标。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color w:val="auto"/>
                <w:sz w:val="24"/>
                <w:highlight w:val="none"/>
              </w:rPr>
            </w:pPr>
          </w:p>
        </w:tc>
        <w:tc>
          <w:tcPr>
            <w:tcW w:w="2746" w:type="dxa"/>
            <w:vAlign w:val="center"/>
          </w:tcPr>
          <w:p>
            <w:pPr>
              <w:spacing w:before="156" w:beforeLines="50"/>
              <w:ind w:firstLine="14" w:firstLineChars="6"/>
              <w:jc w:val="center"/>
              <w:rPr>
                <w:rFonts w:ascii="宋体" w:hAnsi="宋体" w:cs="宋体"/>
                <w:b/>
                <w:color w:val="auto"/>
                <w:sz w:val="24"/>
                <w:highlight w:val="none"/>
              </w:rPr>
            </w:pPr>
            <w:r>
              <w:rPr>
                <w:rFonts w:hint="eastAsia" w:ascii="宋体" w:hAnsi="宋体" w:cs="宋体"/>
                <w:b/>
                <w:color w:val="auto"/>
                <w:sz w:val="24"/>
                <w:highlight w:val="none"/>
              </w:rPr>
              <w:t>报价</w:t>
            </w:r>
          </w:p>
        </w:tc>
        <w:tc>
          <w:tcPr>
            <w:tcW w:w="6456" w:type="dxa"/>
            <w:vAlign w:val="center"/>
          </w:tcPr>
          <w:p>
            <w:pPr>
              <w:tabs>
                <w:tab w:val="left" w:pos="8640"/>
              </w:tabs>
              <w:jc w:val="left"/>
              <w:rPr>
                <w:rFonts w:ascii="宋体" w:hAnsi="宋体" w:cs="宋体"/>
                <w:b/>
                <w:color w:val="auto"/>
                <w:sz w:val="24"/>
                <w:highlight w:val="none"/>
              </w:rPr>
            </w:pPr>
            <w:r>
              <w:rPr>
                <w:rFonts w:hint="eastAsia" w:ascii="宋体" w:hAnsi="宋体" w:cs="宋体"/>
                <w:b/>
                <w:color w:val="auto"/>
                <w:sz w:val="24"/>
                <w:highlight w:val="none"/>
              </w:rPr>
              <w:t>一次</w:t>
            </w:r>
            <w:r>
              <w:rPr>
                <w:rFonts w:ascii="宋体" w:hAnsi="宋体" w:cs="宋体"/>
                <w:b/>
                <w:color w:val="auto"/>
                <w:sz w:val="24"/>
                <w:highlight w:val="none"/>
              </w:rPr>
              <w:t>报价</w:t>
            </w:r>
          </w:p>
        </w:tc>
      </w:tr>
    </w:tbl>
    <w:p>
      <w:pPr>
        <w:spacing w:line="720" w:lineRule="auto"/>
        <w:rPr>
          <w:rFonts w:ascii="宋体" w:hAnsi="宋体" w:cs="宋体"/>
          <w:b/>
          <w:color w:val="auto"/>
          <w:sz w:val="24"/>
          <w:highlight w:val="none"/>
        </w:rPr>
      </w:pPr>
    </w:p>
    <w:p>
      <w:pPr>
        <w:pStyle w:val="2"/>
        <w:ind w:firstLine="210"/>
        <w:rPr>
          <w:color w:val="auto"/>
          <w:highlight w:val="none"/>
        </w:rPr>
      </w:pPr>
    </w:p>
    <w:p>
      <w:pPr>
        <w:rPr>
          <w:rFonts w:hint="eastAsia" w:ascii="宋体" w:hAnsi="宋体" w:cs="宋体"/>
          <w:b/>
          <w:color w:val="auto"/>
          <w:sz w:val="24"/>
          <w:highlight w:val="none"/>
        </w:rPr>
      </w:pPr>
      <w:r>
        <w:rPr>
          <w:rFonts w:hint="eastAsia" w:ascii="宋体" w:hAnsi="宋体" w:cs="宋体"/>
          <w:b/>
          <w:color w:val="auto"/>
          <w:sz w:val="24"/>
          <w:highlight w:val="none"/>
        </w:rPr>
        <w:br w:type="page"/>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一、总则</w:t>
      </w:r>
    </w:p>
    <w:p>
      <w:pPr>
        <w:spacing w:line="5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1．适用范围</w:t>
      </w:r>
    </w:p>
    <w:p>
      <w:pPr>
        <w:spacing w:line="56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1.1本竞争性磋商文件仅适用于本次竞争性磋商邀请函中所述</w:t>
      </w:r>
      <w:r>
        <w:rPr>
          <w:rFonts w:hint="eastAsia" w:ascii="宋体" w:hAnsi="宋体" w:cs="宋体"/>
          <w:bCs/>
          <w:color w:val="auto"/>
          <w:sz w:val="24"/>
          <w:highlight w:val="none"/>
        </w:rPr>
        <w:t>项目。</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2．定义</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2.1“采购代理机构”：周口市公共资源交易中心政府采购中心。</w:t>
      </w:r>
    </w:p>
    <w:p>
      <w:pPr>
        <w:tabs>
          <w:tab w:val="left" w:pos="0"/>
        </w:tabs>
        <w:spacing w:line="56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2.2“采购人”：</w:t>
      </w:r>
      <w:r>
        <w:rPr>
          <w:rFonts w:hint="eastAsia" w:ascii="宋体" w:hAnsi="宋体" w:cs="宋体"/>
          <w:color w:val="auto"/>
          <w:sz w:val="24"/>
          <w:highlight w:val="none"/>
          <w:lang w:eastAsia="zh-CN"/>
        </w:rPr>
        <w:t>周口市淮阳区朱集乡卫生院</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2.3“供应商”系指按竞争性磋商文件规定取得竞争性磋商文件并参加竞争性磋商活动的法人、其他组织或者自然人。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2.4“供应商代表”：系指代表供应商参加本次竞争性磋商活动的供应商的法定代表人或其委托代理人。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2.5“货物“：系指各种形态和种类的物品，包括原材料、燃料、设备、产品等，包括与之相关的备品备件、工具、手册及安装、调试、技术协助、校准、培训、验收、售后服务等。</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2.7“重大违法记录”系指供应商因违法经营受到刑事处罚或者责令停产停业、吊销许可证或者执照、较大数额罚款等行政处罚。</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2.8“不具备良好的商业信誉”是指：</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（1）有重大违法记录的（满三年的除外）；</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（2）被各级财政部门列入政府采购严重违法失信行为信息记录的（期限已满的除外）；</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（3）被各级政府采购监督管理部门禁止在一定期限内参加政府采购活动等处罚的（期限已满的除外）；</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（4）被各级法院列入失信名单的（已依法解除的除外）；</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（5）法律法规规定的其他情形。</w:t>
      </w:r>
    </w:p>
    <w:p>
      <w:pPr>
        <w:spacing w:line="56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2.9本项目</w:t>
      </w:r>
      <w:r>
        <w:rPr>
          <w:rFonts w:ascii="宋体" w:hAnsi="宋体" w:cs="宋体"/>
          <w:color w:val="auto"/>
          <w:sz w:val="24"/>
          <w:highlight w:val="none"/>
        </w:rPr>
        <w:t>所属行业：</w:t>
      </w:r>
      <w:r>
        <w:rPr>
          <w:rFonts w:hint="eastAsia" w:ascii="宋体" w:hAnsi="宋体" w:cs="宋体"/>
          <w:color w:val="auto"/>
          <w:sz w:val="24"/>
          <w:highlight w:val="none"/>
          <w:lang w:val="en-US" w:eastAsia="zh-CN"/>
        </w:rPr>
        <w:t>其他未列明行业</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3.采购预算</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3.1本次采购预算：见公告。</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4.合格的供应商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4.1.1符合供应商资格条件（详见第一部分供应商资格条件）</w:t>
      </w:r>
    </w:p>
    <w:p>
      <w:pPr>
        <w:widowControl/>
        <w:spacing w:line="360" w:lineRule="auto"/>
        <w:ind w:firstLine="480" w:firstLineChars="200"/>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4.1.2</w:t>
      </w:r>
      <w:r>
        <w:rPr>
          <w:rFonts w:hint="eastAsia" w:ascii="宋体" w:hAnsi="宋体" w:eastAsia="宋体" w:cs="宋体"/>
          <w:color w:val="auto"/>
          <w:sz w:val="24"/>
          <w:highlight w:val="none"/>
        </w:rPr>
        <w:t>参加政府采购活动前三年内，在经营活动中没有重大违法记录的声明函；</w:t>
      </w:r>
    </w:p>
    <w:p>
      <w:pPr>
        <w:widowControl/>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4.1.3 政府采购供应商诚信承诺书；</w:t>
      </w:r>
    </w:p>
    <w:p>
      <w:pPr>
        <w:pStyle w:val="74"/>
        <w:spacing w:line="360" w:lineRule="auto"/>
        <w:ind w:firstLine="480" w:firstLineChars="200"/>
        <w:rPr>
          <w:rFonts w:hAnsi="宋体" w:eastAsia="宋体"/>
          <w:color w:val="auto"/>
          <w:sz w:val="24"/>
          <w:highlight w:val="none"/>
          <w:lang w:val="en-US"/>
        </w:rPr>
      </w:pPr>
      <w:r>
        <w:rPr>
          <w:rFonts w:hint="eastAsia" w:hAnsi="宋体" w:eastAsia="宋体"/>
          <w:color w:val="auto"/>
          <w:sz w:val="24"/>
          <w:highlight w:val="none"/>
        </w:rPr>
        <w:t>4.</w:t>
      </w:r>
      <w:r>
        <w:rPr>
          <w:rFonts w:hint="eastAsia" w:hAnsi="宋体" w:eastAsia="宋体"/>
          <w:color w:val="auto"/>
          <w:sz w:val="24"/>
          <w:highlight w:val="none"/>
          <w:lang w:val="en-US"/>
        </w:rPr>
        <w:t>1.4 供应商需提供自觉抵制政府采购领域商业贿赂行为承诺书；</w:t>
      </w:r>
    </w:p>
    <w:p>
      <w:pPr>
        <w:spacing w:line="360" w:lineRule="auto"/>
        <w:ind w:firstLine="480" w:firstLineChars="200"/>
        <w:jc w:val="left"/>
        <w:rPr>
          <w:rFonts w:ascii="宋体" w:hAnsi="宋体" w:cs="宋体"/>
          <w:color w:val="auto"/>
          <w:sz w:val="24"/>
          <w:szCs w:val="20"/>
          <w:highlight w:val="none"/>
        </w:rPr>
      </w:pPr>
      <w:r>
        <w:rPr>
          <w:rFonts w:hint="eastAsia" w:ascii="宋体" w:hAnsi="宋体" w:cs="宋体"/>
          <w:color w:val="auto"/>
          <w:sz w:val="24"/>
          <w:szCs w:val="20"/>
          <w:highlight w:val="none"/>
        </w:rPr>
        <w:t>4.</w:t>
      </w:r>
      <w:r>
        <w:rPr>
          <w:rFonts w:ascii="宋体" w:hAnsi="宋体" w:cs="宋体"/>
          <w:color w:val="auto"/>
          <w:sz w:val="24"/>
          <w:szCs w:val="20"/>
          <w:highlight w:val="none"/>
        </w:rPr>
        <w:t>1.5</w:t>
      </w:r>
      <w:r>
        <w:rPr>
          <w:rFonts w:hint="eastAsia" w:ascii="宋体" w:hAnsi="宋体" w:cs="宋体"/>
          <w:color w:val="auto"/>
          <w:sz w:val="24"/>
          <w:szCs w:val="20"/>
          <w:highlight w:val="none"/>
        </w:rPr>
        <w:t>未被工商行政管理机关在全国企业信用信息公示系统中列入严重违法失信企业名单和经营异常名录。</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4.2 供应商需提供售后服务体系与承诺。</w:t>
      </w:r>
    </w:p>
    <w:p>
      <w:pPr>
        <w:pStyle w:val="74"/>
        <w:spacing w:line="360" w:lineRule="auto"/>
        <w:ind w:firstLine="480" w:firstLineChars="200"/>
        <w:rPr>
          <w:rFonts w:hAnsi="宋体" w:eastAsia="宋体"/>
          <w:color w:val="auto"/>
          <w:spacing w:val="15"/>
          <w:sz w:val="24"/>
          <w:highlight w:val="none"/>
        </w:rPr>
      </w:pPr>
      <w:r>
        <w:rPr>
          <w:rFonts w:hint="eastAsia" w:hAnsi="宋体" w:eastAsia="宋体"/>
          <w:color w:val="auto"/>
          <w:sz w:val="24"/>
          <w:highlight w:val="none"/>
        </w:rPr>
        <w:t>4.</w:t>
      </w:r>
      <w:r>
        <w:rPr>
          <w:rFonts w:hint="eastAsia" w:hAnsi="宋体" w:eastAsia="宋体"/>
          <w:color w:val="auto"/>
          <w:sz w:val="24"/>
          <w:highlight w:val="none"/>
          <w:lang w:val="en-US"/>
        </w:rPr>
        <w:t>3</w:t>
      </w:r>
      <w:r>
        <w:rPr>
          <w:rFonts w:hint="eastAsia" w:hAnsi="宋体" w:eastAsia="宋体"/>
          <w:color w:val="auto"/>
          <w:sz w:val="24"/>
          <w:highlight w:val="none"/>
        </w:rPr>
        <w:t>符合本竞争性磋商文件规定的供应商资格要求及项目要求的其它条件，并提供合格供应商的声明函。</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4.4供应商应遵守国家法律、法规有关竞争性磋商的规定。</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4.5 凡通过磋商小组符合性审查的供应商均为合格供应商。未通过符合性审查的供应商将视为不响应本项目的竞争性磋商文件被否决。</w:t>
      </w:r>
    </w:p>
    <w:p>
      <w:pPr>
        <w:spacing w:line="360" w:lineRule="auto"/>
        <w:ind w:firstLine="480" w:firstLineChars="200"/>
        <w:jc w:val="left"/>
        <w:rPr>
          <w:rFonts w:ascii="宋体" w:hAnsi="宋体" w:cs="宋体"/>
          <w:color w:val="auto"/>
          <w:sz w:val="24"/>
          <w:szCs w:val="20"/>
          <w:highlight w:val="none"/>
        </w:rPr>
      </w:pPr>
      <w:r>
        <w:rPr>
          <w:rFonts w:hint="eastAsia" w:ascii="宋体" w:hAnsi="宋体" w:cs="宋体"/>
          <w:color w:val="auto"/>
          <w:sz w:val="24"/>
          <w:szCs w:val="20"/>
          <w:highlight w:val="none"/>
        </w:rPr>
        <w:t>4.6供应商</w:t>
      </w:r>
      <w:r>
        <w:rPr>
          <w:rFonts w:ascii="宋体" w:hAnsi="宋体" w:cs="宋体"/>
          <w:color w:val="auto"/>
          <w:sz w:val="24"/>
          <w:szCs w:val="20"/>
          <w:highlight w:val="none"/>
        </w:rPr>
        <w:t>需提供</w:t>
      </w:r>
      <w:r>
        <w:rPr>
          <w:rFonts w:hint="eastAsia" w:ascii="宋体" w:hAnsi="宋体" w:cs="宋体"/>
          <w:color w:val="auto"/>
          <w:sz w:val="24"/>
          <w:szCs w:val="20"/>
          <w:highlight w:val="none"/>
        </w:rPr>
        <w:t>加盖单位公章、法定代表人签章的营业执照扫描件。</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4.</w:t>
      </w:r>
      <w:r>
        <w:rPr>
          <w:rFonts w:ascii="宋体" w:hAnsi="宋体" w:cs="宋体"/>
          <w:color w:val="auto"/>
          <w:kern w:val="0"/>
          <w:sz w:val="24"/>
          <w:highlight w:val="none"/>
          <w:lang w:val="zh-CN"/>
        </w:rPr>
        <w:t>7</w:t>
      </w:r>
      <w:r>
        <w:rPr>
          <w:rFonts w:hint="eastAsia" w:ascii="宋体" w:hAnsi="宋体" w:cs="宋体"/>
          <w:color w:val="auto"/>
          <w:kern w:val="0"/>
          <w:sz w:val="24"/>
          <w:highlight w:val="none"/>
          <w:lang w:val="zh-CN"/>
        </w:rPr>
        <w:t xml:space="preserve">勘察现场：不组织 </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注：单位负责人为同一人或者存在直接控股、管理关系的不同供应商，不得参加同一合同项下的政府采购活动。</w:t>
      </w:r>
    </w:p>
    <w:p>
      <w:pPr>
        <w:spacing w:line="360" w:lineRule="auto"/>
        <w:ind w:firstLine="482" w:firstLineChars="200"/>
        <w:rPr>
          <w:rFonts w:ascii="宋体" w:hAnsi="宋体" w:cs="宋体"/>
          <w:color w:val="auto"/>
          <w:kern w:val="0"/>
          <w:sz w:val="24"/>
          <w:highlight w:val="none"/>
          <w:lang w:val="zh-CN"/>
        </w:rPr>
      </w:pPr>
      <w:r>
        <w:rPr>
          <w:rFonts w:hint="eastAsia" w:ascii="宋体" w:hAnsi="宋体" w:cs="宋体"/>
          <w:b/>
          <w:bCs/>
          <w:color w:val="auto"/>
          <w:kern w:val="0"/>
          <w:sz w:val="24"/>
          <w:highlight w:val="none"/>
          <w:lang w:val="zh-CN"/>
        </w:rPr>
        <w:t>5.竞争性磋商文件的约束力</w:t>
      </w:r>
      <w:r>
        <w:rPr>
          <w:rFonts w:hint="eastAsia" w:ascii="宋体" w:hAnsi="宋体" w:cs="宋体"/>
          <w:color w:val="auto"/>
          <w:kern w:val="0"/>
          <w:sz w:val="24"/>
          <w:highlight w:val="none"/>
          <w:lang w:val="zh-CN"/>
        </w:rPr>
        <w:t xml:space="preserve"> </w:t>
      </w:r>
    </w:p>
    <w:p>
      <w:pPr>
        <w:spacing w:line="360" w:lineRule="auto"/>
        <w:ind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5.l供应商一旦参加竞争性磋商，即被认为接受了本竞争性磋商文件中的所有条款和规定。</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5.3本磋商文件由采购人负责解释。</w:t>
      </w:r>
    </w:p>
    <w:p>
      <w:pPr>
        <w:pStyle w:val="28"/>
        <w:ind w:firstLine="480"/>
        <w:rPr>
          <w:rFonts w:ascii="宋体" w:hAnsi="宋体" w:eastAsia="宋体" w:cs="宋体"/>
          <w:color w:val="auto"/>
          <w:sz w:val="24"/>
          <w:highlight w:val="none"/>
        </w:rPr>
      </w:pP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二、竞争性磋商文件</w:t>
      </w:r>
    </w:p>
    <w:p>
      <w:pPr>
        <w:tabs>
          <w:tab w:val="left" w:pos="632"/>
          <w:tab w:val="left" w:pos="790"/>
        </w:tabs>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6．竞争性磋商文件的组成</w:t>
      </w:r>
    </w:p>
    <w:p>
      <w:pPr>
        <w:autoSpaceDE w:val="0"/>
        <w:autoSpaceDN w:val="0"/>
        <w:adjustRightInd w:val="0"/>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6.1竞争性磋商</w:t>
      </w:r>
      <w:r>
        <w:rPr>
          <w:rFonts w:hint="eastAsia" w:ascii="宋体" w:hAnsi="宋体" w:cs="宋体"/>
          <w:color w:val="auto"/>
          <w:sz w:val="24"/>
          <w:highlight w:val="none"/>
          <w:lang w:val="zh-CN"/>
        </w:rPr>
        <w:t>文件是用以阐明的采购需求、采购程序和合同格式等的规范性文件。竞争性磋商文件主要由以下部分组成：</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（1）竞争性磋商邀请函；</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（2）供应商须知；</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（3）采购项目</w:t>
      </w:r>
      <w:r>
        <w:rPr>
          <w:rFonts w:ascii="宋体" w:hAnsi="宋体" w:cs="宋体"/>
          <w:color w:val="auto"/>
          <w:sz w:val="24"/>
          <w:highlight w:val="none"/>
        </w:rPr>
        <w:t>内容及要求</w:t>
      </w:r>
      <w:r>
        <w:rPr>
          <w:rFonts w:hint="eastAsia" w:ascii="宋体" w:hAnsi="宋体" w:cs="宋体"/>
          <w:color w:val="auto"/>
          <w:sz w:val="24"/>
          <w:highlight w:val="none"/>
        </w:rPr>
        <w:t>；</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（4）响应性文件内容及格式；</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（5）周口市政府</w:t>
      </w:r>
      <w:r>
        <w:rPr>
          <w:rFonts w:ascii="宋体" w:hAnsi="宋体" w:cs="宋体"/>
          <w:color w:val="auto"/>
          <w:sz w:val="24"/>
          <w:highlight w:val="none"/>
        </w:rPr>
        <w:t>采购合同（</w:t>
      </w:r>
      <w:r>
        <w:rPr>
          <w:rFonts w:hint="eastAsia" w:ascii="宋体" w:hAnsi="宋体" w:cs="宋体"/>
          <w:color w:val="auto"/>
          <w:sz w:val="24"/>
          <w:highlight w:val="none"/>
        </w:rPr>
        <w:t>货物类</w:t>
      </w:r>
      <w:r>
        <w:rPr>
          <w:rFonts w:ascii="宋体" w:hAnsi="宋体" w:cs="宋体"/>
          <w:color w:val="auto"/>
          <w:sz w:val="24"/>
          <w:highlight w:val="none"/>
        </w:rPr>
        <w:t>）</w:t>
      </w:r>
      <w:r>
        <w:rPr>
          <w:rFonts w:hint="eastAsia" w:ascii="宋体" w:hAnsi="宋体" w:cs="宋体"/>
          <w:color w:val="auto"/>
          <w:sz w:val="24"/>
          <w:highlight w:val="none"/>
        </w:rPr>
        <w:t>标准</w:t>
      </w:r>
      <w:r>
        <w:rPr>
          <w:rFonts w:ascii="宋体" w:hAnsi="宋体" w:cs="宋体"/>
          <w:color w:val="auto"/>
          <w:sz w:val="24"/>
          <w:highlight w:val="none"/>
        </w:rPr>
        <w:t>文本</w:t>
      </w:r>
      <w:r>
        <w:rPr>
          <w:rFonts w:hint="eastAsia" w:ascii="宋体" w:hAnsi="宋体" w:cs="宋体"/>
          <w:color w:val="auto"/>
          <w:sz w:val="24"/>
          <w:highlight w:val="none"/>
        </w:rPr>
        <w:t>。</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6.3供应商被视为充分熟悉本采购项目所在地的与履行合同有关的各种情况，包括自然环境、气候条件、劳动力及公用设施等，本竞争性磋商文件不再对上述情况进行描述。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6.4供应商必须详阅竞争性磋商文件的所有条款、文件及表格格式等。供应商若未按竞争性磋商文件的要求和规范编制、提交响应性文件，将有可能导致响应性文件被拒绝接受或被视为无效。</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6.5供应商</w:t>
      </w:r>
      <w:r>
        <w:rPr>
          <w:rFonts w:ascii="宋体" w:hAnsi="宋体" w:cs="宋体"/>
          <w:color w:val="auto"/>
          <w:sz w:val="24"/>
          <w:highlight w:val="none"/>
        </w:rPr>
        <w:t>提供的资料需要在</w:t>
      </w:r>
      <w:r>
        <w:rPr>
          <w:rFonts w:hint="eastAsia" w:ascii="宋体" w:hAnsi="宋体" w:cs="宋体"/>
          <w:color w:val="auto"/>
          <w:sz w:val="24"/>
          <w:highlight w:val="none"/>
        </w:rPr>
        <w:t>公告</w:t>
      </w:r>
      <w:r>
        <w:rPr>
          <w:rFonts w:ascii="宋体" w:hAnsi="宋体" w:cs="宋体"/>
          <w:color w:val="auto"/>
          <w:sz w:val="24"/>
          <w:highlight w:val="none"/>
        </w:rPr>
        <w:t>后开具，</w:t>
      </w:r>
      <w:r>
        <w:rPr>
          <w:rFonts w:hint="eastAsia" w:ascii="宋体" w:hAnsi="宋体" w:cs="宋体"/>
          <w:color w:val="auto"/>
          <w:sz w:val="24"/>
          <w:highlight w:val="none"/>
        </w:rPr>
        <w:t>否则将有可能导致响应性文件被视为无效。</w:t>
      </w:r>
    </w:p>
    <w:p>
      <w:pPr>
        <w:widowControl/>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7.竞争性磋商文件的澄清与修改</w:t>
      </w:r>
    </w:p>
    <w:p>
      <w:pPr>
        <w:autoSpaceDE w:val="0"/>
        <w:autoSpaceDN w:val="0"/>
        <w:adjustRightInd w:val="0"/>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三、响应性文件的编制</w:t>
      </w:r>
    </w:p>
    <w:p>
      <w:pPr>
        <w:spacing w:line="56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8.要求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8.1供应商应仔细阅读、并充分理解竞争性磋商文件的所有内容，如果有异议在规定的时间内提出，没有异议需做出“无异议”承诺书，承诺书作为响应文件的组织部分，否则视为无效的响应文件。</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8.2任何对竞争性磋商文件的忽略或误解不能作为响应性文件没有完全响应竞争性磋商文件的有效理由。</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8.3供应商没有按照竞争性磋商文件要求提供全部资料，或者供应商没有对竞争性磋商文件在各方面都作出实质性响应是供应商的风险，并可能导致其响应性文件被拒绝。</w:t>
      </w:r>
    </w:p>
    <w:p>
      <w:pPr>
        <w:pStyle w:val="2"/>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w:t>
      </w:r>
      <w:r>
        <w:rPr>
          <w:rFonts w:ascii="宋体" w:hAnsi="宋体" w:cs="宋体"/>
          <w:color w:val="auto"/>
          <w:sz w:val="24"/>
          <w:highlight w:val="none"/>
        </w:rPr>
        <w:t xml:space="preserve">.4 </w:t>
      </w:r>
      <w:r>
        <w:rPr>
          <w:rFonts w:hint="eastAsia" w:ascii="宋体" w:hAnsi="宋体" w:cs="宋体"/>
          <w:color w:val="auto"/>
          <w:sz w:val="24"/>
          <w:highlight w:val="none"/>
        </w:rPr>
        <w:t>供应商</w:t>
      </w:r>
      <w:r>
        <w:rPr>
          <w:rFonts w:ascii="宋体" w:hAnsi="宋体" w:cs="宋体"/>
          <w:color w:val="auto"/>
          <w:sz w:val="24"/>
          <w:highlight w:val="none"/>
        </w:rPr>
        <w:t>需</w:t>
      </w:r>
      <w:r>
        <w:rPr>
          <w:rFonts w:hint="eastAsia" w:ascii="宋体" w:hAnsi="宋体" w:cs="宋体"/>
          <w:color w:val="auto"/>
          <w:sz w:val="24"/>
          <w:highlight w:val="none"/>
        </w:rPr>
        <w:t>保证</w:t>
      </w:r>
      <w:r>
        <w:rPr>
          <w:rFonts w:ascii="宋体" w:hAnsi="宋体" w:cs="宋体"/>
          <w:color w:val="auto"/>
          <w:sz w:val="24"/>
          <w:highlight w:val="none"/>
        </w:rPr>
        <w:t>自行承担参加竞争性磋商采购活动有关的</w:t>
      </w:r>
      <w:r>
        <w:rPr>
          <w:rFonts w:hint="eastAsia" w:ascii="宋体" w:hAnsi="宋体" w:cs="宋体"/>
          <w:color w:val="auto"/>
          <w:sz w:val="24"/>
          <w:highlight w:val="none"/>
        </w:rPr>
        <w:t>全部</w:t>
      </w:r>
      <w:r>
        <w:rPr>
          <w:rFonts w:ascii="宋体" w:hAnsi="宋体" w:cs="宋体"/>
          <w:color w:val="auto"/>
          <w:sz w:val="24"/>
          <w:highlight w:val="none"/>
        </w:rPr>
        <w:t>费用，竞争性磋商组织人在任何情况下均无义务和责任承担上述费用。</w:t>
      </w:r>
    </w:p>
    <w:p>
      <w:pPr>
        <w:widowControl/>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 xml:space="preserve">9.响应性文件的语言及度量衡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9.1响应性文件以及供应商与采购代理机构之间的所有书面往来都应用简体中文书写。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9.2供应商使用其他语言的，以中文翻译为准。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9.3关于计量单位，竞争性磋商文件已有明确规定的，使用竞争性磋商文件规定的计量单位；竞争性磋商文件没有规定的，应采用中华人民共和国法定计量单位。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9.4本竞争性磋商文件所表述的时间均为北京时间。</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10.响应性文件的组成</w:t>
      </w:r>
    </w:p>
    <w:p>
      <w:pPr>
        <w:widowControl/>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10.1响应性文件由资格性证明材料、符合性证明材料、其他材料等组成。具体内容和格式见竞争性磋商文件第四章。</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11.响应性文件格式</w:t>
      </w:r>
    </w:p>
    <w:p>
      <w:pPr>
        <w:widowControl/>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widowControl/>
        <w:spacing w:line="560" w:lineRule="exact"/>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12.竞争性磋商报价</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12.1</w:t>
      </w:r>
      <w:r>
        <w:rPr>
          <w:rFonts w:ascii="宋体" w:hAnsi="宋体" w:cs="宋体"/>
          <w:color w:val="auto"/>
          <w:sz w:val="24"/>
          <w:highlight w:val="none"/>
        </w:rPr>
        <w:t xml:space="preserve"> </w:t>
      </w:r>
      <w:r>
        <w:rPr>
          <w:rFonts w:hint="eastAsia" w:ascii="宋体" w:hAnsi="宋体" w:cs="宋体"/>
          <w:color w:val="auto"/>
          <w:sz w:val="24"/>
          <w:highlight w:val="none"/>
        </w:rPr>
        <w:t>采购人不接受有选择的报价。</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12.2</w:t>
      </w:r>
      <w:r>
        <w:rPr>
          <w:rFonts w:ascii="宋体" w:hAnsi="宋体" w:cs="宋体"/>
          <w:color w:val="auto"/>
          <w:sz w:val="24"/>
          <w:highlight w:val="none"/>
        </w:rPr>
        <w:t xml:space="preserve"> </w:t>
      </w:r>
      <w:r>
        <w:rPr>
          <w:rFonts w:hint="eastAsia" w:ascii="宋体" w:hAnsi="宋体" w:cs="宋体"/>
          <w:color w:val="auto"/>
          <w:sz w:val="24"/>
          <w:highlight w:val="none"/>
        </w:rPr>
        <w:t>报价不得超过采购预算。</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12.3</w:t>
      </w:r>
      <w:r>
        <w:rPr>
          <w:rFonts w:ascii="宋体" w:hAnsi="宋体" w:cs="宋体"/>
          <w:color w:val="auto"/>
          <w:sz w:val="24"/>
          <w:highlight w:val="none"/>
        </w:rPr>
        <w:t xml:space="preserve"> </w:t>
      </w:r>
      <w:r>
        <w:rPr>
          <w:rFonts w:hint="eastAsia" w:ascii="宋体" w:hAnsi="宋体" w:cs="宋体"/>
          <w:color w:val="auto"/>
          <w:sz w:val="24"/>
          <w:highlight w:val="none"/>
        </w:rPr>
        <w:t>报价均须以人民币为计算单位。</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12.4</w:t>
      </w:r>
      <w:r>
        <w:rPr>
          <w:rFonts w:ascii="宋体" w:hAnsi="宋体" w:cs="宋体"/>
          <w:color w:val="auto"/>
          <w:sz w:val="24"/>
          <w:highlight w:val="none"/>
        </w:rPr>
        <w:t xml:space="preserve"> </w:t>
      </w:r>
      <w:r>
        <w:rPr>
          <w:rFonts w:hint="eastAsia" w:ascii="宋体" w:hAnsi="宋体" w:cs="宋体"/>
          <w:color w:val="auto"/>
          <w:sz w:val="24"/>
          <w:highlight w:val="none"/>
        </w:rPr>
        <w:t>供应商</w:t>
      </w:r>
      <w:r>
        <w:rPr>
          <w:rFonts w:ascii="宋体" w:hAnsi="宋体" w:cs="宋体"/>
          <w:color w:val="auto"/>
          <w:sz w:val="24"/>
          <w:highlight w:val="none"/>
        </w:rPr>
        <w:t>必须</w:t>
      </w:r>
      <w:r>
        <w:rPr>
          <w:rFonts w:hint="eastAsia" w:ascii="宋体" w:hAnsi="宋体" w:cs="宋体"/>
          <w:color w:val="auto"/>
          <w:sz w:val="24"/>
          <w:highlight w:val="none"/>
        </w:rPr>
        <w:t>保证</w:t>
      </w:r>
      <w:r>
        <w:rPr>
          <w:rFonts w:ascii="宋体" w:hAnsi="宋体" w:cs="宋体"/>
          <w:color w:val="auto"/>
          <w:sz w:val="24"/>
          <w:highlight w:val="none"/>
        </w:rPr>
        <w:t>确保整体通过用户方及有关主管部门验收，所发生的的验收费用由供应商承担；</w:t>
      </w:r>
    </w:p>
    <w:p>
      <w:pPr>
        <w:spacing w:line="56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 xml:space="preserve">13．响应性文件有效期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13.l响应性文件有效期为响应文件递交截止之日起60日历天，有效期短于此规定的响应性文件将被视为无效。</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14.响应性文件的签署、盖章</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14.1</w:t>
      </w:r>
      <w:r>
        <w:rPr>
          <w:rFonts w:hint="eastAsia" w:ascii="宋体" w:hAnsi="宋体" w:cs="宋体"/>
          <w:color w:val="auto"/>
          <w:sz w:val="24"/>
          <w:highlight w:val="none"/>
          <w:lang w:val="zh-CN"/>
        </w:rPr>
        <w:t>响应性文件中凡是要求签署和加盖公章处均须由供应商的法定代表人或其委托代理人签字并加盖供应商公章。</w:t>
      </w:r>
      <w:r>
        <w:rPr>
          <w:rFonts w:hint="eastAsia"/>
          <w:color w:val="auto"/>
          <w:sz w:val="24"/>
          <w:highlight w:val="none"/>
        </w:rPr>
        <w:t>生成后</w:t>
      </w:r>
      <w:r>
        <w:rPr>
          <w:color w:val="auto"/>
          <w:sz w:val="24"/>
          <w:highlight w:val="none"/>
        </w:rPr>
        <w:t>的电子</w:t>
      </w:r>
      <w:r>
        <w:rPr>
          <w:rFonts w:hint="eastAsia"/>
          <w:color w:val="auto"/>
          <w:sz w:val="24"/>
          <w:highlight w:val="none"/>
        </w:rPr>
        <w:t>响应文件需要加盖供应商骑缝章、供应商法定代表人或委托代理人逐页签字盖章</w:t>
      </w:r>
      <w:r>
        <w:rPr>
          <w:rFonts w:hint="eastAsia" w:ascii="等线" w:hAnsi="等线" w:eastAsia="等线"/>
          <w:bCs/>
          <w:color w:val="auto"/>
          <w:sz w:val="24"/>
          <w:highlight w:val="none"/>
        </w:rPr>
        <w:t>。</w:t>
      </w:r>
      <w:r>
        <w:rPr>
          <w:rFonts w:hint="eastAsia" w:ascii="宋体" w:hAnsi="宋体" w:cs="宋体"/>
          <w:color w:val="auto"/>
          <w:sz w:val="24"/>
          <w:highlight w:val="none"/>
          <w:lang w:val="zh-CN"/>
        </w:rPr>
        <w:t>本竞争性磋商文件所表述（指定）的公章是指法人（供应商）行政公章，不包括专用章。</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14.3供应商提交的资料应证明其满足竞争性磋商文件要求，该文件可以是文字资料、图纸和数据等详细描述的资料。</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14.4供应商</w:t>
      </w:r>
      <w:r>
        <w:rPr>
          <w:rFonts w:ascii="宋体" w:hAnsi="宋体" w:cs="宋体"/>
          <w:color w:val="auto"/>
          <w:sz w:val="24"/>
          <w:highlight w:val="none"/>
        </w:rPr>
        <w:t>应在</w:t>
      </w:r>
      <w:r>
        <w:rPr>
          <w:rFonts w:hint="eastAsia" w:ascii="宋体" w:hAnsi="宋体" w:cs="宋体"/>
          <w:color w:val="auto"/>
          <w:sz w:val="24"/>
          <w:highlight w:val="none"/>
        </w:rPr>
        <w:t>报价一览表投标</w:t>
      </w:r>
      <w:r>
        <w:rPr>
          <w:rFonts w:ascii="宋体" w:hAnsi="宋体" w:cs="宋体"/>
          <w:color w:val="auto"/>
          <w:sz w:val="24"/>
          <w:highlight w:val="none"/>
        </w:rPr>
        <w:t>总价处加盖公章</w:t>
      </w:r>
      <w:r>
        <w:rPr>
          <w:rFonts w:hint="eastAsia" w:ascii="宋体" w:hAnsi="宋体" w:cs="宋体"/>
          <w:color w:val="auto"/>
          <w:sz w:val="24"/>
          <w:highlight w:val="none"/>
        </w:rPr>
        <w:t>。</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15电子投标文件制作，见周口市公共资源交易中心网站下载中心版块《投标单位-电子投标文件视频制作手册》的相关规定。</w:t>
      </w:r>
    </w:p>
    <w:p>
      <w:pPr>
        <w:numPr>
          <w:ilvl w:val="0"/>
          <w:numId w:val="2"/>
        </w:num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响应性文件的递交</w:t>
      </w:r>
    </w:p>
    <w:p>
      <w:pPr>
        <w:autoSpaceDE w:val="0"/>
        <w:autoSpaceDN w:val="0"/>
        <w:adjustRightInd w:val="0"/>
        <w:spacing w:line="500" w:lineRule="exact"/>
        <w:ind w:firstLine="240" w:firstLineChars="100"/>
        <w:rPr>
          <w:rFonts w:ascii="宋体" w:hAnsi="宋体" w:cs="宋体"/>
          <w:color w:val="auto"/>
          <w:sz w:val="24"/>
          <w:highlight w:val="none"/>
        </w:rPr>
      </w:pPr>
      <w:r>
        <w:rPr>
          <w:rFonts w:hint="eastAsia" w:ascii="宋体" w:hAnsi="宋体" w:cs="宋体"/>
          <w:color w:val="auto"/>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autoSpaceDE w:val="0"/>
        <w:autoSpaceDN w:val="0"/>
        <w:adjustRightInd w:val="0"/>
        <w:spacing w:line="500" w:lineRule="exact"/>
        <w:ind w:firstLine="240" w:firstLineChars="100"/>
        <w:rPr>
          <w:rFonts w:ascii="宋体" w:hAnsi="宋体" w:cs="宋体"/>
          <w:color w:val="auto"/>
          <w:sz w:val="24"/>
          <w:highlight w:val="none"/>
        </w:rPr>
      </w:pPr>
      <w:r>
        <w:rPr>
          <w:rFonts w:hint="eastAsia" w:ascii="宋体" w:hAnsi="宋体" w:cs="宋体"/>
          <w:color w:val="auto"/>
          <w:sz w:val="24"/>
          <w:highlight w:val="none"/>
        </w:rPr>
        <w:t>注：加密的电子投标文件的递交，见周口市公共资源交易中心网站下载中心版块《投标单位-电子投标文件视频制作手册》的相关规定。如未在招标文件规定的投标时间截止前上传网上响应文件，投标无效。</w:t>
      </w:r>
    </w:p>
    <w:p>
      <w:pPr>
        <w:autoSpaceDE w:val="0"/>
        <w:autoSpaceDN w:val="0"/>
        <w:adjustRightInd w:val="0"/>
        <w:spacing w:line="500" w:lineRule="exact"/>
        <w:ind w:firstLine="240" w:firstLineChars="100"/>
        <w:rPr>
          <w:rFonts w:ascii="宋体" w:hAnsi="宋体" w:cs="宋体"/>
          <w:color w:val="auto"/>
          <w:sz w:val="24"/>
          <w:highlight w:val="none"/>
        </w:rPr>
      </w:pPr>
      <w:r>
        <w:rPr>
          <w:rFonts w:hint="eastAsia" w:ascii="宋体" w:hAnsi="宋体" w:cs="宋体"/>
          <w:color w:val="auto"/>
          <w:sz w:val="24"/>
          <w:highlight w:val="none"/>
        </w:rPr>
        <w:t>供应商须使用单位CA证书进行电子响应文件远程解密，详见周口市公共资源电子交易中心网站（网址：http://jyzx.zhoukou.gov.cn）办事指南《不见面开标远程在线解密会员端操作手册操作指南》。</w:t>
      </w:r>
    </w:p>
    <w:p>
      <w:pPr>
        <w:spacing w:line="560" w:lineRule="exact"/>
        <w:rPr>
          <w:rFonts w:ascii="宋体" w:hAnsi="宋体" w:cs="宋体"/>
          <w:b/>
          <w:color w:val="auto"/>
          <w:sz w:val="24"/>
          <w:highlight w:val="none"/>
        </w:rPr>
      </w:pPr>
      <w:r>
        <w:rPr>
          <w:rFonts w:hint="eastAsia" w:ascii="宋体" w:hAnsi="宋体" w:cs="宋体"/>
          <w:b/>
          <w:color w:val="auto"/>
          <w:sz w:val="24"/>
          <w:highlight w:val="none"/>
        </w:rPr>
        <w:t>16.响应性文件的递交</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16.1供应商应在竞争性磋商邀请函中规定的截止日期和时间前，将响应性文件在会员系统成功上传，递交（接收）地点为竞争性磋商邀请函中规定的地址。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16.2若采购人推迟了响应性文件接收截止时间，采购人和供应商受响应性文件接收截止时间制约的所有权利和义务均应以新的截止时间为准。 </w:t>
      </w:r>
    </w:p>
    <w:p>
      <w:pPr>
        <w:pStyle w:val="60"/>
        <w:spacing w:line="560" w:lineRule="exact"/>
        <w:ind w:firstLine="482" w:firstLineChars="200"/>
        <w:rPr>
          <w:rFonts w:ascii="宋体" w:hAnsi="宋体"/>
          <w:b/>
          <w:color w:val="auto"/>
          <w:sz w:val="24"/>
          <w:szCs w:val="24"/>
          <w:highlight w:val="none"/>
        </w:rPr>
      </w:pPr>
      <w:r>
        <w:rPr>
          <w:rFonts w:hint="eastAsia" w:ascii="宋体" w:hAnsi="宋体"/>
          <w:b/>
          <w:bCs/>
          <w:color w:val="auto"/>
          <w:sz w:val="24"/>
          <w:szCs w:val="24"/>
          <w:highlight w:val="none"/>
        </w:rPr>
        <w:t>17</w:t>
      </w:r>
      <w:r>
        <w:rPr>
          <w:rFonts w:hint="eastAsia" w:ascii="宋体" w:hAnsi="宋体"/>
          <w:b/>
          <w:color w:val="auto"/>
          <w:sz w:val="24"/>
          <w:szCs w:val="24"/>
          <w:highlight w:val="none"/>
        </w:rPr>
        <w:t>.响应性文件的修改和撤回</w:t>
      </w:r>
    </w:p>
    <w:p>
      <w:pPr>
        <w:pStyle w:val="60"/>
        <w:spacing w:line="560" w:lineRule="exact"/>
        <w:ind w:left="279" w:leftChars="133" w:firstLine="240" w:firstLineChars="100"/>
        <w:rPr>
          <w:rFonts w:ascii="宋体" w:hAnsi="宋体"/>
          <w:b/>
          <w:bCs/>
          <w:color w:val="auto"/>
          <w:sz w:val="24"/>
          <w:szCs w:val="24"/>
          <w:highlight w:val="none"/>
        </w:rPr>
      </w:pPr>
      <w:r>
        <w:rPr>
          <w:rFonts w:hint="eastAsia" w:ascii="宋体" w:hAnsi="宋体"/>
          <w:color w:val="auto"/>
          <w:sz w:val="24"/>
          <w:szCs w:val="24"/>
          <w:highlight w:val="none"/>
        </w:rPr>
        <w:t>17.1供应商在提交响应性文件截止时间前，可以对已上传的响应文件进行撤回补充、修改或撤回，补充、修改，之后进行再次上传，再次上传内容作为响应性文件的组成部分。</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17.2响应性文件的补充、修改文件应按照本竞争性磋商文件有关规定进行密封、签署，修改后的加密的电子投标文件须在投标截止时间前成功上传。 </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17.3供应商在响应性文件接收截止时间后不得修改、撤回响应性文件。供应商在响应性文件接收截止时间后修改响应性文件的，将被拒绝接受。</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17.4供应商有下列情形之一的，采购人将拒绝接受其响应性文件：</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17.4.1在竞争性磋商文件规定的响应性文件接收截止时间之后递交响应性文件的；</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17.4.2响应性文件未按竞争性磋商文件规定密封、签署、盖章的；</w:t>
      </w:r>
    </w:p>
    <w:p>
      <w:pPr>
        <w:pStyle w:val="60"/>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17.4.3一个供应商不止递交一套响应性文件的。</w:t>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五、竞争性磋商</w:t>
      </w:r>
    </w:p>
    <w:p>
      <w:pPr>
        <w:spacing w:line="560" w:lineRule="exact"/>
        <w:ind w:firstLine="482" w:firstLineChars="200"/>
        <w:rPr>
          <w:rFonts w:ascii="宋体" w:hAnsi="宋体" w:cs="宋体"/>
          <w:b/>
          <w:color w:val="auto"/>
          <w:sz w:val="24"/>
          <w:highlight w:val="none"/>
          <w:lang w:val="zh-CN"/>
        </w:rPr>
      </w:pPr>
      <w:r>
        <w:rPr>
          <w:rFonts w:hint="eastAsia" w:ascii="宋体" w:hAnsi="宋体" w:cs="宋体"/>
          <w:b/>
          <w:color w:val="auto"/>
          <w:sz w:val="24"/>
          <w:highlight w:val="none"/>
        </w:rPr>
        <w:t>18.组建</w:t>
      </w:r>
      <w:r>
        <w:rPr>
          <w:rFonts w:hint="eastAsia" w:ascii="宋体" w:hAnsi="宋体" w:cs="宋体"/>
          <w:b/>
          <w:color w:val="auto"/>
          <w:sz w:val="24"/>
          <w:highlight w:val="none"/>
          <w:lang w:val="zh-CN"/>
        </w:rPr>
        <w:t>竞争性磋商小组</w:t>
      </w:r>
    </w:p>
    <w:p>
      <w:pPr>
        <w:spacing w:line="56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18.1采购人根据采购项目的特点依法组建竞争性磋商小组。</w:t>
      </w:r>
    </w:p>
    <w:p>
      <w:pPr>
        <w:spacing w:line="56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18.2竞争性磋商小组</w:t>
      </w:r>
      <w:r>
        <w:rPr>
          <w:rFonts w:hint="eastAsia" w:ascii="宋体" w:hAnsi="宋体" w:cs="宋体"/>
          <w:bCs/>
          <w:color w:val="auto"/>
          <w:kern w:val="0"/>
          <w:sz w:val="24"/>
          <w:highlight w:val="none"/>
        </w:rPr>
        <w:t>确认竞争性磋商文件，并</w:t>
      </w:r>
      <w:r>
        <w:rPr>
          <w:rFonts w:hint="eastAsia" w:ascii="宋体" w:hAnsi="宋体" w:cs="宋体"/>
          <w:color w:val="auto"/>
          <w:kern w:val="0"/>
          <w:sz w:val="24"/>
          <w:highlight w:val="none"/>
        </w:rPr>
        <w:t>负责具体评审事务，根据有关法律法规和竞争性磋商文件规定的评审程序，按照评审方法及评审标准独立履行竞争性磋商小组职责。</w:t>
      </w:r>
    </w:p>
    <w:p>
      <w:pPr>
        <w:pStyle w:val="2"/>
        <w:spacing w:line="360" w:lineRule="auto"/>
        <w:ind w:firstLine="360" w:firstLineChars="150"/>
        <w:rPr>
          <w:rFonts w:ascii="宋体" w:hAnsi="宋体" w:cs="宋体"/>
          <w:color w:val="auto"/>
          <w:kern w:val="0"/>
          <w:sz w:val="24"/>
          <w:highlight w:val="none"/>
        </w:rPr>
      </w:pPr>
      <w:r>
        <w:rPr>
          <w:rFonts w:hint="eastAsia" w:ascii="宋体" w:hAnsi="宋体" w:cs="宋体"/>
          <w:color w:val="auto"/>
          <w:kern w:val="0"/>
          <w:sz w:val="24"/>
          <w:highlight w:val="none"/>
        </w:rPr>
        <w:t>18.3供应商不得以任何方式干扰、影响评标工作，供应商对上述做出书面保证，否则视为不响应竞争性磋商文件实质性内容。</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19.资格性和符合性审查</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exact"/>
        <w:ind w:firstLine="480" w:firstLineChars="200"/>
        <w:rPr>
          <w:rFonts w:ascii="宋体" w:hAnsi="宋体" w:cs="宋体"/>
          <w:b/>
          <w:bCs/>
          <w:color w:val="auto"/>
          <w:sz w:val="24"/>
          <w:highlight w:val="none"/>
        </w:rPr>
      </w:pPr>
      <w:r>
        <w:rPr>
          <w:rFonts w:hint="eastAsia" w:ascii="宋体" w:hAnsi="宋体" w:cs="宋体"/>
          <w:color w:val="auto"/>
          <w:sz w:val="24"/>
          <w:highlight w:val="none"/>
        </w:rPr>
        <w:t>19.1.1资格性审查的内容包括：竞争性磋商文件规定的供应商资格条件；</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19.2.1符合性审查的内容包括：</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（1）响应性文件的有效性(签署情况等)；</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（2）响应性文件的完整性；</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（3）对竞争性磋商文件的响应程度（是否存在重大负偏离等）。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u w:val="single"/>
        </w:rPr>
        <w:t>以上资格性审查和符合性审查的内容只要有一条不满足，则响应性文件无效，将不进入竞争性磋商程序。</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19.3实质性响应的响应性文件是指与竞争性磋商文件的全部条款、条件和规格相符，没有重大偏离；重大负偏离的认定须经竞争性磋商小组三分之二以上同意。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19.5如果响应性文件实质上没有响应竞争性磋商文件的要求，将作为无效处理，供应商不得再对响应性文件进行任何修正从而使其响应性文件成为实质上响应的文件；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19.6竞争性磋商小组审定响应性文件的响应性只根据响应性文件本身的内容而不寻求外部证据。</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19.7凡有下列情况之一的，其响应性文件也被视为未实质性响应竞争性磋商文件，按照无效处理（不再参加竞争性磋商）：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19.7.1未按竞争性磋商文件规定要求</w:t>
      </w:r>
      <w:r>
        <w:rPr>
          <w:rFonts w:hint="eastAsia" w:ascii="宋体" w:hAnsi="宋体" w:cs="宋体"/>
          <w:color w:val="auto"/>
          <w:sz w:val="24"/>
          <w:highlight w:val="none"/>
          <w:lang w:val="zh-CN"/>
        </w:rPr>
        <w:t>签署、盖章的；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19.7.2资格证明文件不全的，或不符合竞争性磋商文件中规定的资格要求的；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19.7.3供应商代表未能出具有效身份证明，或与身份不符的；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19.7.4不符合竞争性磋商文件规定的实质性要求的；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19.7.5响应性文件内容不齐全或内容虚假的；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19.7.6响应性文件的实质性内容未使用中文表述；</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19.7.7响应性文件未按规定签名或盖章的；</w:t>
      </w:r>
    </w:p>
    <w:p>
      <w:pPr>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19.7.8违反法律、行政法规、竞争性磋商文件规定的其他情形的。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19.7.9不同供应商的电子投标（响应）文件上传计算机的网卡 MAC 地址、CPU 序列号和硬盘序列号等硬件信息相同的。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0</w:t>
      </w:r>
      <w:r>
        <w:rPr>
          <w:rFonts w:hint="eastAsia" w:ascii="宋体" w:hAnsi="宋体" w:eastAsia="宋体" w:cs="宋体"/>
          <w:color w:val="auto"/>
          <w:sz w:val="24"/>
          <w:highlight w:val="none"/>
        </w:rPr>
        <w:t>未提供经会计师事务所或审计机构审计的财务会计报表，包括资产负债表、现金流量表、利润表和财务情况说明书；</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19.7.11被授权人和法定代表人未附劳动合同的；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19.7.12供应商提交的资料未标注“与原件一致”字样</w:t>
      </w:r>
      <w:r>
        <w:rPr>
          <w:rFonts w:ascii="宋体" w:hAnsi="宋体" w:eastAsia="宋体" w:cs="宋体"/>
          <w:color w:val="auto"/>
          <w:sz w:val="24"/>
          <w:highlight w:val="none"/>
        </w:rPr>
        <w:t xml:space="preserve"> 。</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3</w:t>
      </w:r>
      <w:r>
        <w:rPr>
          <w:rFonts w:hint="eastAsia" w:ascii="宋体" w:hAnsi="宋体" w:eastAsia="宋体" w:cs="宋体"/>
          <w:color w:val="auto"/>
          <w:sz w:val="24"/>
          <w:highlight w:val="none"/>
        </w:rPr>
        <w:t>不同供应商的投标（响应）文件由同一电子设备编制，打印、复印、加密或者上传的；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4</w:t>
      </w:r>
      <w:r>
        <w:rPr>
          <w:rFonts w:hint="eastAsia" w:ascii="宋体" w:hAnsi="宋体" w:eastAsia="宋体" w:cs="宋体"/>
          <w:color w:val="auto"/>
          <w:sz w:val="24"/>
          <w:highlight w:val="none"/>
        </w:rPr>
        <w:t>不同供应商的投标（响应）文件由同一人送达或者分发，或者不同供应商联系人为同一人或不同联系人的联系电话一致的；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5</w:t>
      </w:r>
      <w:r>
        <w:rPr>
          <w:rFonts w:hint="eastAsia" w:ascii="宋体" w:hAnsi="宋体" w:eastAsia="宋体" w:cs="宋体"/>
          <w:color w:val="auto"/>
          <w:sz w:val="24"/>
          <w:highlight w:val="none"/>
        </w:rPr>
        <w:t>不同供应商的投标（响应）文件的内容存在两处以上细节错误一致；</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6</w:t>
      </w:r>
      <w:r>
        <w:rPr>
          <w:rFonts w:hint="eastAsia" w:ascii="宋体" w:hAnsi="宋体" w:eastAsia="宋体" w:cs="宋体"/>
          <w:color w:val="auto"/>
          <w:sz w:val="24"/>
          <w:highlight w:val="none"/>
        </w:rPr>
        <w:t>不同供应商的法定代表人、委托代理人、项目经理、项目负责人等由同一个单位缴纳社会保险或者领取报酬的；</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ascii="宋体" w:hAnsi="宋体" w:eastAsia="宋体" w:cs="宋体"/>
          <w:color w:val="auto"/>
          <w:sz w:val="24"/>
          <w:highlight w:val="none"/>
        </w:rPr>
        <w:t>7</w:t>
      </w:r>
      <w:r>
        <w:rPr>
          <w:rFonts w:hint="eastAsia" w:ascii="宋体" w:hAnsi="宋体" w:eastAsia="宋体" w:cs="宋体"/>
          <w:color w:val="auto"/>
          <w:sz w:val="24"/>
          <w:highlight w:val="none"/>
        </w:rPr>
        <w:t>不同供应商投标（响应）文件中法定代表人或者负责人签字出自同一人之手。</w:t>
      </w:r>
    </w:p>
    <w:p>
      <w:pPr>
        <w:pStyle w:val="28"/>
        <w:spacing w:line="48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19.7.18未提供依法缴纳税收和社会保障资金的凭证（依法免税或不需要缴纳社会保障资金的供应商应提供相应证明文件）；</w:t>
      </w:r>
    </w:p>
    <w:p>
      <w:pPr>
        <w:pStyle w:val="28"/>
        <w:spacing w:line="480" w:lineRule="auto"/>
        <w:ind w:firstLine="480"/>
        <w:rPr>
          <w:rFonts w:ascii="宋体" w:hAnsi="宋体" w:eastAsia="宋体" w:cs="宋体"/>
          <w:color w:val="auto"/>
          <w:sz w:val="24"/>
          <w:highlight w:val="none"/>
        </w:rPr>
      </w:pPr>
      <w:r>
        <w:rPr>
          <w:rFonts w:ascii="宋体" w:hAnsi="宋体" w:cs="宋体"/>
          <w:color w:val="auto"/>
          <w:sz w:val="24"/>
          <w:szCs w:val="20"/>
          <w:highlight w:val="none"/>
        </w:rPr>
        <w:t>1</w:t>
      </w:r>
      <w:r>
        <w:rPr>
          <w:rFonts w:ascii="宋体" w:hAnsi="宋体" w:eastAsia="宋体" w:cs="宋体"/>
          <w:color w:val="auto"/>
          <w:sz w:val="24"/>
          <w:highlight w:val="none"/>
        </w:rPr>
        <w:t>9.7.19</w:t>
      </w:r>
      <w:r>
        <w:rPr>
          <w:rFonts w:hint="eastAsia" w:ascii="宋体" w:hAnsi="宋体" w:eastAsia="宋体" w:cs="宋体"/>
          <w:color w:val="auto"/>
          <w:sz w:val="24"/>
          <w:highlight w:val="none"/>
        </w:rPr>
        <w:t>供应商对投标质量无承诺的。</w:t>
      </w:r>
    </w:p>
    <w:p>
      <w:pPr>
        <w:pStyle w:val="28"/>
        <w:spacing w:line="48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19.7.20</w:t>
      </w:r>
      <w:r>
        <w:rPr>
          <w:rFonts w:hint="eastAsia" w:ascii="宋体" w:hAnsi="宋体" w:eastAsia="宋体" w:cs="宋体"/>
          <w:color w:val="auto"/>
          <w:sz w:val="24"/>
          <w:highlight w:val="none"/>
        </w:rPr>
        <w:t>投标文件没有提供“廉洁自律承诺书”的。</w:t>
      </w:r>
    </w:p>
    <w:p>
      <w:pPr>
        <w:pStyle w:val="28"/>
        <w:spacing w:line="480" w:lineRule="auto"/>
        <w:ind w:firstLine="480"/>
        <w:rPr>
          <w:rFonts w:ascii="宋体" w:hAnsi="宋体" w:eastAsia="宋体" w:cs="宋体"/>
          <w:color w:val="auto"/>
          <w:sz w:val="24"/>
          <w:highlight w:val="none"/>
        </w:rPr>
      </w:pPr>
      <w:r>
        <w:rPr>
          <w:rFonts w:ascii="宋体" w:hAnsi="宋体" w:eastAsia="宋体" w:cs="宋体"/>
          <w:color w:val="auto"/>
          <w:sz w:val="24"/>
          <w:szCs w:val="20"/>
          <w:highlight w:val="none"/>
        </w:rPr>
        <w:t>19.7.21</w:t>
      </w:r>
      <w:r>
        <w:rPr>
          <w:rFonts w:hint="eastAsia" w:ascii="宋体" w:hAnsi="宋体" w:eastAsia="宋体" w:cs="宋体"/>
          <w:color w:val="auto"/>
          <w:sz w:val="24"/>
          <w:szCs w:val="20"/>
          <w:highlight w:val="none"/>
        </w:rPr>
        <w:t>授权委托书中法定代表人和委托代理人未在身份证扫描件正面和反面签字的。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19.8.1不同供应商的响应性文件互相混装的；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19.8.2不同供应商授权同一人作为供应商委托代理人的；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19.8.3不同供应商的响应性文件载明的项目管理成员为同一人的；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19.8.4有证据证明供应商与采购人、采购代理机构或者其他供应商串通的其他情形；</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19.8.5竞争性磋商小组认定的其他串通情形。</w:t>
      </w:r>
    </w:p>
    <w:p>
      <w:pPr>
        <w:pStyle w:val="49"/>
        <w:rPr>
          <w:rFonts w:ascii="宋体" w:hAnsi="宋体" w:cs="宋体"/>
          <w:color w:val="auto"/>
          <w:sz w:val="24"/>
          <w:szCs w:val="24"/>
          <w:highlight w:val="none"/>
        </w:rPr>
      </w:pP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pStyle w:val="77"/>
              <w:pBdr>
                <w:bottom w:val="none" w:color="auto" w:sz="0" w:space="0"/>
              </w:pBdr>
              <w:tabs>
                <w:tab w:val="clear" w:pos="4153"/>
                <w:tab w:val="clear" w:pos="8306"/>
              </w:tabs>
              <w:snapToGrid w:val="0"/>
              <w:spacing w:line="360" w:lineRule="auto"/>
              <w:ind w:right="-10"/>
              <w:textAlignment w:val="auto"/>
              <w:rPr>
                <w:rFonts w:ascii="宋体" w:hAnsi="宋体" w:cs="宋体"/>
                <w:b/>
                <w:color w:val="auto"/>
                <w:kern w:val="2"/>
                <w:szCs w:val="24"/>
                <w:highlight w:val="none"/>
              </w:rPr>
            </w:pPr>
            <w:r>
              <w:rPr>
                <w:rFonts w:hint="eastAsia" w:ascii="宋体" w:hAnsi="宋体" w:cs="宋体"/>
                <w:b/>
                <w:color w:val="auto"/>
                <w:kern w:val="2"/>
                <w:szCs w:val="24"/>
                <w:highlight w:val="none"/>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序号</w:t>
            </w:r>
          </w:p>
        </w:tc>
        <w:tc>
          <w:tcPr>
            <w:tcW w:w="2665" w:type="dxa"/>
            <w:tcBorders>
              <w:bottom w:val="single" w:color="auto" w:sz="4" w:space="0"/>
            </w:tcBorders>
            <w:vAlign w:val="center"/>
          </w:tcPr>
          <w:p>
            <w:pPr>
              <w:pStyle w:val="77"/>
              <w:pBdr>
                <w:bottom w:val="none" w:color="auto" w:sz="0" w:space="0"/>
              </w:pBdr>
              <w:tabs>
                <w:tab w:val="clear" w:pos="4153"/>
                <w:tab w:val="clear" w:pos="8306"/>
              </w:tabs>
              <w:snapToGrid w:val="0"/>
              <w:spacing w:line="360" w:lineRule="auto"/>
              <w:ind w:right="-10"/>
              <w:textAlignment w:val="auto"/>
              <w:rPr>
                <w:rFonts w:ascii="宋体" w:hAnsi="宋体" w:cs="宋体"/>
                <w:color w:val="auto"/>
                <w:kern w:val="2"/>
                <w:szCs w:val="24"/>
                <w:highlight w:val="none"/>
              </w:rPr>
            </w:pPr>
            <w:r>
              <w:rPr>
                <w:rFonts w:hint="eastAsia" w:ascii="宋体" w:hAnsi="宋体" w:cs="宋体"/>
                <w:color w:val="auto"/>
                <w:kern w:val="2"/>
                <w:szCs w:val="24"/>
                <w:highlight w:val="none"/>
              </w:rPr>
              <w:t>指标名称</w:t>
            </w:r>
          </w:p>
        </w:tc>
        <w:tc>
          <w:tcPr>
            <w:tcW w:w="1937" w:type="dxa"/>
            <w:tcBorders>
              <w:bottom w:val="single" w:color="auto" w:sz="4" w:space="0"/>
            </w:tcBorders>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指标要求</w:t>
            </w:r>
          </w:p>
        </w:tc>
        <w:tc>
          <w:tcPr>
            <w:tcW w:w="825" w:type="dxa"/>
            <w:tcBorders>
              <w:bottom w:val="single" w:color="auto" w:sz="4" w:space="0"/>
            </w:tcBorders>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是否</w:t>
            </w:r>
          </w:p>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通过</w:t>
            </w:r>
          </w:p>
        </w:tc>
        <w:tc>
          <w:tcPr>
            <w:tcW w:w="2371" w:type="dxa"/>
            <w:tcBorders>
              <w:bottom w:val="single" w:color="auto" w:sz="4" w:space="0"/>
            </w:tcBorders>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投标文件格式及</w:t>
            </w:r>
          </w:p>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1</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营业执照</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2</w:t>
            </w:r>
          </w:p>
        </w:tc>
        <w:tc>
          <w:tcPr>
            <w:tcW w:w="2665" w:type="dxa"/>
            <w:vAlign w:val="center"/>
          </w:tcPr>
          <w:p>
            <w:pPr>
              <w:spacing w:after="50" w:line="360" w:lineRule="auto"/>
              <w:ind w:right="-10"/>
              <w:jc w:val="center"/>
              <w:rPr>
                <w:rFonts w:ascii="宋体" w:hAnsi="宋体" w:cs="宋体"/>
                <w:bCs/>
                <w:color w:val="auto"/>
                <w:sz w:val="24"/>
                <w:highlight w:val="none"/>
              </w:rPr>
            </w:pPr>
            <w:r>
              <w:rPr>
                <w:rFonts w:hint="eastAsia" w:ascii="宋体" w:hAnsi="宋体" w:cs="宋体"/>
                <w:bCs/>
                <w:color w:val="auto"/>
                <w:sz w:val="24"/>
                <w:highlight w:val="none"/>
              </w:rPr>
              <w:t>法定代表人及身份证</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3</w:t>
            </w:r>
          </w:p>
        </w:tc>
        <w:tc>
          <w:tcPr>
            <w:tcW w:w="2665" w:type="dxa"/>
            <w:vAlign w:val="center"/>
          </w:tcPr>
          <w:p>
            <w:pPr>
              <w:spacing w:after="50" w:line="360" w:lineRule="auto"/>
              <w:ind w:right="-10"/>
              <w:jc w:val="center"/>
              <w:rPr>
                <w:rFonts w:ascii="宋体" w:hAnsi="宋体" w:cs="宋体"/>
                <w:bCs/>
                <w:color w:val="auto"/>
                <w:sz w:val="24"/>
                <w:highlight w:val="none"/>
              </w:rPr>
            </w:pPr>
            <w:r>
              <w:rPr>
                <w:rFonts w:hint="eastAsia" w:ascii="宋体" w:hAnsi="宋体" w:cs="宋体"/>
                <w:bCs/>
                <w:color w:val="auto"/>
                <w:sz w:val="24"/>
                <w:highlight w:val="none"/>
              </w:rPr>
              <w:t>纳税凭证和社保证明</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4</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财务审计报告</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5</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“信用中国”“中国政府采购网”查询</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6</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响应文件签字盖章格式</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7</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供货期</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ascii="宋体" w:hAnsi="宋体" w:cs="宋体"/>
                <w:color w:val="auto"/>
                <w:sz w:val="24"/>
                <w:highlight w:val="none"/>
              </w:rPr>
              <w:t>8</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响应文件有效期</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ascii="宋体" w:hAnsi="宋体" w:cs="宋体"/>
                <w:color w:val="auto"/>
                <w:sz w:val="24"/>
                <w:highlight w:val="none"/>
              </w:rPr>
              <w:t>9</w:t>
            </w:r>
          </w:p>
        </w:tc>
        <w:tc>
          <w:tcPr>
            <w:tcW w:w="2665"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货物技术要求</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1</w:t>
            </w:r>
            <w:r>
              <w:rPr>
                <w:rFonts w:ascii="宋体" w:hAnsi="宋体" w:cs="宋体"/>
                <w:color w:val="auto"/>
                <w:sz w:val="24"/>
                <w:highlight w:val="none"/>
              </w:rPr>
              <w:t>0</w:t>
            </w:r>
          </w:p>
        </w:tc>
        <w:tc>
          <w:tcPr>
            <w:tcW w:w="2665" w:type="dxa"/>
            <w:vAlign w:val="center"/>
          </w:tcPr>
          <w:p>
            <w:pPr>
              <w:spacing w:after="50" w:line="360" w:lineRule="auto"/>
              <w:ind w:right="-10"/>
              <w:jc w:val="center"/>
              <w:rPr>
                <w:rFonts w:ascii="宋体" w:hAnsi="宋体" w:cs="宋体"/>
                <w:bCs/>
                <w:color w:val="auto"/>
                <w:sz w:val="24"/>
                <w:highlight w:val="none"/>
              </w:rPr>
            </w:pPr>
            <w:r>
              <w:rPr>
                <w:rFonts w:hint="eastAsia" w:ascii="宋体" w:hAnsi="宋体" w:cs="宋体"/>
                <w:bCs/>
                <w:color w:val="auto"/>
                <w:sz w:val="24"/>
                <w:highlight w:val="none"/>
              </w:rPr>
              <w:t>其他实质性要求</w:t>
            </w:r>
          </w:p>
        </w:tc>
        <w:tc>
          <w:tcPr>
            <w:tcW w:w="1937" w:type="dxa"/>
            <w:vAlign w:val="center"/>
          </w:tcPr>
          <w:p>
            <w:pPr>
              <w:spacing w:after="50"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见招标文件</w:t>
            </w:r>
          </w:p>
        </w:tc>
        <w:tc>
          <w:tcPr>
            <w:tcW w:w="825" w:type="dxa"/>
            <w:vAlign w:val="center"/>
          </w:tcPr>
          <w:p>
            <w:pPr>
              <w:adjustRightInd w:val="0"/>
              <w:snapToGrid w:val="0"/>
              <w:spacing w:line="360" w:lineRule="auto"/>
              <w:ind w:right="-10"/>
              <w:rPr>
                <w:rFonts w:ascii="宋体" w:hAnsi="宋体" w:cs="宋体"/>
                <w:color w:val="auto"/>
                <w:sz w:val="24"/>
                <w:highlight w:val="none"/>
              </w:rPr>
            </w:pPr>
          </w:p>
        </w:tc>
        <w:tc>
          <w:tcPr>
            <w:tcW w:w="2371"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color w:val="auto"/>
                <w:sz w:val="24"/>
                <w:highlight w:val="none"/>
              </w:rPr>
              <w:t>1</w:t>
            </w:r>
            <w:r>
              <w:rPr>
                <w:rFonts w:ascii="宋体" w:hAnsi="宋体" w:cs="宋体"/>
                <w:color w:val="auto"/>
                <w:sz w:val="24"/>
                <w:highlight w:val="none"/>
              </w:rPr>
              <w:t>1</w:t>
            </w:r>
          </w:p>
        </w:tc>
        <w:tc>
          <w:tcPr>
            <w:tcW w:w="2665" w:type="dxa"/>
            <w:vAlign w:val="center"/>
          </w:tcPr>
          <w:p>
            <w:pPr>
              <w:spacing w:after="50" w:line="360" w:lineRule="auto"/>
              <w:ind w:right="-10"/>
              <w:jc w:val="center"/>
              <w:rPr>
                <w:rFonts w:ascii="宋体" w:hAnsi="宋体" w:cs="宋体"/>
                <w:bCs/>
                <w:color w:val="auto"/>
                <w:sz w:val="24"/>
                <w:highlight w:val="none"/>
              </w:rPr>
            </w:pPr>
            <w:r>
              <w:rPr>
                <w:rFonts w:hint="eastAsia" w:ascii="宋体" w:hAnsi="宋体" w:cs="宋体"/>
                <w:bCs/>
                <w:color w:val="auto"/>
                <w:sz w:val="24"/>
                <w:highlight w:val="none"/>
              </w:rPr>
              <w:t>结论</w:t>
            </w:r>
          </w:p>
        </w:tc>
        <w:tc>
          <w:tcPr>
            <w:tcW w:w="5133" w:type="dxa"/>
            <w:gridSpan w:val="3"/>
            <w:vAlign w:val="center"/>
          </w:tcPr>
          <w:p>
            <w:pPr>
              <w:adjustRightInd w:val="0"/>
              <w:snapToGrid w:val="0"/>
              <w:spacing w:line="360" w:lineRule="auto"/>
              <w:ind w:right="-10"/>
              <w:jc w:val="center"/>
              <w:rPr>
                <w:rFonts w:ascii="宋体" w:hAnsi="宋体" w:cs="宋体"/>
                <w:color w:val="auto"/>
                <w:sz w:val="24"/>
                <w:highlight w:val="none"/>
              </w:rPr>
            </w:pPr>
            <w:r>
              <w:rPr>
                <w:rFonts w:hint="eastAsia" w:ascii="宋体" w:hAnsi="宋体" w:cs="宋体"/>
                <w:bCs/>
                <w:color w:val="auto"/>
                <w:sz w:val="24"/>
                <w:highlight w:val="none"/>
              </w:rPr>
              <w:t>是否通过审查</w:t>
            </w:r>
          </w:p>
        </w:tc>
      </w:tr>
    </w:tbl>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20.响应性文件的澄清</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20.3供应商拒不进行澄清、说明、补正的，或者不能在竞争性磋商小组规定时间内作出书面澄清、说明、补正的，其响应性文件将被作为无效处理。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20.4供应商的书面澄清材料作为响应性文件的补充。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20.5竞争性磋商小组不得接受供应商主动提出的澄清和解释。 </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20.6并非每个供应商都将被询问、澄清。</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21.竞争性磋商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21.1资格性审查和符合性审查合格的供应商，将进入本次竞争性磋商程序。</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21.2竞争性磋商将按照供应商的签到顺序进行。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21.3磋商内容包括：</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21.3.1按照竞争性磋商文件中商务部分的内容，对照供应商提交的响应文件逐一进行比较各项指标和要求。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21.3.2按照竞争性磋商文件中技术部分的内容，对照供应商提交的响应文件逐一进行比较各项指标和要求。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21.3.3按照竞争性磋商文件中合同条款部分的内容，对照供应商提交的响应文件逐一进行比较各项指标和要求。</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21.3.4在磋商中，磋商的任何一方不得透露与磋商有关的其他供应商的技术资料及其他信息。</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21.4</w:t>
      </w:r>
      <w:r>
        <w:rPr>
          <w:rFonts w:hint="eastAsia" w:ascii="宋体" w:hAnsi="宋体" w:cs="宋体"/>
          <w:color w:val="auto"/>
          <w:sz w:val="24"/>
          <w:highlight w:val="none"/>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21.4.1</w:t>
      </w:r>
      <w:r>
        <w:rPr>
          <w:rFonts w:hint="eastAsia" w:ascii="宋体" w:hAnsi="宋体" w:cs="宋体"/>
          <w:color w:val="auto"/>
          <w:sz w:val="24"/>
          <w:highlight w:val="none"/>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21.4.2</w:t>
      </w:r>
      <w:r>
        <w:rPr>
          <w:rFonts w:hint="eastAsia" w:ascii="宋体" w:hAnsi="宋体" w:cs="宋体"/>
          <w:color w:val="auto"/>
          <w:sz w:val="24"/>
          <w:highlight w:val="none"/>
          <w:lang w:val="zh-CN"/>
        </w:rPr>
        <w:t>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21.5本项目采取一次报价</w:t>
      </w:r>
    </w:p>
    <w:p>
      <w:pPr>
        <w:spacing w:line="560" w:lineRule="exact"/>
        <w:ind w:firstLine="480" w:firstLineChars="200"/>
        <w:rPr>
          <w:rFonts w:ascii="宋体" w:hAnsi="宋体" w:cs="宋体"/>
          <w:color w:val="auto"/>
          <w:sz w:val="24"/>
          <w:highlight w:val="none"/>
          <w:lang w:val="zh-CN"/>
        </w:rPr>
      </w:pPr>
      <w:r>
        <w:rPr>
          <w:rFonts w:ascii="宋体" w:hAnsi="宋体" w:cs="宋体"/>
          <w:color w:val="auto"/>
          <w:sz w:val="24"/>
          <w:highlight w:val="none"/>
          <w:lang w:val="zh-CN"/>
        </w:rPr>
        <w:t>21.5.</w:t>
      </w:r>
      <w:r>
        <w:rPr>
          <w:rFonts w:hint="eastAsia" w:ascii="宋体" w:hAnsi="宋体" w:cs="宋体"/>
          <w:color w:val="auto"/>
          <w:sz w:val="24"/>
          <w:highlight w:val="none"/>
          <w:lang w:val="zh-CN"/>
        </w:rPr>
        <w:t>1. 本次竞争性磋商的报价采用一次报价，一次报价依据是供应商的投标函和开标记录表。</w:t>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六、评定标准</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22.竞争性磋商过程及保密原则</w:t>
      </w:r>
    </w:p>
    <w:p>
      <w:pPr>
        <w:spacing w:line="460" w:lineRule="exact"/>
        <w:ind w:firstLine="480" w:firstLineChars="200"/>
        <w:rPr>
          <w:rFonts w:ascii="宋体" w:hAnsi="宋体" w:cs="宋体"/>
          <w:bCs/>
          <w:color w:val="auto"/>
          <w:sz w:val="24"/>
          <w:highlight w:val="none"/>
        </w:rPr>
      </w:pPr>
      <w:r>
        <w:rPr>
          <w:rFonts w:hint="eastAsia" w:ascii="宋体" w:hAnsi="宋体" w:cs="宋体"/>
          <w:bCs/>
          <w:color w:val="auto"/>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采购代理机构在评标结束后2个工作日内将评标报告送采购人。采购人自收到评标报告之日起５个工作日内，在评标报告确定的中标候选人名单中确定中标人。</w:t>
      </w:r>
    </w:p>
    <w:p>
      <w:pPr>
        <w:pStyle w:val="16"/>
        <w:spacing w:after="0" w:line="560" w:lineRule="exact"/>
        <w:ind w:left="0" w:leftChars="0" w:firstLine="480" w:firstLineChars="200"/>
        <w:rPr>
          <w:bCs/>
          <w:color w:val="auto"/>
          <w:sz w:val="24"/>
          <w:highlight w:val="none"/>
        </w:rPr>
      </w:pPr>
      <w:r>
        <w:rPr>
          <w:rFonts w:hint="eastAsia" w:ascii="宋体" w:hAnsi="宋体" w:cs="宋体"/>
          <w:bCs/>
          <w:color w:val="auto"/>
          <w:sz w:val="24"/>
          <w:highlight w:val="none"/>
        </w:rPr>
        <w:t>22.2</w:t>
      </w:r>
      <w:r>
        <w:rPr>
          <w:rFonts w:hint="eastAsia"/>
          <w:bCs/>
          <w:color w:val="auto"/>
          <w:sz w:val="24"/>
          <w:highlight w:val="none"/>
        </w:rPr>
        <w:t>供应商不得相互串通投标报价，不得妨碍其他供应商的公平竞争，不得损害采购人或其他供应商的合法权益，供应商不得以向采购人、评委会成员行贿或者采取其他不正当手段谋取中标。对上述作出保证并附响应文件中，否则视为不响应竞争性磋商文件要求。</w:t>
      </w:r>
    </w:p>
    <w:p>
      <w:pPr>
        <w:pStyle w:val="16"/>
        <w:spacing w:after="0" w:line="560" w:lineRule="exact"/>
        <w:ind w:left="0" w:leftChars="0" w:firstLine="480" w:firstLineChars="200"/>
        <w:rPr>
          <w:rFonts w:ascii="宋体" w:hAnsi="宋体" w:cs="宋体"/>
          <w:bCs/>
          <w:color w:val="auto"/>
          <w:sz w:val="24"/>
          <w:highlight w:val="none"/>
        </w:rPr>
      </w:pPr>
      <w:r>
        <w:rPr>
          <w:rFonts w:hint="eastAsia" w:ascii="宋体" w:hAnsi="宋体" w:cs="宋体"/>
          <w:bCs/>
          <w:color w:val="auto"/>
          <w:sz w:val="24"/>
          <w:highlight w:val="none"/>
        </w:rPr>
        <w:t>22.3供应商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pPr>
        <w:pStyle w:val="16"/>
        <w:spacing w:after="0" w:line="560" w:lineRule="exact"/>
        <w:ind w:left="0" w:leftChars="0" w:firstLine="480" w:firstLineChars="200"/>
        <w:rPr>
          <w:rFonts w:ascii="宋体" w:hAnsi="宋体" w:cs="宋体"/>
          <w:bCs/>
          <w:color w:val="auto"/>
          <w:sz w:val="24"/>
          <w:highlight w:val="none"/>
        </w:rPr>
      </w:pPr>
      <w:r>
        <w:rPr>
          <w:rFonts w:ascii="宋体" w:hAnsi="宋体" w:cs="宋体"/>
          <w:bCs/>
          <w:color w:val="auto"/>
          <w:sz w:val="24"/>
          <w:highlight w:val="none"/>
        </w:rPr>
        <w:t>22.4</w:t>
      </w:r>
      <w:r>
        <w:rPr>
          <w:rFonts w:hint="eastAsia" w:ascii="宋体" w:hAnsi="宋体" w:cs="宋体"/>
          <w:bCs/>
          <w:color w:val="auto"/>
          <w:sz w:val="24"/>
          <w:highlight w:val="none"/>
        </w:rPr>
        <w:t>对通过初步审查的响应文件，采用百分制综合评分法进行评价。</w:t>
      </w:r>
    </w:p>
    <w:p>
      <w:pPr>
        <w:spacing w:line="360" w:lineRule="auto"/>
        <w:ind w:right="-92" w:rightChars="-44"/>
        <w:rPr>
          <w:rFonts w:hint="eastAsia" w:ascii="宋体" w:hAnsi="宋体" w:cs="宋体"/>
          <w:b/>
          <w:color w:val="auto"/>
          <w:sz w:val="28"/>
          <w:highlight w:val="none"/>
        </w:rPr>
      </w:pPr>
      <w:r>
        <w:rPr>
          <w:rFonts w:hint="eastAsia" w:ascii="宋体" w:hAnsi="宋体" w:cs="宋体"/>
          <w:b/>
          <w:color w:val="auto"/>
          <w:sz w:val="28"/>
          <w:highlight w:val="none"/>
        </w:rPr>
        <w:t>评标方法：</w:t>
      </w:r>
    </w:p>
    <w:p>
      <w:pPr>
        <w:rPr>
          <w:color w:val="auto"/>
          <w:highlight w:val="none"/>
        </w:rPr>
      </w:pPr>
      <w:r>
        <w:rPr>
          <w:rFonts w:hint="eastAsia" w:ascii="宋体" w:hAnsi="宋体" w:cs="宋体"/>
          <w:b/>
          <w:color w:val="auto"/>
          <w:sz w:val="28"/>
          <w:highlight w:val="none"/>
        </w:rPr>
        <w:br w:type="page"/>
      </w:r>
    </w:p>
    <w:p>
      <w:pPr>
        <w:pStyle w:val="28"/>
        <w:ind w:firstLine="480"/>
        <w:rPr>
          <w:rFonts w:ascii="宋体" w:hAnsi="宋体" w:eastAsia="宋体" w:cs="宋体"/>
          <w:color w:val="auto"/>
          <w:sz w:val="24"/>
          <w:highlight w:val="none"/>
        </w:rPr>
      </w:pPr>
    </w:p>
    <w:tbl>
      <w:tblPr>
        <w:tblStyle w:val="29"/>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8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327" w:type="dxa"/>
            <w:noWrap/>
            <w:vAlign w:val="center"/>
          </w:tcPr>
          <w:p>
            <w:pPr>
              <w:jc w:val="center"/>
              <w:rPr>
                <w:rFonts w:hAnsi="宋体" w:cs="宋体"/>
                <w:color w:val="auto"/>
                <w:sz w:val="24"/>
                <w:szCs w:val="24"/>
                <w:highlight w:val="none"/>
              </w:rPr>
            </w:pPr>
            <w:r>
              <w:rPr>
                <w:rFonts w:hint="eastAsia" w:hAnsi="宋体" w:cs="宋体"/>
                <w:color w:val="auto"/>
                <w:sz w:val="24"/>
                <w:szCs w:val="24"/>
                <w:highlight w:val="none"/>
              </w:rPr>
              <w:t>评审条款</w:t>
            </w:r>
          </w:p>
        </w:tc>
        <w:tc>
          <w:tcPr>
            <w:tcW w:w="8052" w:type="dxa"/>
            <w:noWrap/>
            <w:vAlign w:val="center"/>
          </w:tcPr>
          <w:p>
            <w:pPr>
              <w:jc w:val="center"/>
              <w:rPr>
                <w:rFonts w:hAnsi="宋体" w:cs="宋体"/>
                <w:color w:val="auto"/>
                <w:sz w:val="24"/>
                <w:szCs w:val="24"/>
                <w:highlight w:val="none"/>
              </w:rPr>
            </w:pPr>
            <w:r>
              <w:rPr>
                <w:rFonts w:hint="eastAsia" w:hAnsi="宋体" w:cs="宋体"/>
                <w:color w:val="auto"/>
                <w:sz w:val="24"/>
                <w:szCs w:val="24"/>
                <w:highlight w:val="none"/>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3" w:hRule="atLeast"/>
          <w:jc w:val="center"/>
        </w:trPr>
        <w:tc>
          <w:tcPr>
            <w:tcW w:w="1327" w:type="dxa"/>
            <w:noWrap/>
            <w:vAlign w:val="center"/>
          </w:tcPr>
          <w:p>
            <w:pPr>
              <w:jc w:val="center"/>
              <w:rPr>
                <w:rFonts w:ascii="宋体" w:hAnsi="宋体" w:cs="宋体"/>
                <w:color w:val="auto"/>
                <w:sz w:val="24"/>
                <w:szCs w:val="24"/>
                <w:highlight w:val="none"/>
              </w:rPr>
            </w:pPr>
            <w:r>
              <w:rPr>
                <w:rFonts w:hint="eastAsia" w:ascii="宋体" w:hAnsi="宋体" w:cs="宋体"/>
                <w:color w:val="auto"/>
                <w:sz w:val="24"/>
                <w:szCs w:val="24"/>
                <w:highlight w:val="none"/>
              </w:rPr>
              <w:t>投标报价</w:t>
            </w:r>
          </w:p>
          <w:p>
            <w:pPr>
              <w:jc w:val="center"/>
              <w:rPr>
                <w:rFonts w:ascii="宋体" w:hAnsi="宋体" w:cs="宋体"/>
                <w:color w:val="auto"/>
                <w:sz w:val="24"/>
                <w:szCs w:val="24"/>
                <w:highlight w:val="none"/>
              </w:rPr>
            </w:pPr>
            <w:r>
              <w:rPr>
                <w:rFonts w:hint="eastAsia" w:ascii="宋体" w:hAnsi="宋体" w:cs="宋体"/>
                <w:color w:val="auto"/>
                <w:sz w:val="24"/>
                <w:szCs w:val="24"/>
                <w:highlight w:val="none"/>
              </w:rPr>
              <w:t>（30分）</w:t>
            </w:r>
          </w:p>
        </w:tc>
        <w:tc>
          <w:tcPr>
            <w:tcW w:w="8052" w:type="dxa"/>
            <w:noWrap/>
            <w:vAlign w:val="center"/>
          </w:tcPr>
          <w:p>
            <w:pPr>
              <w:jc w:val="left"/>
              <w:rPr>
                <w:rFonts w:hAnsi="宋体" w:cs="宋体"/>
                <w:color w:val="auto"/>
                <w:sz w:val="24"/>
                <w:szCs w:val="24"/>
                <w:highlight w:val="none"/>
              </w:rPr>
            </w:pPr>
            <w:r>
              <w:rPr>
                <w:rFonts w:hint="eastAsia" w:hAnsi="宋体" w:cs="宋体"/>
                <w:color w:val="auto"/>
                <w:sz w:val="24"/>
                <w:szCs w:val="24"/>
                <w:highlight w:val="none"/>
              </w:rPr>
              <w:t>价格采用低价优先法计算，即满足招标文件要求且报价最低的为评标基准价，其价格分为满分。其他供应商的价格分统一按照下列公式计算：价格分=（评标基准价÷评标价）×（30分）</w:t>
            </w:r>
          </w:p>
          <w:p>
            <w:pPr>
              <w:jc w:val="left"/>
              <w:rPr>
                <w:rFonts w:hAnsi="宋体" w:cs="宋体"/>
                <w:color w:val="auto"/>
                <w:sz w:val="24"/>
                <w:szCs w:val="24"/>
                <w:highlight w:val="none"/>
              </w:rPr>
            </w:pPr>
            <w:r>
              <w:rPr>
                <w:rFonts w:hint="eastAsia" w:hAnsi="宋体" w:cs="宋体"/>
                <w:color w:val="auto"/>
                <w:sz w:val="24"/>
                <w:szCs w:val="24"/>
                <w:highlight w:val="none"/>
              </w:rPr>
              <w:t>注：</w:t>
            </w:r>
          </w:p>
          <w:p>
            <w:pPr>
              <w:jc w:val="left"/>
              <w:rPr>
                <w:rFonts w:hAnsi="宋体" w:cs="宋体"/>
                <w:color w:val="auto"/>
                <w:sz w:val="24"/>
                <w:szCs w:val="24"/>
                <w:highlight w:val="none"/>
              </w:rPr>
            </w:pPr>
            <w:r>
              <w:rPr>
                <w:rFonts w:hint="eastAsia" w:hAnsi="宋体" w:cs="宋体"/>
                <w:color w:val="auto"/>
                <w:sz w:val="24"/>
                <w:szCs w:val="24"/>
                <w:highlight w:val="none"/>
              </w:rPr>
              <w:t>1.若投标人投标价格均超过控制价，做废标处理。</w:t>
            </w:r>
          </w:p>
          <w:p>
            <w:pPr>
              <w:jc w:val="left"/>
              <w:rPr>
                <w:rFonts w:hAnsi="宋体" w:cs="宋体"/>
                <w:color w:val="auto"/>
                <w:sz w:val="24"/>
                <w:szCs w:val="24"/>
                <w:highlight w:val="none"/>
              </w:rPr>
            </w:pPr>
            <w:r>
              <w:rPr>
                <w:rFonts w:hint="eastAsia" w:hAnsi="宋体" w:cs="宋体"/>
                <w:color w:val="auto"/>
                <w:sz w:val="24"/>
                <w:szCs w:val="24"/>
                <w:highlight w:val="none"/>
              </w:rPr>
              <w:t>2.对小型、微型、监狱企业、残疾人福利性单位投标报价给予</w:t>
            </w:r>
            <w:r>
              <w:rPr>
                <w:rFonts w:hint="eastAsia" w:hAnsi="宋体" w:cs="宋体"/>
                <w:color w:val="auto"/>
                <w:sz w:val="24"/>
                <w:szCs w:val="24"/>
                <w:highlight w:val="none"/>
                <w:lang w:val="en-US" w:eastAsia="zh-CN"/>
              </w:rPr>
              <w:t>2</w:t>
            </w:r>
            <w:r>
              <w:rPr>
                <w:rFonts w:hint="eastAsia" w:hAnsi="宋体" w:cs="宋体"/>
                <w:color w:val="auto"/>
                <w:sz w:val="24"/>
                <w:szCs w:val="24"/>
                <w:highlight w:val="none"/>
              </w:rPr>
              <w:t>0%的扣除，用扣除后的价格参与评审。参加本项目的中小企业应当提供《中小企业声明函》（格式详见《政府采购促进中小企业发展管理办法》）。</w:t>
            </w:r>
          </w:p>
          <w:p>
            <w:pPr>
              <w:jc w:val="left"/>
              <w:rPr>
                <w:rFonts w:hAnsi="宋体" w:cs="宋体"/>
                <w:color w:val="auto"/>
                <w:sz w:val="24"/>
                <w:szCs w:val="24"/>
                <w:highlight w:val="none"/>
              </w:rPr>
            </w:pPr>
            <w:r>
              <w:rPr>
                <w:rFonts w:hint="eastAsia" w:hAnsi="宋体" w:cs="宋体"/>
                <w:color w:val="auto"/>
                <w:sz w:val="24"/>
                <w:szCs w:val="24"/>
                <w:highlight w:val="none"/>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27" w:type="dxa"/>
            <w:noWrap/>
            <w:vAlign w:val="center"/>
          </w:tcPr>
          <w:p>
            <w:pPr>
              <w:jc w:val="center"/>
              <w:rPr>
                <w:rFonts w:ascii="宋体" w:hAnsi="宋体" w:cs="宋体"/>
                <w:color w:val="auto"/>
                <w:sz w:val="24"/>
                <w:szCs w:val="24"/>
                <w:highlight w:val="none"/>
              </w:rPr>
            </w:pPr>
            <w:r>
              <w:rPr>
                <w:rFonts w:hint="eastAsia" w:ascii="宋体" w:hAnsi="宋体" w:cs="宋体"/>
                <w:color w:val="auto"/>
                <w:sz w:val="24"/>
                <w:szCs w:val="24"/>
                <w:highlight w:val="none"/>
              </w:rPr>
              <w:t>技术部分</w:t>
            </w:r>
          </w:p>
          <w:p>
            <w:pPr>
              <w:jc w:val="center"/>
              <w:rPr>
                <w:rFonts w:ascii="宋体" w:hAnsi="宋体" w:cs="宋体"/>
                <w:color w:val="auto"/>
                <w:sz w:val="24"/>
                <w:szCs w:val="24"/>
                <w:highlight w:val="none"/>
              </w:rPr>
            </w:pPr>
            <w:r>
              <w:rPr>
                <w:rFonts w:hint="eastAsia" w:ascii="宋体" w:hAnsi="宋体" w:cs="宋体"/>
                <w:color w:val="auto"/>
                <w:sz w:val="24"/>
                <w:szCs w:val="24"/>
                <w:highlight w:val="none"/>
              </w:rPr>
              <w:t>（45分）</w:t>
            </w:r>
          </w:p>
        </w:tc>
        <w:tc>
          <w:tcPr>
            <w:tcW w:w="8052" w:type="dxa"/>
            <w:noWrap/>
            <w:vAlign w:val="center"/>
          </w:tcPr>
          <w:p>
            <w:pPr>
              <w:rPr>
                <w:b w:val="0"/>
                <w:bCs w:val="0"/>
                <w:color w:val="auto"/>
                <w:sz w:val="24"/>
                <w:szCs w:val="24"/>
                <w:highlight w:val="none"/>
              </w:rPr>
            </w:pPr>
            <w:r>
              <w:rPr>
                <w:b w:val="0"/>
                <w:bCs w:val="0"/>
                <w:color w:val="auto"/>
                <w:sz w:val="24"/>
                <w:szCs w:val="24"/>
                <w:highlight w:val="none"/>
              </w:rPr>
              <w:t>技术参数及响应：技术参数完全满足招标文件要求的，得基本分45分；每有一项加★参数负偏离，扣5分，其他一般性技术指标，每一项负偏离，扣3分，扣完为止。加★项技术参数须附证明材料，并详细逐项标明在标书中的页码位置。证明材料与标书中的页码位置不符、不能提供证明材料、或提供证明材料无效的或找不到技术证明材料的一律按负偏离处理。</w:t>
            </w:r>
          </w:p>
          <w:p>
            <w:pPr>
              <w:jc w:val="left"/>
              <w:rPr>
                <w:rFonts w:hAnsi="宋体" w:cs="宋体"/>
                <w:color w:val="auto"/>
                <w:sz w:val="24"/>
                <w:szCs w:val="24"/>
                <w:highlight w:val="none"/>
              </w:rPr>
            </w:pPr>
            <w:r>
              <w:rPr>
                <w:rFonts w:hint="eastAsia"/>
                <w:b w:val="0"/>
                <w:bCs w:val="0"/>
                <w:color w:val="auto"/>
                <w:sz w:val="24"/>
                <w:szCs w:val="24"/>
                <w:highlight w:val="none"/>
              </w:rPr>
              <w:t>注：</w:t>
            </w:r>
            <w:r>
              <w:rPr>
                <w:b w:val="0"/>
                <w:bCs w:val="0"/>
                <w:color w:val="auto"/>
                <w:sz w:val="24"/>
                <w:szCs w:val="24"/>
                <w:highlight w:val="none"/>
              </w:rPr>
              <w:t>所投设备技术参数证明材料</w:t>
            </w:r>
            <w:r>
              <w:rPr>
                <w:rFonts w:hint="eastAsia"/>
                <w:b w:val="0"/>
                <w:bCs w:val="0"/>
                <w:color w:val="auto"/>
                <w:sz w:val="24"/>
                <w:szCs w:val="24"/>
                <w:highlight w:val="none"/>
              </w:rPr>
              <w:t>（检验报告/官方彩页/技术白皮书/产品功能截图等需提供证明</w:t>
            </w:r>
            <w:r>
              <w:rPr>
                <w:rFonts w:hint="eastAsia"/>
                <w:b w:val="0"/>
                <w:bCs w:val="0"/>
                <w:color w:val="auto"/>
                <w:sz w:val="24"/>
                <w:szCs w:val="24"/>
                <w:highlight w:val="none"/>
                <w:lang w:eastAsia="zh-CN"/>
              </w:rPr>
              <w:t>材料</w:t>
            </w:r>
            <w:r>
              <w:rPr>
                <w:rFonts w:hint="eastAsia"/>
                <w:b w:val="0"/>
                <w:bCs w:val="0"/>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2" w:hRule="atLeast"/>
          <w:jc w:val="center"/>
        </w:trPr>
        <w:tc>
          <w:tcPr>
            <w:tcW w:w="1327" w:type="dxa"/>
            <w:noWrap/>
            <w:vAlign w:val="center"/>
          </w:tcPr>
          <w:p>
            <w:pPr>
              <w:jc w:val="center"/>
              <w:rPr>
                <w:rFonts w:ascii="宋体" w:hAnsi="宋体" w:cs="宋体"/>
                <w:color w:val="auto"/>
                <w:sz w:val="24"/>
                <w:szCs w:val="24"/>
                <w:highlight w:val="none"/>
              </w:rPr>
            </w:pPr>
            <w:r>
              <w:rPr>
                <w:rFonts w:hint="eastAsia" w:ascii="宋体" w:hAnsi="宋体" w:cs="宋体"/>
                <w:color w:val="auto"/>
                <w:sz w:val="24"/>
                <w:szCs w:val="24"/>
                <w:highlight w:val="none"/>
              </w:rPr>
              <w:t>商务部分</w:t>
            </w:r>
          </w:p>
          <w:p>
            <w:pPr>
              <w:jc w:val="center"/>
              <w:rPr>
                <w:rFonts w:ascii="宋体" w:hAnsi="宋体" w:cs="宋体"/>
                <w:color w:val="auto"/>
                <w:sz w:val="24"/>
                <w:szCs w:val="24"/>
                <w:highlight w:val="none"/>
              </w:rPr>
            </w:pPr>
            <w:r>
              <w:rPr>
                <w:rFonts w:hint="eastAsia" w:ascii="宋体" w:hAnsi="宋体" w:cs="宋体"/>
                <w:color w:val="auto"/>
                <w:sz w:val="24"/>
                <w:szCs w:val="24"/>
                <w:highlight w:val="none"/>
              </w:rPr>
              <w:t>（25分）</w:t>
            </w:r>
          </w:p>
        </w:tc>
        <w:tc>
          <w:tcPr>
            <w:tcW w:w="8052" w:type="dxa"/>
            <w:noWrap/>
            <w:vAlign w:val="center"/>
          </w:tcPr>
          <w:p>
            <w:pPr>
              <w:jc w:val="left"/>
              <w:rPr>
                <w:rFonts w:ascii="宋体" w:hAnsi="宋体" w:cs="宋体"/>
                <w:color w:val="auto"/>
                <w:sz w:val="24"/>
                <w:szCs w:val="24"/>
                <w:highlight w:val="none"/>
              </w:rPr>
            </w:pPr>
            <w:r>
              <w:rPr>
                <w:rFonts w:hint="eastAsia" w:ascii="宋体" w:hAnsi="宋体" w:cs="宋体"/>
                <w:color w:val="auto"/>
                <w:sz w:val="24"/>
                <w:szCs w:val="24"/>
                <w:highlight w:val="none"/>
              </w:rPr>
              <w:t>1.供应商提供原厂售后服务承诺。得</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分，不满足不得分。</w:t>
            </w:r>
          </w:p>
          <w:p>
            <w:pPr>
              <w:jc w:val="left"/>
              <w:rPr>
                <w:rFonts w:ascii="宋体" w:hAnsi="宋体" w:cs="宋体"/>
                <w:color w:val="auto"/>
                <w:sz w:val="24"/>
                <w:szCs w:val="24"/>
                <w:highlight w:val="none"/>
              </w:rPr>
            </w:pPr>
            <w:r>
              <w:rPr>
                <w:rFonts w:hint="eastAsia" w:ascii="宋体" w:hAnsi="宋体" w:cs="宋体"/>
                <w:color w:val="auto"/>
                <w:sz w:val="24"/>
                <w:szCs w:val="24"/>
                <w:highlight w:val="none"/>
              </w:rPr>
              <w:t>2.厂家负责对设备进行检验、安装、调试、直至验收合格；委派厂家技术人员到用户现场进行设备的安装和培训，得</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分，不满足不得分。</w:t>
            </w:r>
          </w:p>
          <w:p>
            <w:pPr>
              <w:jc w:val="left"/>
              <w:rPr>
                <w:color w:val="auto"/>
                <w:highlight w:val="none"/>
              </w:rPr>
            </w:pPr>
            <w:r>
              <w:rPr>
                <w:rFonts w:hint="eastAsia" w:ascii="宋体" w:hAnsi="宋体" w:cs="宋体"/>
                <w:color w:val="auto"/>
                <w:sz w:val="24"/>
                <w:szCs w:val="24"/>
                <w:highlight w:val="none"/>
              </w:rPr>
              <w:t>3.投标人提供针对本项目的售后服务方案：包括但不限于售后服务内容、服务标准并提供厂家认可的专业稳定的售后工程师。提供针对本项目的售后培训方案，包括但不限于培训内容、培训计划、培训标准。满足得</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分。不满足不得分。</w:t>
            </w:r>
          </w:p>
          <w:p>
            <w:pPr>
              <w:pStyle w:val="2"/>
              <w:ind w:left="0" w:leftChars="0" w:firstLine="0" w:firstLineChars="0"/>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4.根据供应商在文件中做出服务及优惠承诺中打分：提供满足使用需求相关的实质性优惠条件，包括却不限于提供相关配套设备、备品备件。服务及质量保障体系得3分、服务人员的技术水平及现场服务措施得3分（包括响应时间、服务范围）</w:t>
            </w:r>
          </w:p>
        </w:tc>
      </w:tr>
    </w:tbl>
    <w:p>
      <w:pPr>
        <w:pStyle w:val="28"/>
        <w:ind w:firstLine="480"/>
        <w:rPr>
          <w:rFonts w:ascii="宋体" w:hAnsi="宋体" w:eastAsia="宋体" w:cs="宋体"/>
          <w:color w:val="auto"/>
          <w:sz w:val="24"/>
          <w:highlight w:val="none"/>
        </w:rPr>
      </w:pPr>
    </w:p>
    <w:p>
      <w:pPr>
        <w:widowControl/>
        <w:jc w:val="left"/>
        <w:rPr>
          <w:rFonts w:ascii="宋体" w:hAnsi="宋体" w:cs="宋体"/>
          <w:b/>
          <w:color w:val="auto"/>
          <w:sz w:val="28"/>
          <w:highlight w:val="none"/>
        </w:rPr>
      </w:pPr>
      <w:r>
        <w:rPr>
          <w:rFonts w:hint="eastAsia" w:ascii="宋体" w:hAnsi="宋体" w:cs="宋体"/>
          <w:b/>
          <w:color w:val="auto"/>
          <w:sz w:val="24"/>
          <w:highlight w:val="none"/>
        </w:rPr>
        <w:t>最终得分为磋商小组所有成员计分的算术平均值，计算保留小数点两位，小数点后第三位四舍五入。</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22.3磋商小组根据综合评分情况，按照评审得分由高到低顺序推荐成交候选供应商，并编写评审报告。综合得分相同的供应商，报价较低者优先；报价也相同的，由采购人自行确定。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hAnsi="宋体" w:cs="宋体"/>
          <w:b/>
          <w:color w:val="auto"/>
          <w:sz w:val="24"/>
          <w:highlight w:val="none"/>
        </w:rPr>
      </w:pPr>
      <w:r>
        <w:rPr>
          <w:rFonts w:hint="eastAsia" w:ascii="宋体" w:hAnsi="宋体" w:cs="宋体"/>
          <w:color w:val="auto"/>
          <w:sz w:val="24"/>
          <w:highlight w:val="none"/>
        </w:rPr>
        <w:t>22.5若供应商的报价高于项目预算，磋商小组有权根据采购人意见及其实际情况，拒绝该报价。</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22.7在竞争性磋商期间，供应商不得向竞争性磋商小组成员询问其它供应商竞争性磋商情况，不得进行旨在影响成交结果的活动。</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22.8在竞争性磋商期间，采购人将有专门人员与供应商进行联络。</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23.竞争性磋商终止</w:t>
      </w:r>
    </w:p>
    <w:p>
      <w:pPr>
        <w:spacing w:line="560" w:lineRule="exact"/>
        <w:ind w:firstLine="480" w:firstLineChars="200"/>
        <w:rPr>
          <w:rFonts w:ascii="宋体" w:hAnsi="宋体" w:cs="宋体"/>
          <w:b/>
          <w:color w:val="auto"/>
          <w:sz w:val="24"/>
          <w:highlight w:val="none"/>
        </w:rPr>
      </w:pPr>
      <w:r>
        <w:rPr>
          <w:rFonts w:hint="eastAsia" w:ascii="宋体" w:hAnsi="宋体" w:cs="宋体"/>
          <w:bCs/>
          <w:color w:val="auto"/>
          <w:sz w:val="24"/>
          <w:highlight w:val="none"/>
        </w:rPr>
        <w:t>23.1出现下列情形之一时，采购人有权宣布竞争性磋商终止，并将理由通知所有供应商：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（1）因情况变化，不再符合竞争性磋商适用情形的；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（2）出现影响采购公正的违法、违规行为的；</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（3）在采购过程中符合磋商文件要求的供应商不足3家的；</w:t>
      </w:r>
    </w:p>
    <w:p>
      <w:pPr>
        <w:spacing w:line="560" w:lineRule="exact"/>
        <w:ind w:firstLine="480" w:firstLineChars="200"/>
        <w:rPr>
          <w:rFonts w:ascii="宋体" w:hAnsi="宋体" w:cs="宋体"/>
          <w:b/>
          <w:color w:val="auto"/>
          <w:sz w:val="24"/>
          <w:highlight w:val="none"/>
        </w:rPr>
      </w:pPr>
      <w:r>
        <w:rPr>
          <w:rFonts w:hint="eastAsia" w:ascii="宋体" w:hAnsi="宋体" w:cs="宋体"/>
          <w:color w:val="auto"/>
          <w:sz w:val="24"/>
          <w:highlight w:val="none"/>
        </w:rPr>
        <w:t>（4）在采购活动中因重大变故，采购任务取消的；</w:t>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七、成交通知</w:t>
      </w:r>
    </w:p>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24.成交通知</w:t>
      </w:r>
    </w:p>
    <w:p>
      <w:pPr>
        <w:tabs>
          <w:tab w:val="left" w:pos="1800"/>
        </w:tabs>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24.1在发出成交公告后请采购人、中标人登录周口市公共资源交易中心网（http://jyzx.zhoukou.gov.cn）自行下载</w:t>
      </w:r>
      <w:r>
        <w:rPr>
          <w:rFonts w:hint="eastAsia" w:cs="宋体"/>
          <w:color w:val="auto"/>
          <w:sz w:val="24"/>
          <w:highlight w:val="none"/>
        </w:rPr>
        <w:t>成交</w:t>
      </w:r>
      <w:r>
        <w:rPr>
          <w:rFonts w:hint="eastAsia" w:ascii="宋体" w:hAnsi="宋体" w:cs="宋体"/>
          <w:color w:val="auto"/>
          <w:sz w:val="24"/>
          <w:highlight w:val="none"/>
        </w:rPr>
        <w:t>通知书，成交通知书将作为签订合同的依据。</w:t>
      </w:r>
    </w:p>
    <w:p>
      <w:pPr>
        <w:tabs>
          <w:tab w:val="left" w:pos="1800"/>
        </w:tabs>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24.2成交通知书对采购人和成交供应商具有同等法律效力。成交通知书发出后，采购人改变成交结果，或者成交供应商放弃成交，应当承担相应的法律责任。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cs="宋体"/>
          <w:color w:val="auto"/>
          <w:sz w:val="24"/>
          <w:highlight w:val="none"/>
        </w:rPr>
      </w:pPr>
      <w:r>
        <w:rPr>
          <w:rFonts w:hint="eastAsia" w:ascii="宋体" w:hAnsi="宋体" w:cs="宋体"/>
          <w:b/>
          <w:color w:val="auto"/>
          <w:sz w:val="24"/>
          <w:highlight w:val="none"/>
        </w:rPr>
        <w:t>八、合同授予</w:t>
      </w:r>
    </w:p>
    <w:p>
      <w:pPr>
        <w:tabs>
          <w:tab w:val="left" w:pos="1620"/>
        </w:tabs>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25.签订合同及合同的执行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25.1采购人、成交供应商在成交通知书发出之日起30日内，按照竞争性磋商文件确定的合同文本签订政府采购合同。成交供应商应按照规定的时间、地点与采购人签订采购合同，供应商对此项内容做出书面保证，否则给采购人造成损失的，供应商还应承担赔偿责任。</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25.2采购人不得向成交供应商提出超过竞争性磋商文件以外的任何要求作为签订合同的条件，不得与成交供应商订立背离竞争性磋商文件确定的合同文本协议。</w:t>
      </w:r>
    </w:p>
    <w:p>
      <w:pPr>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pStyle w:val="2"/>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ascii="宋体" w:hAnsi="宋体" w:cs="宋体"/>
          <w:color w:val="auto"/>
          <w:sz w:val="24"/>
          <w:highlight w:val="none"/>
        </w:rPr>
        <w:t>5.4</w:t>
      </w:r>
      <w:r>
        <w:rPr>
          <w:rFonts w:hint="eastAsia" w:ascii="宋体" w:hAnsi="宋体" w:cs="宋体"/>
          <w:color w:val="auto"/>
          <w:sz w:val="24"/>
          <w:highlight w:val="none"/>
        </w:rPr>
        <w:t>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保证，未提供承诺的供应商将拒绝其参与本次政府采购活动。</w:t>
      </w:r>
    </w:p>
    <w:p>
      <w:pPr>
        <w:pStyle w:val="2"/>
        <w:spacing w:line="48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25.5</w:t>
      </w:r>
      <w:r>
        <w:rPr>
          <w:rFonts w:hint="eastAsia" w:asciiTheme="minorEastAsia" w:hAnsiTheme="minorEastAsia" w:eastAsiaTheme="minorEastAsia"/>
          <w:color w:val="auto"/>
          <w:sz w:val="24"/>
          <w:highlight w:val="none"/>
        </w:rPr>
        <w:t>因项目要求交货期紧，采购人通知领取成交通知书的当天，必须进行领取，并尽快联系采购人签订合同，供应商对此项内容做出保证，否则为无效响应文件。</w:t>
      </w:r>
    </w:p>
    <w:p>
      <w:pPr>
        <w:spacing w:line="720" w:lineRule="auto"/>
        <w:jc w:val="center"/>
        <w:rPr>
          <w:rFonts w:ascii="宋体" w:hAnsi="宋体" w:cs="宋体"/>
          <w:b/>
          <w:color w:val="auto"/>
          <w:sz w:val="24"/>
          <w:highlight w:val="none"/>
        </w:rPr>
      </w:pPr>
      <w:r>
        <w:rPr>
          <w:rFonts w:hint="eastAsia" w:ascii="宋体" w:hAnsi="宋体" w:cs="宋体"/>
          <w:b/>
          <w:color w:val="auto"/>
          <w:sz w:val="24"/>
          <w:highlight w:val="none"/>
        </w:rPr>
        <w:t>九、质疑处理</w:t>
      </w:r>
    </w:p>
    <w:p>
      <w:pPr>
        <w:rPr>
          <w:rFonts w:ascii="宋体" w:hAnsi="宋体" w:cs="宋体"/>
          <w:b/>
          <w:color w:val="auto"/>
          <w:sz w:val="24"/>
          <w:highlight w:val="none"/>
        </w:rPr>
      </w:pPr>
      <w:r>
        <w:rPr>
          <w:rFonts w:hint="eastAsia" w:ascii="宋体" w:hAnsi="宋体" w:cs="宋体"/>
          <w:b/>
          <w:color w:val="auto"/>
          <w:sz w:val="24"/>
          <w:highlight w:val="none"/>
        </w:rPr>
        <w:t>26.质疑程序及处理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26.1</w:t>
      </w:r>
      <w:r>
        <w:rPr>
          <w:rFonts w:hint="eastAsia" w:ascii="宋体" w:hAnsi="宋体" w:cs="宋体"/>
          <w:bCs/>
          <w:color w:val="auto"/>
          <w:sz w:val="24"/>
          <w:highlight w:val="none"/>
        </w:rPr>
        <w:t>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26.2采购人在收到供应商的书面质疑后七个工作日内做出答复，并以书面形式通知质疑供应商和其他供应商，但答复内容不得涉及商业秘密。</w:t>
      </w:r>
    </w:p>
    <w:p>
      <w:pPr>
        <w:spacing w:line="56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26.3</w:t>
      </w:r>
      <w:r>
        <w:rPr>
          <w:rFonts w:hint="eastAsia" w:ascii="宋体" w:hAnsi="宋体" w:cs="宋体"/>
          <w:bCs/>
          <w:color w:val="auto"/>
          <w:sz w:val="24"/>
          <w:highlight w:val="none"/>
        </w:rPr>
        <w:t>质疑供应商行使质疑权时，必须遵守“实事求是”和“谨慎性”原则，承担使用虚假材料或恶意方式质疑的法律责任，</w:t>
      </w:r>
      <w:r>
        <w:rPr>
          <w:rFonts w:hint="eastAsia" w:ascii="宋体" w:hAnsi="宋体" w:cs="宋体"/>
          <w:color w:val="auto"/>
          <w:sz w:val="24"/>
          <w:highlight w:val="none"/>
        </w:rPr>
        <w:t>采购人</w:t>
      </w:r>
      <w:r>
        <w:rPr>
          <w:rFonts w:hint="eastAsia" w:ascii="宋体" w:hAnsi="宋体" w:cs="宋体"/>
          <w:bCs/>
          <w:color w:val="auto"/>
          <w:sz w:val="24"/>
          <w:highlight w:val="none"/>
        </w:rPr>
        <w:t>将遵循“谁过错谁负担”的原则，由过错方提交相关的调查论证费用。</w:t>
      </w:r>
    </w:p>
    <w:p>
      <w:pPr>
        <w:spacing w:line="560" w:lineRule="exact"/>
        <w:ind w:firstLine="480" w:firstLineChars="200"/>
        <w:rPr>
          <w:rFonts w:ascii="宋体" w:hAnsi="宋体" w:cs="宋体"/>
          <w:color w:val="auto"/>
          <w:sz w:val="24"/>
          <w:highlight w:val="none"/>
        </w:rPr>
        <w:sectPr>
          <w:footerReference r:id="rId3" w:type="default"/>
          <w:pgSz w:w="11907" w:h="16840"/>
          <w:pgMar w:top="1440" w:right="1080" w:bottom="1440" w:left="1080" w:header="851" w:footer="992" w:gutter="0"/>
          <w:cols w:space="720" w:num="1"/>
          <w:docGrid w:type="lines" w:linePitch="312" w:charSpace="0"/>
        </w:sectPr>
      </w:pPr>
      <w:r>
        <w:rPr>
          <w:rFonts w:hint="eastAsia" w:ascii="宋体" w:hAnsi="宋体" w:cs="宋体"/>
          <w:color w:val="auto"/>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pStyle w:val="4"/>
        <w:spacing w:line="240" w:lineRule="auto"/>
        <w:jc w:val="center"/>
        <w:rPr>
          <w:rFonts w:ascii="宋体" w:hAnsi="宋体" w:cs="宋体"/>
          <w:color w:val="auto"/>
          <w:sz w:val="32"/>
          <w:highlight w:val="none"/>
        </w:rPr>
      </w:pPr>
      <w:bookmarkStart w:id="3" w:name="_Toc90643417"/>
      <w:r>
        <w:rPr>
          <w:rFonts w:hint="eastAsia" w:ascii="宋体" w:hAnsi="宋体" w:cs="宋体"/>
          <w:color w:val="auto"/>
          <w:sz w:val="32"/>
          <w:highlight w:val="none"/>
        </w:rPr>
        <w:t>第三章 采购项目内容及要求</w:t>
      </w:r>
      <w:bookmarkEnd w:id="3"/>
    </w:p>
    <w:p>
      <w:pPr>
        <w:spacing w:line="240" w:lineRule="auto"/>
        <w:rPr>
          <w:rFonts w:hint="eastAsia" w:eastAsia="宋体"/>
          <w:b/>
          <w:color w:val="auto"/>
          <w:sz w:val="24"/>
          <w:szCs w:val="20"/>
          <w:highlight w:val="none"/>
          <w:lang w:eastAsia="zh-CN"/>
        </w:rPr>
      </w:pPr>
      <w:r>
        <w:rPr>
          <w:rFonts w:hint="eastAsia"/>
          <w:b/>
          <w:color w:val="auto"/>
          <w:sz w:val="24"/>
          <w:szCs w:val="20"/>
          <w:highlight w:val="none"/>
        </w:rPr>
        <w:t>采购数量</w:t>
      </w:r>
      <w:r>
        <w:rPr>
          <w:b/>
          <w:color w:val="auto"/>
          <w:sz w:val="24"/>
          <w:szCs w:val="20"/>
          <w:highlight w:val="none"/>
        </w:rPr>
        <w:t>：</w:t>
      </w:r>
      <w:r>
        <w:rPr>
          <w:rFonts w:hint="eastAsia"/>
          <w:b/>
          <w:color w:val="auto"/>
          <w:sz w:val="24"/>
          <w:szCs w:val="20"/>
          <w:highlight w:val="none"/>
          <w:lang w:val="en-US" w:eastAsia="zh-CN"/>
        </w:rPr>
        <w:t>1台</w:t>
      </w:r>
    </w:p>
    <w:p>
      <w:pPr>
        <w:spacing w:line="360" w:lineRule="auto"/>
        <w:rPr>
          <w:rFonts w:hint="eastAsia" w:ascii="宋体" w:hAnsi="宋体" w:eastAsia="宋体" w:cs="宋体"/>
          <w:bCs/>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一、</w:t>
      </w:r>
      <w:r>
        <w:rPr>
          <w:rFonts w:hint="eastAsia" w:ascii="宋体" w:hAnsi="宋体" w:eastAsia="宋体" w:cs="宋体"/>
          <w:b/>
          <w:bCs w:val="0"/>
          <w:color w:val="auto"/>
          <w:kern w:val="2"/>
          <w:sz w:val="24"/>
          <w:szCs w:val="22"/>
          <w:highlight w:val="none"/>
          <w:lang w:val="en-US" w:eastAsia="zh-CN" w:bidi="ar-SA"/>
        </w:rPr>
        <w:t>设备名称</w:t>
      </w:r>
      <w:r>
        <w:rPr>
          <w:rFonts w:hint="eastAsia" w:ascii="宋体" w:hAnsi="宋体" w:eastAsia="宋体" w:cs="宋体"/>
          <w:bCs/>
          <w:color w:val="auto"/>
          <w:kern w:val="2"/>
          <w:sz w:val="24"/>
          <w:szCs w:val="22"/>
          <w:highlight w:val="none"/>
          <w:lang w:val="en-US" w:eastAsia="zh-CN" w:bidi="ar-SA"/>
        </w:rPr>
        <w:t>：全数字彩色多普勒超声系统</w:t>
      </w:r>
    </w:p>
    <w:p>
      <w:pPr>
        <w:spacing w:line="360" w:lineRule="auto"/>
        <w:rPr>
          <w:rFonts w:hint="eastAsia" w:ascii="宋体" w:hAnsi="宋体" w:eastAsia="宋体" w:cs="宋体"/>
          <w:bCs/>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二、</w:t>
      </w:r>
      <w:r>
        <w:rPr>
          <w:rFonts w:hint="eastAsia" w:ascii="宋体" w:hAnsi="宋体" w:eastAsia="宋体" w:cs="宋体"/>
          <w:b/>
          <w:bCs w:val="0"/>
          <w:color w:val="auto"/>
          <w:kern w:val="2"/>
          <w:sz w:val="24"/>
          <w:szCs w:val="22"/>
          <w:highlight w:val="none"/>
          <w:lang w:val="en-US" w:eastAsia="zh-CN" w:bidi="ar-SA"/>
        </w:rPr>
        <w:t>用途</w:t>
      </w:r>
      <w:r>
        <w:rPr>
          <w:rFonts w:hint="eastAsia" w:ascii="宋体" w:hAnsi="宋体" w:eastAsia="宋体" w:cs="宋体"/>
          <w:bCs/>
          <w:color w:val="auto"/>
          <w:kern w:val="2"/>
          <w:sz w:val="24"/>
          <w:szCs w:val="22"/>
          <w:highlight w:val="none"/>
          <w:lang w:val="en-US" w:eastAsia="zh-CN" w:bidi="ar-SA"/>
        </w:rPr>
        <w:t>：</w:t>
      </w:r>
      <w:bookmarkStart w:id="4" w:name="_Hlk111555523"/>
      <w:r>
        <w:rPr>
          <w:rFonts w:hint="eastAsia" w:ascii="宋体" w:hAnsi="宋体" w:eastAsia="宋体" w:cs="宋体"/>
          <w:bCs/>
          <w:color w:val="auto"/>
          <w:kern w:val="2"/>
          <w:sz w:val="24"/>
          <w:szCs w:val="22"/>
          <w:highlight w:val="none"/>
          <w:lang w:val="en-US" w:eastAsia="zh-CN" w:bidi="ar-SA"/>
        </w:rPr>
        <w:t>主要用于腹部、产科、妇科、心脏、小器官、血管、泌尿、儿科、神经、急症等方面的临床诊断工作</w:t>
      </w:r>
      <w:bookmarkEnd w:id="4"/>
      <w:r>
        <w:rPr>
          <w:rFonts w:hint="eastAsia" w:ascii="宋体" w:hAnsi="宋体" w:eastAsia="宋体" w:cs="宋体"/>
          <w:bCs/>
          <w:color w:val="auto"/>
          <w:kern w:val="2"/>
          <w:sz w:val="24"/>
          <w:szCs w:val="22"/>
          <w:highlight w:val="none"/>
          <w:lang w:val="en-US" w:eastAsia="zh-CN" w:bidi="ar-SA"/>
        </w:rPr>
        <w:t>，具备持续升级能力，能满足开展新的临床应用需求。</w:t>
      </w:r>
    </w:p>
    <w:p>
      <w:pPr>
        <w:spacing w:line="360" w:lineRule="auto"/>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三、</w:t>
      </w:r>
      <w:r>
        <w:rPr>
          <w:rFonts w:hint="eastAsia" w:ascii="宋体" w:hAnsi="宋体" w:eastAsia="宋体" w:cs="宋体"/>
          <w:b/>
          <w:bCs w:val="0"/>
          <w:color w:val="auto"/>
          <w:kern w:val="2"/>
          <w:sz w:val="24"/>
          <w:szCs w:val="22"/>
          <w:highlight w:val="none"/>
          <w:lang w:val="en-US" w:eastAsia="zh-CN" w:bidi="ar-SA"/>
        </w:rPr>
        <w:t>主要技术规格及系统概述：</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3.1 </w:t>
      </w:r>
      <w:r>
        <w:rPr>
          <w:rFonts w:hint="eastAsia" w:ascii="宋体" w:hAnsi="宋体" w:eastAsia="宋体" w:cs="宋体"/>
          <w:b/>
          <w:bCs w:val="0"/>
          <w:color w:val="auto"/>
          <w:kern w:val="2"/>
          <w:sz w:val="24"/>
          <w:szCs w:val="22"/>
          <w:highlight w:val="none"/>
          <w:lang w:val="en-US" w:eastAsia="zh-CN" w:bidi="ar-SA"/>
        </w:rPr>
        <w:t>主机成像系统：</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3.1.1 </w:t>
      </w:r>
      <w:r>
        <w:rPr>
          <w:rFonts w:hint="eastAsia" w:ascii="宋体" w:hAnsi="宋体" w:eastAsia="宋体" w:cs="宋体"/>
          <w:bCs/>
          <w:color w:val="auto"/>
          <w:kern w:val="2"/>
          <w:sz w:val="24"/>
          <w:szCs w:val="22"/>
          <w:highlight w:val="none"/>
          <w:lang w:val="en-US" w:eastAsia="zh-CN" w:bidi="ar-SA"/>
        </w:rPr>
        <w:t>高分辨率液晶显示器≥21.英寸，屏幕亮度和对比度数字可调，显示器亮度可根据环境光自动调节，可上下左右任意旋转，可前后折叠</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3.1.2 </w:t>
      </w:r>
      <w:r>
        <w:rPr>
          <w:rFonts w:hint="eastAsia" w:ascii="宋体" w:hAnsi="宋体" w:eastAsia="宋体" w:cs="宋体"/>
          <w:bCs/>
          <w:color w:val="auto"/>
          <w:kern w:val="2"/>
          <w:sz w:val="24"/>
          <w:szCs w:val="22"/>
          <w:highlight w:val="none"/>
          <w:lang w:val="en-US" w:eastAsia="zh-CN" w:bidi="ar-SA"/>
        </w:rPr>
        <w:t>※操作面板具备防眩光彩色触摸屏≥13英寸。触摸屏可独立调节角度≥50度</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3.1.3 </w:t>
      </w:r>
      <w:r>
        <w:rPr>
          <w:rFonts w:hint="eastAsia" w:ascii="宋体" w:hAnsi="宋体" w:eastAsia="宋体" w:cs="宋体"/>
          <w:bCs/>
          <w:color w:val="auto"/>
          <w:kern w:val="2"/>
          <w:sz w:val="24"/>
          <w:szCs w:val="22"/>
          <w:highlight w:val="none"/>
          <w:lang w:val="en-US" w:eastAsia="zh-CN" w:bidi="ar-SA"/>
        </w:rPr>
        <w:t>触摸屏支持手势控制，可自定义≥7个双指手势功能</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3.1.4 </w:t>
      </w:r>
      <w:r>
        <w:rPr>
          <w:rFonts w:hint="eastAsia" w:ascii="宋体" w:hAnsi="宋体" w:eastAsia="宋体" w:cs="宋体"/>
          <w:bCs/>
          <w:color w:val="auto"/>
          <w:kern w:val="2"/>
          <w:sz w:val="24"/>
          <w:szCs w:val="22"/>
          <w:highlight w:val="none"/>
          <w:lang w:val="en-US" w:eastAsia="zh-CN" w:bidi="ar-SA"/>
        </w:rPr>
        <w:t>控制面板全空间悬浮式调节，可同时旋转和升降，前后拉升。旋转角度 ≥180度，上下移动≥30cm</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3.1.5 </w:t>
      </w:r>
      <w:r>
        <w:rPr>
          <w:rFonts w:hint="eastAsia" w:ascii="宋体" w:hAnsi="宋体" w:eastAsia="宋体" w:cs="宋体"/>
          <w:bCs/>
          <w:color w:val="auto"/>
          <w:kern w:val="2"/>
          <w:sz w:val="24"/>
          <w:szCs w:val="22"/>
          <w:highlight w:val="none"/>
          <w:lang w:val="en-US" w:eastAsia="zh-CN" w:bidi="ar-SA"/>
        </w:rPr>
        <w:t>解剖M型技术≥3条取样线，可360度任意旋转，可在实时和冻结的二维图像上获取解剖M图像。</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3.1.6 </w:t>
      </w:r>
      <w:r>
        <w:rPr>
          <w:rFonts w:hint="eastAsia" w:ascii="宋体" w:hAnsi="宋体" w:eastAsia="宋体" w:cs="宋体"/>
          <w:bCs/>
          <w:color w:val="auto"/>
          <w:kern w:val="2"/>
          <w:sz w:val="24"/>
          <w:szCs w:val="22"/>
          <w:highlight w:val="none"/>
          <w:lang w:val="en-US" w:eastAsia="zh-CN" w:bidi="ar-SA"/>
        </w:rPr>
        <w:t>智能化一键图像优化技术，自动连续优化图像，具备独立按键。可支持对二维灰阶、彩色多普勒、频谱多普勒、及造影图像的优化。</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3.1.7 </w:t>
      </w:r>
      <w:r>
        <w:rPr>
          <w:rFonts w:hint="eastAsia" w:ascii="宋体" w:hAnsi="宋体" w:eastAsia="宋体" w:cs="宋体"/>
          <w:bCs/>
          <w:color w:val="auto"/>
          <w:kern w:val="2"/>
          <w:sz w:val="24"/>
          <w:szCs w:val="22"/>
          <w:highlight w:val="none"/>
          <w:lang w:val="en-US" w:eastAsia="zh-CN" w:bidi="ar-SA"/>
        </w:rPr>
        <w:t>空间复合成像技术，支持彩色多普勒模式</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3.1.8 </w:t>
      </w:r>
      <w:r>
        <w:rPr>
          <w:rFonts w:hint="eastAsia" w:ascii="宋体" w:hAnsi="宋体" w:eastAsia="宋体" w:cs="宋体"/>
          <w:bCs/>
          <w:color w:val="auto"/>
          <w:kern w:val="2"/>
          <w:sz w:val="24"/>
          <w:szCs w:val="22"/>
          <w:highlight w:val="none"/>
          <w:lang w:val="en-US" w:eastAsia="zh-CN" w:bidi="ar-SA"/>
        </w:rPr>
        <w:t>斑点噪声抑制技术，在二维图像，造影成像模式及三维成像下可支持≥7档调节。</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3.1.9 </w:t>
      </w:r>
      <w:r>
        <w:rPr>
          <w:rFonts w:hint="eastAsia" w:ascii="宋体" w:hAnsi="宋体" w:eastAsia="宋体" w:cs="宋体"/>
          <w:bCs/>
          <w:color w:val="auto"/>
          <w:kern w:val="2"/>
          <w:sz w:val="24"/>
          <w:szCs w:val="22"/>
          <w:highlight w:val="none"/>
          <w:lang w:val="en-US" w:eastAsia="zh-CN" w:bidi="ar-SA"/>
        </w:rPr>
        <w:t>具备自动血流跟踪技术，可以实现ROI框位置和角度的自动优化，提供Color/Power模式下彩色血流/能量图像的实时动态优化</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3.1.10 </w:t>
      </w:r>
      <w:r>
        <w:rPr>
          <w:rFonts w:hint="eastAsia" w:ascii="宋体" w:hAnsi="宋体" w:eastAsia="宋体" w:cs="宋体"/>
          <w:bCs/>
          <w:color w:val="auto"/>
          <w:kern w:val="2"/>
          <w:sz w:val="24"/>
          <w:szCs w:val="22"/>
          <w:highlight w:val="none"/>
          <w:lang w:val="en-US" w:eastAsia="zh-CN" w:bidi="ar-SA"/>
        </w:rPr>
        <w:t>※穿刺针增强技术，凸阵和线阵探头均可支持，具有双屏实时对比显示（增强前后效果），并支持自适应校正角度</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3.1.11 </w:t>
      </w:r>
      <w:r>
        <w:rPr>
          <w:rFonts w:hint="eastAsia" w:ascii="宋体" w:hAnsi="宋体" w:eastAsia="宋体" w:cs="宋体"/>
          <w:bCs/>
          <w:color w:val="auto"/>
          <w:kern w:val="2"/>
          <w:sz w:val="24"/>
          <w:szCs w:val="22"/>
          <w:highlight w:val="none"/>
          <w:lang w:val="en-US" w:eastAsia="zh-CN" w:bidi="ar-SA"/>
        </w:rPr>
        <w:t>图像放大，支持高清放大和全局放大、局部放大，放大倍数≥16倍;支持≥2种放大全屏放大模式。</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3.1.12 </w:t>
      </w:r>
      <w:r>
        <w:rPr>
          <w:rFonts w:hint="eastAsia" w:ascii="宋体" w:hAnsi="宋体" w:eastAsia="宋体" w:cs="宋体"/>
          <w:bCs/>
          <w:color w:val="auto"/>
          <w:kern w:val="2"/>
          <w:sz w:val="24"/>
          <w:szCs w:val="22"/>
          <w:highlight w:val="none"/>
          <w:lang w:val="en-US" w:eastAsia="zh-CN" w:bidi="ar-SA"/>
        </w:rPr>
        <w:t>※具备腹部、妇科、产科、浅表、心脏模式自动工作流协议，支持定制化模板，在检查过程中可按照协议自动注释，自动标记体位图，自动切换图像模式等</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3.2 </w:t>
      </w:r>
      <w:r>
        <w:rPr>
          <w:rFonts w:hint="eastAsia" w:ascii="宋体" w:hAnsi="宋体" w:eastAsia="宋体" w:cs="宋体"/>
          <w:b/>
          <w:bCs w:val="0"/>
          <w:color w:val="auto"/>
          <w:kern w:val="2"/>
          <w:sz w:val="24"/>
          <w:szCs w:val="22"/>
          <w:highlight w:val="none"/>
          <w:lang w:val="en-US" w:eastAsia="zh-CN" w:bidi="ar-SA"/>
        </w:rPr>
        <w:t>先进成像技术：</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3.2.1 </w:t>
      </w:r>
      <w:r>
        <w:rPr>
          <w:rFonts w:hint="eastAsia" w:ascii="宋体" w:hAnsi="宋体" w:eastAsia="宋体" w:cs="宋体"/>
          <w:bCs/>
          <w:color w:val="auto"/>
          <w:kern w:val="2"/>
          <w:sz w:val="24"/>
          <w:szCs w:val="22"/>
          <w:highlight w:val="none"/>
          <w:lang w:val="en-US" w:eastAsia="zh-CN" w:bidi="ar-SA"/>
        </w:rPr>
        <w:t>造影成像技术及造影定量分析功能</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3.2.2 </w:t>
      </w:r>
      <w:r>
        <w:rPr>
          <w:rFonts w:hint="eastAsia" w:ascii="宋体" w:hAnsi="宋体" w:eastAsia="宋体" w:cs="宋体"/>
          <w:bCs/>
          <w:color w:val="auto"/>
          <w:kern w:val="2"/>
          <w:sz w:val="24"/>
          <w:szCs w:val="22"/>
          <w:highlight w:val="none"/>
          <w:lang w:val="en-US" w:eastAsia="zh-CN" w:bidi="ar-SA"/>
        </w:rPr>
        <w:t>应变式弹性成像技术</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3.2.3 </w:t>
      </w:r>
      <w:r>
        <w:rPr>
          <w:rFonts w:hint="eastAsia" w:ascii="宋体" w:hAnsi="宋体" w:eastAsia="宋体" w:cs="宋体"/>
          <w:bCs/>
          <w:color w:val="auto"/>
          <w:kern w:val="2"/>
          <w:sz w:val="24"/>
          <w:szCs w:val="22"/>
          <w:highlight w:val="none"/>
          <w:lang w:val="en-US" w:eastAsia="zh-CN" w:bidi="ar-SA"/>
        </w:rPr>
        <w:t>TDI组织多普勒成像</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3.3 </w:t>
      </w:r>
      <w:r>
        <w:rPr>
          <w:rFonts w:hint="eastAsia" w:ascii="宋体" w:hAnsi="宋体" w:eastAsia="宋体" w:cs="宋体"/>
          <w:b/>
          <w:bCs w:val="0"/>
          <w:color w:val="auto"/>
          <w:kern w:val="2"/>
          <w:sz w:val="24"/>
          <w:szCs w:val="22"/>
          <w:highlight w:val="none"/>
          <w:lang w:val="en-US" w:eastAsia="zh-CN" w:bidi="ar-SA"/>
        </w:rPr>
        <w:t>测量和分析：(B型、M型、D型、彩色模式)</w:t>
      </w:r>
    </w:p>
    <w:p>
      <w:pPr>
        <w:spacing w:line="360" w:lineRule="auto"/>
        <w:ind w:firstLine="480" w:firstLineChars="200"/>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3.3.1 </w:t>
      </w:r>
      <w:r>
        <w:rPr>
          <w:rFonts w:hint="eastAsia" w:ascii="宋体" w:hAnsi="宋体" w:eastAsia="宋体" w:cs="宋体"/>
          <w:bCs/>
          <w:color w:val="auto"/>
          <w:kern w:val="2"/>
          <w:sz w:val="24"/>
          <w:szCs w:val="22"/>
          <w:highlight w:val="none"/>
          <w:lang w:val="en-US" w:eastAsia="zh-CN" w:bidi="ar-SA"/>
        </w:rPr>
        <w:t>全科测量包，自动生成报告：腹部、妇科、产科、心脏、泌尿、小器官、儿科、血管等。</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3.3.2 </w:t>
      </w:r>
      <w:r>
        <w:rPr>
          <w:rFonts w:hint="eastAsia" w:ascii="宋体" w:hAnsi="宋体" w:eastAsia="宋体" w:cs="宋体"/>
          <w:bCs/>
          <w:color w:val="auto"/>
          <w:kern w:val="2"/>
          <w:sz w:val="24"/>
          <w:szCs w:val="22"/>
          <w:highlight w:val="none"/>
          <w:lang w:val="en-US" w:eastAsia="zh-CN" w:bidi="ar-SA"/>
        </w:rPr>
        <w:t>妇科测量软件包：具备专业卵泡评估报告，多项IVF评估指标及发育曲线分析。</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3.3.3 </w:t>
      </w:r>
      <w:r>
        <w:rPr>
          <w:rFonts w:hint="eastAsia" w:ascii="宋体" w:hAnsi="宋体" w:eastAsia="宋体" w:cs="宋体"/>
          <w:bCs/>
          <w:color w:val="auto"/>
          <w:kern w:val="2"/>
          <w:sz w:val="24"/>
          <w:szCs w:val="22"/>
          <w:highlight w:val="none"/>
          <w:lang w:val="en-US" w:eastAsia="zh-CN" w:bidi="ar-SA"/>
        </w:rPr>
        <w:t>产科测量软件包：自动产科测量，要求自动测量≥5项胎儿发育评估指标。</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3.3.4 </w:t>
      </w:r>
      <w:r>
        <w:rPr>
          <w:rFonts w:hint="eastAsia" w:ascii="宋体" w:hAnsi="宋体" w:eastAsia="宋体" w:cs="宋体"/>
          <w:bCs/>
          <w:color w:val="auto"/>
          <w:kern w:val="2"/>
          <w:sz w:val="24"/>
          <w:szCs w:val="22"/>
          <w:highlight w:val="none"/>
          <w:lang w:val="en-US" w:eastAsia="zh-CN" w:bidi="ar-SA"/>
        </w:rPr>
        <w:t>自动NT测量</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3.3.5 </w:t>
      </w:r>
      <w:r>
        <w:rPr>
          <w:rFonts w:hint="eastAsia" w:ascii="宋体" w:hAnsi="宋体" w:eastAsia="宋体" w:cs="宋体"/>
          <w:bCs/>
          <w:color w:val="auto"/>
          <w:kern w:val="2"/>
          <w:sz w:val="24"/>
          <w:szCs w:val="22"/>
          <w:highlight w:val="none"/>
          <w:lang w:val="en-US" w:eastAsia="zh-CN" w:bidi="ar-SA"/>
        </w:rPr>
        <w:t>心脏测量软件包：心功能自动测量软件,无需ECG可自动识别四腔心、两腔心切面，自动识别心肌边界，并进行自动描迹，无需手动选择切面和手动描记</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3.3.6 </w:t>
      </w:r>
      <w:r>
        <w:rPr>
          <w:rFonts w:hint="eastAsia" w:ascii="宋体" w:hAnsi="宋体" w:eastAsia="宋体" w:cs="宋体"/>
          <w:bCs/>
          <w:color w:val="auto"/>
          <w:kern w:val="2"/>
          <w:sz w:val="24"/>
          <w:szCs w:val="22"/>
          <w:highlight w:val="none"/>
          <w:lang w:val="en-US" w:eastAsia="zh-CN" w:bidi="ar-SA"/>
        </w:rPr>
        <w:t>※支持颈动脉血管内中膜自动实时测量,自动获取6组IMT内膜厚度值,并实时更新</w:t>
      </w:r>
    </w:p>
    <w:p>
      <w:pPr>
        <w:spacing w:line="360" w:lineRule="auto"/>
        <w:ind w:firstLine="241" w:firstLineChars="100"/>
        <w:rPr>
          <w:rFonts w:hint="eastAsia" w:ascii="宋体" w:hAnsi="宋体" w:eastAsia="宋体" w:cs="宋体"/>
          <w:bCs/>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3.4 </w:t>
      </w:r>
      <w:r>
        <w:rPr>
          <w:rFonts w:hint="eastAsia" w:ascii="宋体" w:hAnsi="宋体" w:eastAsia="宋体" w:cs="宋体"/>
          <w:b/>
          <w:bCs w:val="0"/>
          <w:color w:val="auto"/>
          <w:kern w:val="2"/>
          <w:sz w:val="24"/>
          <w:szCs w:val="22"/>
          <w:highlight w:val="none"/>
          <w:lang w:val="en-US" w:eastAsia="zh-CN" w:bidi="ar-SA"/>
        </w:rPr>
        <w:t>连通性要求</w:t>
      </w:r>
      <w:r>
        <w:rPr>
          <w:rFonts w:hint="eastAsia" w:ascii="宋体" w:hAnsi="宋体" w:eastAsia="宋体" w:cs="宋体"/>
          <w:bCs/>
          <w:color w:val="auto"/>
          <w:kern w:val="2"/>
          <w:sz w:val="24"/>
          <w:szCs w:val="22"/>
          <w:highlight w:val="none"/>
          <w:lang w:val="en-US" w:eastAsia="zh-CN" w:bidi="ar-SA"/>
        </w:rPr>
        <w:t>：</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3.4.1 </w:t>
      </w:r>
      <w:r>
        <w:rPr>
          <w:rFonts w:hint="eastAsia" w:ascii="宋体" w:hAnsi="宋体" w:eastAsia="宋体" w:cs="宋体"/>
          <w:bCs/>
          <w:color w:val="auto"/>
          <w:kern w:val="2"/>
          <w:sz w:val="24"/>
          <w:szCs w:val="22"/>
          <w:highlight w:val="none"/>
          <w:lang w:val="en-US" w:eastAsia="zh-CN" w:bidi="ar-SA"/>
        </w:rPr>
        <w:t>※支持移动设备无线传输，一键传输图片到智能手机终端或PC端。支持手机等移动终端APP远程操作设备</w:t>
      </w:r>
    </w:p>
    <w:p>
      <w:pPr>
        <w:spacing w:line="360" w:lineRule="auto"/>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四、</w:t>
      </w:r>
      <w:r>
        <w:rPr>
          <w:rFonts w:hint="eastAsia" w:ascii="宋体" w:hAnsi="宋体" w:eastAsia="宋体" w:cs="宋体"/>
          <w:b/>
          <w:bCs w:val="0"/>
          <w:color w:val="auto"/>
          <w:kern w:val="2"/>
          <w:sz w:val="24"/>
          <w:szCs w:val="22"/>
          <w:highlight w:val="none"/>
          <w:lang w:val="en-US" w:eastAsia="zh-CN" w:bidi="ar-SA"/>
        </w:rPr>
        <w:t>系统技术参数及要求：</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4.1 </w:t>
      </w:r>
      <w:r>
        <w:rPr>
          <w:rFonts w:hint="eastAsia" w:ascii="宋体" w:hAnsi="宋体" w:eastAsia="宋体" w:cs="宋体"/>
          <w:b/>
          <w:bCs w:val="0"/>
          <w:color w:val="auto"/>
          <w:kern w:val="2"/>
          <w:sz w:val="24"/>
          <w:szCs w:val="22"/>
          <w:highlight w:val="none"/>
          <w:lang w:val="en-US" w:eastAsia="zh-CN" w:bidi="ar-SA"/>
        </w:rPr>
        <w:t>系统通用功能：</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4.1.1 </w:t>
      </w:r>
      <w:r>
        <w:rPr>
          <w:rFonts w:hint="eastAsia" w:ascii="宋体" w:hAnsi="宋体" w:eastAsia="宋体" w:cs="宋体"/>
          <w:bCs/>
          <w:color w:val="auto"/>
          <w:kern w:val="2"/>
          <w:sz w:val="24"/>
          <w:szCs w:val="22"/>
          <w:highlight w:val="none"/>
          <w:lang w:val="en-US" w:eastAsia="zh-CN" w:bidi="ar-SA"/>
        </w:rPr>
        <w:t>※主机探头接口≥4个，大小一致，全激活、相互通用。</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4.1.2 </w:t>
      </w:r>
      <w:r>
        <w:rPr>
          <w:rFonts w:hint="eastAsia" w:ascii="宋体" w:hAnsi="宋体" w:eastAsia="宋体" w:cs="宋体"/>
          <w:bCs/>
          <w:color w:val="auto"/>
          <w:kern w:val="2"/>
          <w:sz w:val="24"/>
          <w:szCs w:val="22"/>
          <w:highlight w:val="none"/>
          <w:lang w:val="en-US" w:eastAsia="zh-CN" w:bidi="ar-SA"/>
        </w:rPr>
        <w:t>预设条件：针对不同的检查脏器，预置最佳化图像的检查条件，减少操作时的调节。</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4.2 </w:t>
      </w:r>
      <w:r>
        <w:rPr>
          <w:rFonts w:hint="eastAsia" w:ascii="宋体" w:hAnsi="宋体" w:eastAsia="宋体" w:cs="宋体"/>
          <w:b/>
          <w:bCs w:val="0"/>
          <w:color w:val="auto"/>
          <w:kern w:val="2"/>
          <w:sz w:val="24"/>
          <w:szCs w:val="22"/>
          <w:highlight w:val="none"/>
          <w:lang w:val="en-US" w:eastAsia="zh-CN" w:bidi="ar-SA"/>
        </w:rPr>
        <w:t>探头规格</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4.2.1 </w:t>
      </w:r>
      <w:r>
        <w:rPr>
          <w:rFonts w:hint="eastAsia" w:ascii="宋体" w:hAnsi="宋体" w:eastAsia="宋体" w:cs="宋体"/>
          <w:bCs/>
          <w:color w:val="auto"/>
          <w:kern w:val="2"/>
          <w:sz w:val="24"/>
          <w:szCs w:val="22"/>
          <w:highlight w:val="none"/>
          <w:lang w:val="en-US" w:eastAsia="zh-CN" w:bidi="ar-SA"/>
        </w:rPr>
        <w:t>※频率：超宽频带或变频探头，所配探头均为宽频变频探头</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4.2.2 </w:t>
      </w:r>
      <w:r>
        <w:rPr>
          <w:rFonts w:hint="eastAsia" w:ascii="宋体" w:hAnsi="宋体" w:eastAsia="宋体" w:cs="宋体"/>
          <w:bCs/>
          <w:color w:val="auto"/>
          <w:kern w:val="2"/>
          <w:sz w:val="24"/>
          <w:szCs w:val="22"/>
          <w:highlight w:val="none"/>
          <w:lang w:val="en-US" w:eastAsia="zh-CN" w:bidi="ar-SA"/>
        </w:rPr>
        <w:t>腹部凸阵探头（2.0-5.5MHz）</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4.2.3 </w:t>
      </w:r>
      <w:r>
        <w:rPr>
          <w:rFonts w:hint="eastAsia" w:ascii="宋体" w:hAnsi="宋体" w:eastAsia="宋体" w:cs="宋体"/>
          <w:bCs/>
          <w:color w:val="auto"/>
          <w:kern w:val="2"/>
          <w:sz w:val="24"/>
          <w:szCs w:val="22"/>
          <w:highlight w:val="none"/>
          <w:lang w:val="en-US" w:eastAsia="zh-CN" w:bidi="ar-SA"/>
        </w:rPr>
        <w:t>线阵探头（3.0-13.0MHz）</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4.2.4 </w:t>
      </w:r>
      <w:r>
        <w:rPr>
          <w:rFonts w:hint="eastAsia" w:ascii="宋体" w:hAnsi="宋体" w:eastAsia="宋体" w:cs="宋体"/>
          <w:bCs/>
          <w:color w:val="auto"/>
          <w:kern w:val="2"/>
          <w:sz w:val="24"/>
          <w:szCs w:val="22"/>
          <w:highlight w:val="none"/>
          <w:lang w:val="en-US" w:eastAsia="zh-CN" w:bidi="ar-SA"/>
        </w:rPr>
        <w:t>相控阵探头（1.5-4.5MHz）</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4.2.5 </w:t>
      </w:r>
      <w:r>
        <w:rPr>
          <w:rFonts w:hint="eastAsia" w:ascii="宋体" w:hAnsi="宋体" w:eastAsia="宋体" w:cs="宋体"/>
          <w:bCs/>
          <w:color w:val="auto"/>
          <w:kern w:val="2"/>
          <w:sz w:val="24"/>
          <w:szCs w:val="22"/>
          <w:highlight w:val="none"/>
          <w:lang w:val="en-US" w:eastAsia="zh-CN" w:bidi="ar-SA"/>
        </w:rPr>
        <w:t>腹部容积探头（3.0-7.0MHz）</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4.3 </w:t>
      </w:r>
      <w:r>
        <w:rPr>
          <w:rFonts w:hint="eastAsia" w:ascii="宋体" w:hAnsi="宋体" w:eastAsia="宋体" w:cs="宋体"/>
          <w:b/>
          <w:bCs w:val="0"/>
          <w:color w:val="auto"/>
          <w:kern w:val="2"/>
          <w:sz w:val="24"/>
          <w:szCs w:val="22"/>
          <w:highlight w:val="none"/>
          <w:lang w:val="en-US" w:eastAsia="zh-CN" w:bidi="ar-SA"/>
        </w:rPr>
        <w:t>二维显像主要参数：</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4.3.1 </w:t>
      </w:r>
      <w:r>
        <w:rPr>
          <w:rFonts w:hint="eastAsia" w:ascii="宋体" w:hAnsi="宋体" w:eastAsia="宋体" w:cs="宋体"/>
          <w:bCs/>
          <w:color w:val="auto"/>
          <w:kern w:val="2"/>
          <w:sz w:val="24"/>
          <w:szCs w:val="22"/>
          <w:highlight w:val="none"/>
          <w:lang w:val="en-US" w:eastAsia="zh-CN" w:bidi="ar-SA"/>
        </w:rPr>
        <w:t>TGC: ≥8段，LGC: ≥8段</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4.3.2 </w:t>
      </w:r>
      <w:r>
        <w:rPr>
          <w:rFonts w:hint="eastAsia" w:ascii="宋体" w:hAnsi="宋体" w:eastAsia="宋体" w:cs="宋体"/>
          <w:bCs/>
          <w:color w:val="auto"/>
          <w:kern w:val="2"/>
          <w:sz w:val="24"/>
          <w:szCs w:val="22"/>
          <w:highlight w:val="none"/>
          <w:lang w:val="en-US" w:eastAsia="zh-CN" w:bidi="ar-SA"/>
        </w:rPr>
        <w:t>显示深度≥38cm</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4.3.3 </w:t>
      </w:r>
      <w:r>
        <w:rPr>
          <w:rFonts w:hint="eastAsia" w:ascii="宋体" w:hAnsi="宋体" w:eastAsia="宋体" w:cs="宋体"/>
          <w:bCs/>
          <w:color w:val="auto"/>
          <w:kern w:val="2"/>
          <w:sz w:val="24"/>
          <w:szCs w:val="22"/>
          <w:highlight w:val="none"/>
          <w:lang w:val="en-US" w:eastAsia="zh-CN" w:bidi="ar-SA"/>
        </w:rPr>
        <w:t>伪彩图谱: ≥8种</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4.3.4 </w:t>
      </w:r>
      <w:r>
        <w:rPr>
          <w:rFonts w:hint="eastAsia" w:ascii="宋体" w:hAnsi="宋体" w:eastAsia="宋体" w:cs="宋体"/>
          <w:bCs/>
          <w:color w:val="auto"/>
          <w:kern w:val="2"/>
          <w:sz w:val="24"/>
          <w:szCs w:val="22"/>
          <w:highlight w:val="none"/>
          <w:lang w:val="en-US" w:eastAsia="zh-CN" w:bidi="ar-SA"/>
        </w:rPr>
        <w:t>动态范围：≥240，可视可调</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4.4 </w:t>
      </w:r>
      <w:r>
        <w:rPr>
          <w:rFonts w:hint="eastAsia" w:ascii="宋体" w:hAnsi="宋体" w:eastAsia="宋体" w:cs="宋体"/>
          <w:b/>
          <w:bCs w:val="0"/>
          <w:color w:val="auto"/>
          <w:kern w:val="2"/>
          <w:sz w:val="24"/>
          <w:szCs w:val="22"/>
          <w:highlight w:val="none"/>
          <w:lang w:val="en-US" w:eastAsia="zh-CN" w:bidi="ar-SA"/>
        </w:rPr>
        <w:t>频谱多普勒：</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4.4.1 </w:t>
      </w:r>
      <w:r>
        <w:rPr>
          <w:rFonts w:hint="eastAsia" w:ascii="宋体" w:hAnsi="宋体" w:eastAsia="宋体" w:cs="宋体"/>
          <w:bCs/>
          <w:color w:val="auto"/>
          <w:kern w:val="2"/>
          <w:sz w:val="24"/>
          <w:szCs w:val="22"/>
          <w:highlight w:val="none"/>
          <w:lang w:val="en-US" w:eastAsia="zh-CN" w:bidi="ar-SA"/>
        </w:rPr>
        <w:t>显示模式：脉冲多普勒、高脉冲重复频率、连续多普勒</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4.4.2 </w:t>
      </w:r>
      <w:r>
        <w:rPr>
          <w:rFonts w:hint="eastAsia" w:ascii="宋体" w:hAnsi="宋体" w:eastAsia="宋体" w:cs="宋体"/>
          <w:bCs/>
          <w:color w:val="auto"/>
          <w:kern w:val="2"/>
          <w:sz w:val="24"/>
          <w:szCs w:val="22"/>
          <w:highlight w:val="none"/>
          <w:lang w:val="en-US" w:eastAsia="zh-CN" w:bidi="ar-SA"/>
        </w:rPr>
        <w:t xml:space="preserve">取样宽度及位置范围： 0.5-30mm </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4.4.3 </w:t>
      </w:r>
      <w:r>
        <w:rPr>
          <w:rFonts w:hint="eastAsia" w:ascii="宋体" w:hAnsi="宋体" w:eastAsia="宋体" w:cs="宋体"/>
          <w:bCs/>
          <w:color w:val="auto"/>
          <w:kern w:val="2"/>
          <w:sz w:val="24"/>
          <w:szCs w:val="22"/>
          <w:highlight w:val="none"/>
          <w:lang w:val="en-US" w:eastAsia="zh-CN" w:bidi="ar-SA"/>
        </w:rPr>
        <w:t>实时自动包络频谱并完成频谱测量计算</w:t>
      </w:r>
    </w:p>
    <w:p>
      <w:pPr>
        <w:spacing w:line="360" w:lineRule="auto"/>
        <w:ind w:firstLine="241" w:firstLineChars="100"/>
        <w:rPr>
          <w:rFonts w:hint="eastAsia" w:ascii="宋体" w:hAnsi="宋体" w:eastAsia="宋体" w:cs="宋体"/>
          <w:bCs/>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4.5 </w:t>
      </w:r>
      <w:r>
        <w:rPr>
          <w:rFonts w:hint="eastAsia" w:ascii="宋体" w:hAnsi="宋体" w:eastAsia="宋体" w:cs="宋体"/>
          <w:b/>
          <w:bCs w:val="0"/>
          <w:color w:val="auto"/>
          <w:kern w:val="2"/>
          <w:sz w:val="24"/>
          <w:szCs w:val="22"/>
          <w:highlight w:val="none"/>
          <w:lang w:val="en-US" w:eastAsia="zh-CN" w:bidi="ar-SA"/>
        </w:rPr>
        <w:t>彩色多普勒</w:t>
      </w:r>
      <w:r>
        <w:rPr>
          <w:rFonts w:hint="eastAsia" w:ascii="宋体" w:hAnsi="宋体" w:eastAsia="宋体" w:cs="宋体"/>
          <w:bCs/>
          <w:color w:val="auto"/>
          <w:kern w:val="2"/>
          <w:sz w:val="24"/>
          <w:szCs w:val="22"/>
          <w:highlight w:val="none"/>
          <w:lang w:val="en-US" w:eastAsia="zh-CN" w:bidi="ar-SA"/>
        </w:rPr>
        <w:t>：</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4.5.1 </w:t>
      </w:r>
      <w:r>
        <w:rPr>
          <w:rFonts w:hint="eastAsia" w:ascii="宋体" w:hAnsi="宋体" w:eastAsia="宋体" w:cs="宋体"/>
          <w:bCs/>
          <w:color w:val="auto"/>
          <w:kern w:val="2"/>
          <w:sz w:val="24"/>
          <w:szCs w:val="22"/>
          <w:highlight w:val="none"/>
          <w:lang w:val="en-US" w:eastAsia="zh-CN" w:bidi="ar-SA"/>
        </w:rPr>
        <w:t>显示方式：包括速度、速度方差、能量、方向能量显示等</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4.5.2 </w:t>
      </w:r>
      <w:r>
        <w:rPr>
          <w:rFonts w:hint="eastAsia" w:ascii="宋体" w:hAnsi="宋体" w:eastAsia="宋体" w:cs="宋体"/>
          <w:bCs/>
          <w:color w:val="auto"/>
          <w:kern w:val="2"/>
          <w:sz w:val="24"/>
          <w:szCs w:val="22"/>
          <w:highlight w:val="none"/>
          <w:lang w:val="en-US" w:eastAsia="zh-CN" w:bidi="ar-SA"/>
        </w:rPr>
        <w:t>※取样框偏转: ≥±30°，取样框可根据探头血流方向自动调节</w:t>
      </w:r>
    </w:p>
    <w:p>
      <w:pPr>
        <w:spacing w:line="360" w:lineRule="auto"/>
        <w:ind w:firstLine="241" w:firstLineChars="100"/>
        <w:rPr>
          <w:rFonts w:hint="eastAsia" w:ascii="宋体" w:hAnsi="宋体" w:eastAsia="宋体" w:cs="宋体"/>
          <w:b/>
          <w:bCs w:val="0"/>
          <w:color w:val="auto"/>
          <w:kern w:val="2"/>
          <w:sz w:val="24"/>
          <w:szCs w:val="22"/>
          <w:highlight w:val="none"/>
          <w:lang w:val="en-US" w:eastAsia="zh-CN" w:bidi="ar-SA"/>
        </w:rPr>
      </w:pPr>
      <w:r>
        <w:rPr>
          <w:rFonts w:hint="eastAsia" w:ascii="宋体" w:hAnsi="宋体" w:cs="宋体"/>
          <w:b/>
          <w:bCs w:val="0"/>
          <w:color w:val="auto"/>
          <w:kern w:val="2"/>
          <w:sz w:val="24"/>
          <w:szCs w:val="22"/>
          <w:highlight w:val="none"/>
          <w:lang w:val="en-US" w:eastAsia="zh-CN" w:bidi="ar-SA"/>
        </w:rPr>
        <w:t xml:space="preserve">4.6 </w:t>
      </w:r>
      <w:r>
        <w:rPr>
          <w:rFonts w:hint="eastAsia" w:ascii="宋体" w:hAnsi="宋体" w:eastAsia="宋体" w:cs="宋体"/>
          <w:b/>
          <w:bCs w:val="0"/>
          <w:color w:val="auto"/>
          <w:kern w:val="2"/>
          <w:sz w:val="24"/>
          <w:szCs w:val="22"/>
          <w:highlight w:val="none"/>
          <w:lang w:val="en-US" w:eastAsia="zh-CN" w:bidi="ar-SA"/>
        </w:rPr>
        <w:t>外设和附件</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4.6.1 </w:t>
      </w:r>
      <w:r>
        <w:rPr>
          <w:rFonts w:hint="eastAsia" w:ascii="宋体" w:hAnsi="宋体" w:eastAsia="宋体" w:cs="宋体"/>
          <w:bCs/>
          <w:color w:val="auto"/>
          <w:kern w:val="2"/>
          <w:sz w:val="24"/>
          <w:szCs w:val="22"/>
          <w:highlight w:val="none"/>
          <w:lang w:val="en-US" w:eastAsia="zh-CN" w:bidi="ar-SA"/>
        </w:rPr>
        <w:t>支持主机一体化耦合剂加热器，耦合剂温度三挡可调</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4.6.2 </w:t>
      </w:r>
      <w:r>
        <w:rPr>
          <w:rFonts w:hint="eastAsia" w:ascii="宋体" w:hAnsi="宋体" w:eastAsia="宋体" w:cs="宋体"/>
          <w:bCs/>
          <w:color w:val="auto"/>
          <w:kern w:val="2"/>
          <w:sz w:val="24"/>
          <w:szCs w:val="22"/>
          <w:highlight w:val="none"/>
          <w:lang w:val="en-US" w:eastAsia="zh-CN" w:bidi="ar-SA"/>
        </w:rPr>
        <w:t>腔内探头放置架</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4.6.3 </w:t>
      </w:r>
      <w:r>
        <w:rPr>
          <w:rFonts w:hint="eastAsia" w:ascii="宋体" w:hAnsi="宋体" w:eastAsia="宋体" w:cs="宋体"/>
          <w:bCs/>
          <w:color w:val="auto"/>
          <w:kern w:val="2"/>
          <w:sz w:val="24"/>
          <w:szCs w:val="22"/>
          <w:highlight w:val="none"/>
          <w:lang w:val="en-US" w:eastAsia="zh-CN" w:bidi="ar-SA"/>
        </w:rPr>
        <w:t>背光小键盘</w:t>
      </w:r>
    </w:p>
    <w:p>
      <w:pPr>
        <w:spacing w:line="360" w:lineRule="auto"/>
        <w:ind w:firstLine="542"/>
        <w:rPr>
          <w:rFonts w:hint="eastAsia" w:ascii="宋体" w:hAnsi="宋体" w:eastAsia="宋体" w:cs="宋体"/>
          <w:bCs/>
          <w:color w:val="auto"/>
          <w:kern w:val="2"/>
          <w:sz w:val="24"/>
          <w:szCs w:val="22"/>
          <w:highlight w:val="none"/>
          <w:lang w:val="en-US" w:eastAsia="zh-CN" w:bidi="ar-SA"/>
        </w:rPr>
      </w:pPr>
      <w:r>
        <w:rPr>
          <w:rFonts w:hint="eastAsia" w:ascii="宋体" w:hAnsi="宋体" w:cs="宋体"/>
          <w:bCs/>
          <w:color w:val="auto"/>
          <w:kern w:val="2"/>
          <w:sz w:val="24"/>
          <w:szCs w:val="22"/>
          <w:highlight w:val="none"/>
          <w:lang w:val="en-US" w:eastAsia="zh-CN" w:bidi="ar-SA"/>
        </w:rPr>
        <w:t xml:space="preserve">4.6.4 </w:t>
      </w:r>
      <w:r>
        <w:rPr>
          <w:rFonts w:hint="eastAsia" w:ascii="宋体" w:hAnsi="宋体" w:eastAsia="宋体" w:cs="宋体"/>
          <w:bCs/>
          <w:color w:val="auto"/>
          <w:kern w:val="2"/>
          <w:sz w:val="24"/>
          <w:szCs w:val="22"/>
          <w:highlight w:val="none"/>
          <w:lang w:val="en-US" w:eastAsia="zh-CN" w:bidi="ar-SA"/>
        </w:rPr>
        <w:t xml:space="preserve">主机一体式LED照明灯，辅助暗室临床操作 </w:t>
      </w:r>
    </w:p>
    <w:p>
      <w:pPr>
        <w:spacing w:line="360" w:lineRule="auto"/>
        <w:ind w:firstLine="542"/>
        <w:rPr>
          <w:rFonts w:hint="eastAsia" w:ascii="宋体" w:hAnsi="宋体" w:eastAsia="宋体" w:cs="宋体"/>
          <w:bCs/>
          <w:color w:val="auto"/>
          <w:kern w:val="2"/>
          <w:sz w:val="24"/>
          <w:szCs w:val="22"/>
          <w:highlight w:val="none"/>
          <w:lang w:val="en-US" w:eastAsia="zh-CN" w:bidi="ar-SA"/>
        </w:rPr>
      </w:pPr>
    </w:p>
    <w:p>
      <w:pPr>
        <w:spacing w:line="360" w:lineRule="auto"/>
        <w:ind w:firstLine="542"/>
        <w:rPr>
          <w:rFonts w:hint="eastAsia" w:ascii="宋体" w:hAnsi="宋体" w:eastAsia="宋体" w:cs="宋体"/>
          <w:bCs/>
          <w:color w:val="auto"/>
          <w:kern w:val="2"/>
          <w:sz w:val="24"/>
          <w:szCs w:val="22"/>
          <w:highlight w:val="none"/>
          <w:lang w:val="en-US" w:eastAsia="zh-CN" w:bidi="ar-SA"/>
        </w:rPr>
      </w:pPr>
    </w:p>
    <w:p>
      <w:pPr>
        <w:spacing w:line="360" w:lineRule="auto"/>
        <w:ind w:firstLine="542"/>
        <w:rPr>
          <w:rFonts w:hint="eastAsia" w:ascii="宋体" w:hAnsi="宋体" w:eastAsia="宋体" w:cs="宋体"/>
          <w:bCs/>
          <w:color w:val="auto"/>
          <w:kern w:val="2"/>
          <w:sz w:val="24"/>
          <w:szCs w:val="22"/>
          <w:highlight w:val="none"/>
          <w:lang w:val="en-US" w:eastAsia="zh-CN" w:bidi="ar-SA"/>
        </w:rPr>
      </w:pPr>
    </w:p>
    <w:p>
      <w:pPr>
        <w:rPr>
          <w:rFonts w:hint="eastAsia" w:ascii="宋体" w:hAnsi="宋体" w:cs="宋体"/>
          <w:color w:val="auto"/>
          <w:sz w:val="32"/>
          <w:highlight w:val="none"/>
        </w:rPr>
      </w:pPr>
      <w:bookmarkStart w:id="5" w:name="_Toc90643418"/>
      <w:r>
        <w:rPr>
          <w:rFonts w:hint="eastAsia" w:ascii="宋体" w:hAnsi="宋体" w:cs="宋体"/>
          <w:color w:val="auto"/>
          <w:sz w:val="32"/>
          <w:highlight w:val="none"/>
        </w:rPr>
        <w:br w:type="page"/>
      </w:r>
    </w:p>
    <w:p>
      <w:pPr>
        <w:pStyle w:val="4"/>
        <w:jc w:val="center"/>
        <w:rPr>
          <w:rFonts w:ascii="宋体" w:hAnsi="宋体" w:cs="宋体"/>
          <w:b w:val="0"/>
          <w:color w:val="auto"/>
          <w:sz w:val="32"/>
          <w:highlight w:val="none"/>
        </w:rPr>
      </w:pPr>
      <w:r>
        <w:rPr>
          <w:rFonts w:hint="eastAsia" w:ascii="宋体" w:hAnsi="宋体" w:cs="宋体"/>
          <w:color w:val="auto"/>
          <w:sz w:val="32"/>
          <w:highlight w:val="none"/>
        </w:rPr>
        <w:t>第四章  响应性文件内容及格式</w:t>
      </w:r>
      <w:bookmarkEnd w:id="5"/>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注：请供应商按照以下文件的要求格式、内容，顺序制作响应性文件，并编制目录，每个页面应在明显位置编制页码和总页码，否则可能将影响对响应性文件的评价。 </w:t>
      </w:r>
    </w:p>
    <w:p>
      <w:pPr>
        <w:spacing w:line="720" w:lineRule="auto"/>
        <w:jc w:val="center"/>
        <w:rPr>
          <w:rFonts w:ascii="宋体" w:hAnsi="宋体" w:cs="宋体"/>
          <w:b/>
          <w:bCs/>
          <w:color w:val="auto"/>
          <w:sz w:val="24"/>
          <w:highlight w:val="none"/>
        </w:rPr>
      </w:pPr>
      <w:r>
        <w:rPr>
          <w:rFonts w:hint="eastAsia" w:ascii="宋体" w:hAnsi="宋体" w:cs="宋体"/>
          <w:b/>
          <w:bCs/>
          <w:color w:val="auto"/>
          <w:sz w:val="24"/>
          <w:highlight w:val="none"/>
        </w:rPr>
        <w:t>响应性文件内容</w:t>
      </w: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8"/>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4678" w:type="dxa"/>
            <w:tcBorders>
              <w:top w:val="double" w:color="auto" w:sz="4" w:space="0"/>
              <w:left w:val="single" w:color="auto" w:sz="4" w:space="0"/>
              <w:bottom w:val="single" w:color="auto" w:sz="4" w:space="0"/>
              <w:right w:val="single" w:color="auto" w:sz="4" w:space="0"/>
            </w:tcBorders>
            <w:vAlign w:val="center"/>
          </w:tcPr>
          <w:p>
            <w:pPr>
              <w:widowControl/>
              <w:jc w:val="center"/>
              <w:rPr>
                <w:rFonts w:ascii="宋体" w:hAnsi="宋体" w:cs="宋体"/>
                <w:b/>
                <w:color w:val="auto"/>
                <w:kern w:val="0"/>
                <w:sz w:val="24"/>
                <w:highlight w:val="none"/>
              </w:rPr>
            </w:pPr>
            <w:r>
              <w:rPr>
                <w:rFonts w:hint="eastAsia" w:ascii="宋体" w:hAnsi="宋体" w:cs="宋体"/>
                <w:color w:val="auto"/>
                <w:sz w:val="24"/>
                <w:highlight w:val="none"/>
              </w:rPr>
              <w:t xml:space="preserve"> </w:t>
            </w:r>
            <w:r>
              <w:rPr>
                <w:rFonts w:hint="eastAsia" w:ascii="宋体" w:hAnsi="宋体" w:cs="宋体"/>
                <w:b/>
                <w:color w:val="auto"/>
                <w:kern w:val="0"/>
                <w:sz w:val="24"/>
                <w:highlight w:val="none"/>
              </w:rPr>
              <w:t>项目及审核内容</w:t>
            </w:r>
          </w:p>
        </w:tc>
        <w:tc>
          <w:tcPr>
            <w:tcW w:w="3827" w:type="dxa"/>
            <w:tcBorders>
              <w:top w:val="double" w:color="auto" w:sz="4" w:space="0"/>
              <w:left w:val="single" w:color="auto" w:sz="4" w:space="0"/>
              <w:bottom w:val="single" w:color="auto" w:sz="4" w:space="0"/>
              <w:right w:val="single" w:color="auto" w:sz="4" w:space="0"/>
            </w:tcBorders>
            <w:vAlign w:val="center"/>
          </w:tcPr>
          <w:p>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响应性文件目录</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法定代表人身份证明书</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格式2-1</w:t>
            </w:r>
          </w:p>
          <w:p>
            <w:pPr>
              <w:spacing w:line="360" w:lineRule="auto"/>
              <w:jc w:val="center"/>
              <w:rPr>
                <w:rFonts w:ascii="宋体" w:hAnsi="宋体" w:cs="宋体"/>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授权委托书</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投标函</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exact"/>
        </w:trPr>
        <w:tc>
          <w:tcPr>
            <w:tcW w:w="467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报价一览表</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before="185"/>
              <w:ind w:right="985"/>
              <w:jc w:val="center"/>
              <w:rPr>
                <w:rFonts w:ascii="宋体" w:hAnsi="宋体" w:cs="宋体"/>
                <w:color w:val="auto"/>
                <w:kern w:val="0"/>
                <w:sz w:val="24"/>
                <w:highlight w:val="none"/>
              </w:rPr>
            </w:pPr>
            <w:r>
              <w:rPr>
                <w:rFonts w:hint="eastAsia" w:ascii="宋体" w:hAnsi="宋体" w:cs="宋体"/>
                <w:color w:val="auto"/>
                <w:kern w:val="0"/>
                <w:sz w:val="24"/>
                <w:highlight w:val="none"/>
              </w:rPr>
              <w:t xml:space="preserve">        投标分项报价表</w:t>
            </w:r>
          </w:p>
        </w:tc>
        <w:tc>
          <w:tcPr>
            <w:tcW w:w="3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格式5（以实际情况可自拟格式）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技术参数响应表</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color w:val="auto"/>
                <w:highlight w:val="none"/>
              </w:rPr>
            </w:pPr>
            <w:r>
              <w:rPr>
                <w:rFonts w:hint="eastAsia" w:ascii="宋体" w:hAnsi="宋体" w:cs="宋体"/>
                <w:color w:val="auto"/>
                <w:kern w:val="0"/>
                <w:sz w:val="24"/>
                <w:highlight w:val="none"/>
              </w:rPr>
              <w:t>格式6（以实际情况可自拟格式）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售后服务承诺</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其他资料</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格式</w:t>
            </w:r>
            <w:r>
              <w:rPr>
                <w:rFonts w:ascii="宋体" w:hAnsi="宋体" w:cs="宋体"/>
                <w:color w:val="auto"/>
                <w:kern w:val="0"/>
                <w:sz w:val="24"/>
                <w:highlight w:val="none"/>
              </w:rPr>
              <w:t>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4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政府采购供应商诚信承诺书</w:t>
            </w:r>
          </w:p>
        </w:tc>
        <w:tc>
          <w:tcPr>
            <w:tcW w:w="382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格式</w:t>
            </w:r>
            <w:r>
              <w:rPr>
                <w:rFonts w:ascii="宋体" w:hAnsi="宋体" w:cs="宋体"/>
                <w:color w:val="auto"/>
                <w:kern w:val="0"/>
                <w:sz w:val="24"/>
                <w:highlight w:val="none"/>
              </w:rPr>
              <w:t>9</w:t>
            </w:r>
          </w:p>
        </w:tc>
      </w:tr>
    </w:tbl>
    <w:p>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重要提示：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供应商在编制响应性文件时，对于给定格式的文件内容，应按照给定的标准格式进行填报；对于没有给定标准格式的文件内容，可以由供应商自行设计。</w:t>
      </w:r>
    </w:p>
    <w:p>
      <w:pPr>
        <w:pStyle w:val="2"/>
        <w:ind w:firstLine="210"/>
        <w:rPr>
          <w:color w:val="auto"/>
          <w:highlight w:val="none"/>
        </w:rPr>
      </w:pPr>
    </w:p>
    <w:p>
      <w:pPr>
        <w:snapToGrid w:val="0"/>
        <w:jc w:val="left"/>
        <w:rPr>
          <w:rFonts w:ascii="宋体" w:hAnsi="宋体" w:cs="宋体"/>
          <w:color w:val="auto"/>
          <w:sz w:val="24"/>
          <w:highlight w:val="none"/>
        </w:rPr>
      </w:pPr>
    </w:p>
    <w:p>
      <w:pPr>
        <w:pStyle w:val="2"/>
        <w:ind w:firstLine="210"/>
        <w:rPr>
          <w:color w:val="auto"/>
          <w:highlight w:val="none"/>
        </w:rPr>
      </w:pPr>
    </w:p>
    <w:p>
      <w:pPr>
        <w:pStyle w:val="2"/>
        <w:ind w:firstLine="210"/>
        <w:rPr>
          <w:color w:val="auto"/>
          <w:highlight w:val="none"/>
        </w:rPr>
      </w:pPr>
    </w:p>
    <w:p>
      <w:pPr>
        <w:pStyle w:val="2"/>
        <w:ind w:firstLine="210"/>
        <w:rPr>
          <w:color w:val="auto"/>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格式1</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响应性</w:t>
      </w:r>
      <w:r>
        <w:rPr>
          <w:rFonts w:ascii="宋体" w:hAnsi="宋体" w:cs="宋体"/>
          <w:b/>
          <w:color w:val="auto"/>
          <w:sz w:val="24"/>
          <w:highlight w:val="none"/>
        </w:rPr>
        <w:t>文件目录</w:t>
      </w:r>
    </w:p>
    <w:p>
      <w:pPr>
        <w:pStyle w:val="2"/>
        <w:ind w:firstLine="210"/>
        <w:rPr>
          <w:color w:val="auto"/>
          <w:highlight w:val="none"/>
        </w:rPr>
      </w:pPr>
      <w:r>
        <w:rPr>
          <w:rFonts w:hint="eastAsia"/>
          <w:color w:val="auto"/>
          <w:highlight w:val="none"/>
        </w:rPr>
        <w:t>注</w:t>
      </w:r>
      <w:r>
        <w:rPr>
          <w:color w:val="auto"/>
          <w:highlight w:val="none"/>
        </w:rPr>
        <w:t>：</w:t>
      </w:r>
      <w:r>
        <w:rPr>
          <w:rFonts w:hint="eastAsia"/>
          <w:color w:val="auto"/>
          <w:highlight w:val="none"/>
        </w:rPr>
        <w:t>格式</w:t>
      </w:r>
      <w:r>
        <w:rPr>
          <w:color w:val="auto"/>
          <w:highlight w:val="none"/>
        </w:rPr>
        <w:t>自拟</w:t>
      </w:r>
    </w:p>
    <w:p>
      <w:pPr>
        <w:pStyle w:val="28"/>
        <w:ind w:firstLine="480"/>
        <w:rPr>
          <w:rFonts w:ascii="宋体" w:hAnsi="宋体" w:eastAsia="宋体" w:cs="宋体"/>
          <w:color w:val="auto"/>
          <w:sz w:val="24"/>
          <w:highlight w:val="none"/>
        </w:rPr>
      </w:pPr>
    </w:p>
    <w:p>
      <w:pPr>
        <w:snapToGrid w:val="0"/>
        <w:jc w:val="left"/>
        <w:rPr>
          <w:rFonts w:ascii="宋体" w:hAnsi="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pStyle w:val="28"/>
        <w:ind w:firstLine="0" w:firstLineChars="0"/>
        <w:rPr>
          <w:rFonts w:ascii="宋体" w:hAnsi="宋体" w:eastAsia="宋体" w:cs="宋体"/>
          <w:color w:val="auto"/>
          <w:sz w:val="24"/>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格式2-1</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法定代表人身份证明书</w:t>
      </w:r>
    </w:p>
    <w:p>
      <w:pPr>
        <w:spacing w:line="360" w:lineRule="auto"/>
        <w:jc w:val="center"/>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spacing w:line="360" w:lineRule="auto"/>
        <w:ind w:firstLine="600" w:firstLineChars="250"/>
        <w:rPr>
          <w:rFonts w:ascii="宋体" w:hAnsi="宋体" w:cs="宋体"/>
          <w:color w:val="auto"/>
          <w:sz w:val="24"/>
          <w:highlight w:val="none"/>
        </w:rPr>
      </w:pPr>
      <w:r>
        <w:rPr>
          <w:rFonts w:hint="eastAsia" w:ascii="宋体" w:hAnsi="宋体" w:cs="宋体"/>
          <w:color w:val="auto"/>
          <w:sz w:val="24"/>
          <w:highlight w:val="none"/>
        </w:rPr>
        <w:t>_______同志，系我单位法定代表人，任______职务。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特此证明。</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附：联系地址：               </w:t>
      </w:r>
    </w:p>
    <w:p>
      <w:pPr>
        <w:spacing w:line="360" w:lineRule="auto"/>
        <w:ind w:firstLine="960" w:firstLineChars="400"/>
        <w:rPr>
          <w:rFonts w:ascii="宋体" w:hAnsi="宋体" w:cs="宋体"/>
          <w:b/>
          <w:color w:val="auto"/>
          <w:sz w:val="24"/>
          <w:highlight w:val="none"/>
        </w:rPr>
      </w:pPr>
      <w:r>
        <w:rPr>
          <w:rFonts w:hint="eastAsia" w:ascii="宋体" w:hAnsi="宋体" w:cs="宋体"/>
          <w:color w:val="auto"/>
          <w:sz w:val="24"/>
          <w:highlight w:val="none"/>
        </w:rPr>
        <w:t>联系电话：</w:t>
      </w:r>
    </w:p>
    <w:tbl>
      <w:tblPr>
        <w:tblStyle w:val="2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rPr>
                <w:rFonts w:ascii="宋体" w:hAnsi="宋体" w:cs="宋体"/>
                <w:b/>
                <w:bCs/>
                <w:color w:val="auto"/>
                <w:sz w:val="24"/>
                <w:highlight w:val="none"/>
              </w:rPr>
            </w:pPr>
          </w:p>
          <w:p>
            <w:pPr>
              <w:spacing w:line="480" w:lineRule="exact"/>
              <w:rPr>
                <w:rFonts w:ascii="宋体" w:hAnsi="宋体" w:cs="宋体"/>
                <w:b/>
                <w:bCs/>
                <w:color w:val="auto"/>
                <w:sz w:val="24"/>
                <w:highlight w:val="none"/>
              </w:rPr>
            </w:pPr>
          </w:p>
          <w:p>
            <w:pPr>
              <w:spacing w:line="480" w:lineRule="exact"/>
              <w:jc w:val="center"/>
              <w:rPr>
                <w:rFonts w:ascii="宋体" w:hAnsi="宋体" w:cs="宋体"/>
                <w:b/>
                <w:bCs/>
                <w:color w:val="auto"/>
                <w:sz w:val="24"/>
                <w:highlight w:val="none"/>
              </w:rPr>
            </w:pPr>
            <w:r>
              <w:rPr>
                <w:rFonts w:hint="eastAsia" w:ascii="宋体" w:hAnsi="宋体" w:cs="宋体"/>
                <w:b/>
                <w:bCs/>
                <w:color w:val="auto"/>
                <w:sz w:val="24"/>
                <w:highlight w:val="none"/>
              </w:rPr>
              <w:t>（※附：法定代表人身份证复印件或扫描件※）</w:t>
            </w:r>
          </w:p>
          <w:p>
            <w:pPr>
              <w:spacing w:line="480" w:lineRule="exact"/>
              <w:rPr>
                <w:rFonts w:ascii="宋体" w:hAnsi="宋体" w:cs="宋体"/>
                <w:color w:val="auto"/>
                <w:sz w:val="24"/>
                <w:highlight w:val="none"/>
              </w:rPr>
            </w:pPr>
          </w:p>
          <w:p>
            <w:pPr>
              <w:spacing w:line="480" w:lineRule="exact"/>
              <w:rPr>
                <w:rFonts w:ascii="宋体" w:hAnsi="宋体" w:cs="宋体"/>
                <w:color w:val="auto"/>
                <w:sz w:val="24"/>
                <w:highlight w:val="none"/>
              </w:rPr>
            </w:pPr>
          </w:p>
        </w:tc>
      </w:tr>
    </w:tbl>
    <w:p>
      <w:pPr>
        <w:spacing w:line="360" w:lineRule="auto"/>
        <w:ind w:firstLine="960" w:firstLineChars="400"/>
        <w:rPr>
          <w:rFonts w:ascii="宋体" w:hAnsi="宋体" w:cs="宋体"/>
          <w:color w:val="auto"/>
          <w:sz w:val="24"/>
          <w:highlight w:val="none"/>
        </w:rPr>
      </w:pPr>
    </w:p>
    <w:p>
      <w:pPr>
        <w:spacing w:line="360" w:lineRule="auto"/>
        <w:ind w:firstLine="3840" w:firstLineChars="1600"/>
        <w:rPr>
          <w:rFonts w:ascii="宋体" w:hAnsi="宋体" w:cs="宋体"/>
          <w:color w:val="auto"/>
          <w:sz w:val="24"/>
          <w:highlight w:val="none"/>
        </w:rPr>
      </w:pPr>
    </w:p>
    <w:p>
      <w:pPr>
        <w:spacing w:line="360" w:lineRule="auto"/>
        <w:ind w:firstLine="3840" w:firstLineChars="1600"/>
        <w:rPr>
          <w:rFonts w:ascii="宋体" w:hAnsi="宋体" w:cs="宋体"/>
          <w:color w:val="auto"/>
          <w:sz w:val="24"/>
          <w:highlight w:val="none"/>
        </w:rPr>
      </w:pPr>
    </w:p>
    <w:p>
      <w:pPr>
        <w:spacing w:line="360" w:lineRule="auto"/>
        <w:ind w:firstLine="3840" w:firstLineChars="1600"/>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ind w:firstLine="3840" w:firstLineChars="1600"/>
        <w:rPr>
          <w:rFonts w:ascii="宋体" w:hAnsi="宋体" w:cs="宋体"/>
          <w:color w:val="auto"/>
          <w:sz w:val="24"/>
          <w:highlight w:val="none"/>
        </w:rPr>
      </w:pPr>
      <w:r>
        <w:rPr>
          <w:rFonts w:hint="eastAsia" w:ascii="宋体" w:hAnsi="宋体" w:cs="宋体"/>
          <w:color w:val="auto"/>
          <w:sz w:val="24"/>
          <w:highlight w:val="none"/>
        </w:rPr>
        <w:t xml:space="preserve">投标人电子签章： </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格式2-2</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授权委托书</w:t>
      </w:r>
    </w:p>
    <w:p>
      <w:pPr>
        <w:spacing w:line="360" w:lineRule="auto"/>
        <w:jc w:val="center"/>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委托人授权_______（被委托人的姓名、职务）为委托人的委托代理人，就项目编号为____________的</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r>
        <w:rPr>
          <w:rFonts w:hint="eastAsia" w:ascii="宋体" w:hAnsi="宋体" w:cs="宋体"/>
          <w:color w:val="auto"/>
          <w:sz w:val="24"/>
          <w:highlight w:val="none"/>
        </w:rPr>
        <w:t>项目及合同的执行，以本单位名义处理一切与之有关的事务。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本授权书于____年____月_____日签字生效，特此声明。</w:t>
      </w:r>
    </w:p>
    <w:p>
      <w:pPr>
        <w:spacing w:line="360" w:lineRule="auto"/>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委托人：</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投标人电子签章：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被委托人：</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法定代表人：</w:t>
      </w:r>
    </w:p>
    <w:tbl>
      <w:tblPr>
        <w:tblStyle w:val="29"/>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pPr>
              <w:spacing w:line="480" w:lineRule="exact"/>
              <w:rPr>
                <w:rFonts w:ascii="宋体" w:hAnsi="宋体" w:cs="宋体"/>
                <w:b/>
                <w:bCs/>
                <w:color w:val="auto"/>
                <w:sz w:val="24"/>
                <w:highlight w:val="none"/>
              </w:rPr>
            </w:pPr>
          </w:p>
          <w:p>
            <w:pPr>
              <w:spacing w:line="480" w:lineRule="exact"/>
              <w:rPr>
                <w:rFonts w:ascii="宋体" w:hAnsi="宋体" w:cs="宋体"/>
                <w:b/>
                <w:bCs/>
                <w:color w:val="auto"/>
                <w:sz w:val="24"/>
                <w:highlight w:val="none"/>
              </w:rPr>
            </w:pPr>
          </w:p>
          <w:p>
            <w:pPr>
              <w:spacing w:line="480" w:lineRule="exact"/>
              <w:jc w:val="center"/>
              <w:rPr>
                <w:rFonts w:ascii="宋体" w:hAnsi="宋体" w:cs="宋体"/>
                <w:color w:val="auto"/>
                <w:sz w:val="24"/>
                <w:highlight w:val="none"/>
              </w:rPr>
            </w:pPr>
            <w:r>
              <w:rPr>
                <w:rFonts w:hint="eastAsia" w:ascii="宋体" w:hAnsi="宋体" w:cs="宋体"/>
                <w:b/>
                <w:bCs/>
                <w:color w:val="auto"/>
                <w:sz w:val="24"/>
                <w:highlight w:val="none"/>
              </w:rPr>
              <w:t>（※附：被委托人身份证复印件或扫描件※）</w:t>
            </w:r>
          </w:p>
        </w:tc>
      </w:tr>
    </w:tbl>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spacing w:line="360" w:lineRule="auto"/>
        <w:ind w:firstLine="4920" w:firstLineChars="2050"/>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spacing w:line="360" w:lineRule="auto"/>
        <w:jc w:val="center"/>
        <w:rPr>
          <w:rFonts w:ascii="宋体" w:hAnsi="宋体" w:cs="宋体"/>
          <w:color w:val="auto"/>
          <w:sz w:val="24"/>
          <w:highlight w:val="none"/>
        </w:rPr>
      </w:pPr>
    </w:p>
    <w:p>
      <w:pPr>
        <w:pStyle w:val="2"/>
        <w:ind w:firstLine="210"/>
        <w:rPr>
          <w:color w:val="auto"/>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投标人电子签章：                                       </w:t>
      </w: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jc w:val="center"/>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格式3</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投标函</w:t>
      </w:r>
    </w:p>
    <w:p>
      <w:pPr>
        <w:pStyle w:val="25"/>
        <w:shd w:val="clear" w:color="auto" w:fill="FFFFFF"/>
        <w:adjustRightInd w:val="0"/>
        <w:snapToGrid w:val="0"/>
        <w:spacing w:before="0" w:beforeAutospacing="0" w:after="0" w:afterAutospacing="0" w:line="360" w:lineRule="auto"/>
        <w:rPr>
          <w:rFonts w:cs="宋体"/>
          <w:color w:val="auto"/>
          <w:szCs w:val="24"/>
          <w:highlight w:val="none"/>
        </w:rPr>
      </w:pPr>
      <w:r>
        <w:rPr>
          <w:rFonts w:hint="eastAsia" w:cs="宋体"/>
          <w:color w:val="auto"/>
          <w:szCs w:val="24"/>
          <w:highlight w:val="none"/>
        </w:rPr>
        <w:t>致：周口市公共资源交易中心政府采购中心</w:t>
      </w:r>
    </w:p>
    <w:p>
      <w:pPr>
        <w:rPr>
          <w:rFonts w:ascii="宋体" w:hAnsi="宋体" w:cs="宋体"/>
          <w:color w:val="auto"/>
          <w:kern w:val="0"/>
          <w:sz w:val="24"/>
          <w:highlight w:val="none"/>
        </w:rPr>
      </w:pPr>
    </w:p>
    <w:p>
      <w:pPr>
        <w:pStyle w:val="60"/>
        <w:ind w:firstLine="600" w:firstLineChars="250"/>
        <w:rPr>
          <w:rFonts w:ascii="宋体" w:hAnsi="宋体"/>
          <w:color w:val="auto"/>
          <w:sz w:val="24"/>
          <w:szCs w:val="24"/>
          <w:highlight w:val="none"/>
        </w:rPr>
      </w:pPr>
      <w:r>
        <w:rPr>
          <w:rFonts w:hint="eastAsia" w:ascii="宋体" w:hAnsi="宋体"/>
          <w:color w:val="auto"/>
          <w:sz w:val="24"/>
          <w:szCs w:val="24"/>
          <w:highlight w:val="none"/>
        </w:rPr>
        <w:t>根据贵方</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项目的竞争性磋商邀请（项目编号：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），委托代理人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(全名、职务)代表</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(供应商名称、地址)提交投标文件，报价为</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元，</w:t>
      </w:r>
      <w:r>
        <w:rPr>
          <w:rFonts w:hint="eastAsia" w:ascii="宋体" w:hAnsi="宋体"/>
          <w:color w:val="auto"/>
          <w:sz w:val="24"/>
          <w:szCs w:val="24"/>
          <w:highlight w:val="none"/>
        </w:rPr>
        <w:t>并对之负法律责任。</w:t>
      </w:r>
    </w:p>
    <w:p>
      <w:pPr>
        <w:ind w:firstLine="568" w:firstLineChars="237"/>
        <w:rPr>
          <w:rFonts w:ascii="宋体" w:hAnsi="宋体" w:cs="宋体"/>
          <w:color w:val="auto"/>
          <w:sz w:val="24"/>
          <w:highlight w:val="none"/>
        </w:rPr>
      </w:pPr>
      <w:r>
        <w:rPr>
          <w:rFonts w:hint="eastAsia" w:ascii="宋体" w:hAnsi="宋体" w:cs="宋体"/>
          <w:color w:val="auto"/>
          <w:sz w:val="24"/>
          <w:highlight w:val="none"/>
        </w:rPr>
        <w:t>据此函，宣布同意如下：</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(1)我们完全理解贵方不一定要接受最低报价，并同意本文件规定的响应性文件有效期。</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(2)我们已详细审核全部竞争性磋商文件，我们知道必须放弃提出含糊不清或误解的问题的权利。</w:t>
      </w:r>
    </w:p>
    <w:p>
      <w:pPr>
        <w:numPr>
          <w:ilvl w:val="0"/>
          <w:numId w:val="3"/>
        </w:numPr>
        <w:ind w:firstLine="480" w:firstLineChars="200"/>
        <w:rPr>
          <w:rFonts w:ascii="宋体" w:hAnsi="宋体" w:cs="宋体"/>
          <w:color w:val="auto"/>
          <w:sz w:val="24"/>
          <w:highlight w:val="none"/>
        </w:rPr>
      </w:pPr>
      <w:r>
        <w:rPr>
          <w:rFonts w:hint="eastAsia" w:ascii="宋体" w:hAnsi="宋体" w:cs="宋体"/>
          <w:color w:val="auto"/>
          <w:sz w:val="24"/>
          <w:highlight w:val="none"/>
        </w:rPr>
        <w:t>同意向贵方提供贵方可能另外要求的与其竞争性磋商有关的任何证据和资料。</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(4)一旦我们成交，我们将严格履行合同责任和义务。</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5</w:t>
      </w:r>
      <w:r>
        <w:rPr>
          <w:rFonts w:hint="eastAsia" w:ascii="宋体" w:hAnsi="宋体" w:cs="宋体"/>
          <w:color w:val="auto"/>
          <w:sz w:val="24"/>
          <w:highlight w:val="none"/>
        </w:rPr>
        <w:t>)我们完全理解不向未成交人解释未成交理由的义务。</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6</w:t>
      </w:r>
      <w:r>
        <w:rPr>
          <w:rFonts w:hint="eastAsia" w:ascii="宋体" w:hAnsi="宋体" w:cs="宋体"/>
          <w:color w:val="auto"/>
          <w:sz w:val="24"/>
          <w:highlight w:val="none"/>
        </w:rPr>
        <w:t>)与本次竞争性磋商有关的正式通讯地址为：</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地 址：                  邮 编：</w:t>
      </w:r>
    </w:p>
    <w:p>
      <w:pPr>
        <w:ind w:firstLine="480" w:firstLineChars="200"/>
        <w:rPr>
          <w:rFonts w:ascii="宋体" w:hAnsi="宋体" w:cs="宋体"/>
          <w:color w:val="auto"/>
          <w:sz w:val="24"/>
          <w:highlight w:val="none"/>
        </w:rPr>
      </w:pPr>
      <w:r>
        <w:rPr>
          <w:rFonts w:hint="eastAsia" w:ascii="宋体" w:hAnsi="宋体" w:cs="宋体"/>
          <w:color w:val="auto"/>
          <w:sz w:val="24"/>
          <w:highlight w:val="none"/>
        </w:rPr>
        <w:t>电 话：                  传 真：</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我们保证：</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(1)不提供虚假材料谋取成交；</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(2)不以不正当手段抵毁、排挤其他供应商；</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(3)不与采购人和其它供应商恶意串通；</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(4)不向采购人和采购代理机构提供不正当利益；</w:t>
      </w:r>
    </w:p>
    <w:p>
      <w:pPr>
        <w:ind w:firstLine="480" w:firstLineChars="200"/>
        <w:jc w:val="left"/>
        <w:rPr>
          <w:rFonts w:ascii="宋体" w:hAnsi="宋体" w:cs="宋体"/>
          <w:color w:val="auto"/>
          <w:sz w:val="24"/>
          <w:highlight w:val="none"/>
        </w:rPr>
      </w:pPr>
      <w:r>
        <w:rPr>
          <w:rFonts w:hint="eastAsia" w:ascii="宋体" w:hAnsi="宋体" w:cs="宋体"/>
          <w:color w:val="auto"/>
          <w:sz w:val="24"/>
          <w:highlight w:val="none"/>
        </w:rPr>
        <w:t>(5)不拒绝有关部门监督检查或提供虚假情况。</w:t>
      </w:r>
    </w:p>
    <w:p>
      <w:pPr>
        <w:spacing w:line="56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 xml:space="preserve"> 联系人：              联系电话：</w:t>
      </w:r>
    </w:p>
    <w:p>
      <w:pPr>
        <w:spacing w:line="360" w:lineRule="auto"/>
        <w:jc w:val="left"/>
        <w:rPr>
          <w:rFonts w:ascii="宋体" w:hAnsi="宋体" w:cs="宋体"/>
          <w:color w:val="auto"/>
          <w:sz w:val="24"/>
          <w:highlight w:val="none"/>
        </w:rPr>
      </w:pPr>
    </w:p>
    <w:p>
      <w:pPr>
        <w:spacing w:line="360" w:lineRule="auto"/>
        <w:jc w:val="left"/>
        <w:rPr>
          <w:rFonts w:ascii="宋体" w:hAnsi="宋体" w:cs="宋体"/>
          <w:color w:val="auto"/>
          <w:sz w:val="24"/>
          <w:highlight w:val="none"/>
        </w:rPr>
      </w:pPr>
    </w:p>
    <w:p>
      <w:pPr>
        <w:spacing w:line="360" w:lineRule="auto"/>
        <w:jc w:val="left"/>
        <w:rPr>
          <w:rFonts w:ascii="宋体" w:hAnsi="宋体" w:cs="宋体"/>
          <w:color w:val="auto"/>
          <w:sz w:val="24"/>
          <w:highlight w:val="none"/>
        </w:rPr>
      </w:pPr>
    </w:p>
    <w:p>
      <w:pPr>
        <w:spacing w:line="360" w:lineRule="auto"/>
        <w:ind w:firstLine="3360" w:firstLineChars="1400"/>
        <w:jc w:val="left"/>
        <w:rPr>
          <w:rFonts w:ascii="宋体" w:hAnsi="宋体" w:cs="宋体"/>
          <w:color w:val="auto"/>
          <w:sz w:val="24"/>
          <w:highlight w:val="none"/>
        </w:rPr>
      </w:pPr>
      <w:r>
        <w:rPr>
          <w:rFonts w:hint="eastAsia" w:ascii="宋体" w:hAnsi="宋体" w:cs="宋体"/>
          <w:color w:val="auto"/>
          <w:sz w:val="24"/>
          <w:highlight w:val="none"/>
        </w:rPr>
        <w:t>投标人电子签章：</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格式4</w:t>
      </w:r>
    </w:p>
    <w:p>
      <w:pPr>
        <w:spacing w:line="360" w:lineRule="auto"/>
        <w:jc w:val="center"/>
        <w:rPr>
          <w:rFonts w:ascii="宋体" w:hAnsi="宋体" w:cs="宋体"/>
          <w:b/>
          <w:color w:val="auto"/>
          <w:sz w:val="24"/>
          <w:highlight w:val="none"/>
        </w:rPr>
      </w:pPr>
      <w:bookmarkStart w:id="6" w:name="_Toc197934561"/>
      <w:bookmarkStart w:id="7" w:name="_Toc495414231"/>
      <w:r>
        <w:rPr>
          <w:rFonts w:hint="eastAsia" w:ascii="宋体" w:hAnsi="宋体" w:cs="宋体"/>
          <w:b/>
          <w:color w:val="auto"/>
          <w:sz w:val="24"/>
          <w:highlight w:val="none"/>
        </w:rPr>
        <w:t>一．报价一览表</w:t>
      </w:r>
      <w:bookmarkEnd w:id="6"/>
      <w:bookmarkEnd w:id="7"/>
    </w:p>
    <w:tbl>
      <w:tblPr>
        <w:tblStyle w:val="29"/>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pPr>
              <w:widowControl/>
              <w:spacing w:line="36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667" w:type="dxa"/>
            <w:tcBorders>
              <w:top w:val="single" w:color="auto" w:sz="4" w:space="0"/>
              <w:bottom w:val="single" w:color="auto" w:sz="4" w:space="0"/>
              <w:right w:val="single" w:color="auto" w:sz="4" w:space="0"/>
            </w:tcBorders>
            <w:vAlign w:val="center"/>
          </w:tcPr>
          <w:p>
            <w:pPr>
              <w:spacing w:line="360" w:lineRule="exact"/>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投标人全称</w:t>
            </w:r>
          </w:p>
        </w:tc>
        <w:tc>
          <w:tcPr>
            <w:tcW w:w="6667" w:type="dxa"/>
            <w:tcBorders>
              <w:top w:val="nil"/>
            </w:tcBorders>
            <w:vAlign w:val="center"/>
          </w:tcPr>
          <w:p>
            <w:pPr>
              <w:spacing w:line="360" w:lineRule="auto"/>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投标报价</w:t>
            </w:r>
          </w:p>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（人民币）</w:t>
            </w:r>
          </w:p>
        </w:tc>
        <w:tc>
          <w:tcPr>
            <w:tcW w:w="6667" w:type="dxa"/>
            <w:tcBorders>
              <w:top w:val="nil"/>
            </w:tcBorders>
            <w:vAlign w:val="center"/>
          </w:tcPr>
          <w:p>
            <w:pPr>
              <w:spacing w:line="360" w:lineRule="auto"/>
              <w:ind w:right="-670"/>
              <w:rPr>
                <w:rFonts w:ascii="宋体" w:hAnsi="宋体" w:cs="宋体"/>
                <w:color w:val="auto"/>
                <w:sz w:val="24"/>
                <w:highlight w:val="none"/>
              </w:rPr>
            </w:pPr>
            <w:r>
              <w:rPr>
                <w:rFonts w:hint="eastAsia" w:ascii="宋体" w:hAnsi="宋体" w:cs="宋体"/>
                <w:color w:val="auto"/>
                <w:sz w:val="24"/>
                <w:highlight w:val="none"/>
              </w:rPr>
              <w:t xml:space="preserve">投标总价：       </w:t>
            </w:r>
            <w:r>
              <w:rPr>
                <w:rFonts w:ascii="宋体" w:hAnsi="宋体" w:cs="宋体"/>
                <w:color w:val="auto"/>
                <w:sz w:val="24"/>
                <w:highlight w:val="none"/>
              </w:rPr>
              <w:t xml:space="preserve"> </w:t>
            </w:r>
            <w:r>
              <w:rPr>
                <w:rFonts w:hint="eastAsia" w:ascii="宋体" w:hAnsi="宋体" w:cs="宋体"/>
                <w:color w:val="auto"/>
                <w:sz w:val="24"/>
                <w:highlight w:val="none"/>
              </w:rPr>
              <w:t xml:space="preserve">大写：          </w:t>
            </w:r>
          </w:p>
          <w:p>
            <w:pPr>
              <w:spacing w:line="360" w:lineRule="auto"/>
              <w:ind w:right="-670"/>
              <w:rPr>
                <w:rFonts w:ascii="宋体" w:hAnsi="宋体" w:cs="宋体"/>
                <w:color w:val="auto"/>
                <w:sz w:val="24"/>
                <w:highlight w:val="none"/>
              </w:rPr>
            </w:pPr>
            <w:r>
              <w:rPr>
                <w:rFonts w:ascii="宋体" w:hAnsi="宋体" w:cs="宋体"/>
                <w:color w:val="auto"/>
                <w:sz w:val="24"/>
                <w:highlight w:val="none"/>
              </w:rPr>
              <w:t xml:space="preserve">                  </w:t>
            </w:r>
            <w:r>
              <w:rPr>
                <w:rFonts w:hint="eastAsia" w:ascii="宋体" w:hAnsi="宋体" w:cs="宋体"/>
                <w:color w:val="auto"/>
                <w:sz w:val="24"/>
                <w:highlight w:val="none"/>
              </w:rPr>
              <w:t>小写</w:t>
            </w:r>
            <w:r>
              <w:rPr>
                <w:rFonts w:ascii="宋体" w:hAnsi="宋体" w:cs="宋体"/>
                <w:color w:val="auto"/>
                <w:sz w:val="24"/>
                <w:highlight w:val="none"/>
              </w:rPr>
              <w:t>：</w:t>
            </w:r>
            <w:r>
              <w:rPr>
                <w:rFonts w:hint="eastAsia" w:ascii="宋体" w:hAnsi="宋体" w:cs="宋体"/>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供货期</w:t>
            </w:r>
          </w:p>
        </w:tc>
        <w:tc>
          <w:tcPr>
            <w:tcW w:w="6667" w:type="dxa"/>
            <w:tcBorders>
              <w:top w:val="nil"/>
            </w:tcBorders>
            <w:vAlign w:val="center"/>
          </w:tcPr>
          <w:p>
            <w:pPr>
              <w:spacing w:line="360" w:lineRule="auto"/>
              <w:ind w:right="-670"/>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响应</w:t>
            </w:r>
            <w:r>
              <w:rPr>
                <w:rFonts w:ascii="宋体" w:hAnsi="宋体" w:cs="宋体"/>
                <w:color w:val="auto"/>
                <w:sz w:val="24"/>
                <w:highlight w:val="none"/>
              </w:rPr>
              <w:t>范围</w:t>
            </w:r>
          </w:p>
        </w:tc>
        <w:tc>
          <w:tcPr>
            <w:tcW w:w="6667" w:type="dxa"/>
            <w:tcBorders>
              <w:top w:val="nil"/>
            </w:tcBorders>
            <w:vAlign w:val="center"/>
          </w:tcPr>
          <w:p>
            <w:pPr>
              <w:spacing w:line="360" w:lineRule="auto"/>
              <w:ind w:right="-670"/>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color w:val="auto"/>
                <w:sz w:val="24"/>
                <w:highlight w:val="none"/>
              </w:rPr>
            </w:pPr>
            <w:r>
              <w:rPr>
                <w:rFonts w:hint="eastAsia" w:ascii="宋体" w:hAnsi="宋体" w:cs="宋体"/>
                <w:color w:val="auto"/>
                <w:sz w:val="24"/>
                <w:highlight w:val="none"/>
              </w:rPr>
              <w:t>响应文件</w:t>
            </w:r>
            <w:r>
              <w:rPr>
                <w:rFonts w:ascii="宋体" w:hAnsi="宋体" w:cs="宋体"/>
                <w:color w:val="auto"/>
                <w:sz w:val="24"/>
                <w:highlight w:val="none"/>
              </w:rPr>
              <w:t>有效期</w:t>
            </w:r>
          </w:p>
        </w:tc>
        <w:tc>
          <w:tcPr>
            <w:tcW w:w="6667" w:type="dxa"/>
            <w:tcBorders>
              <w:top w:val="nil"/>
            </w:tcBorders>
            <w:vAlign w:val="center"/>
          </w:tcPr>
          <w:p>
            <w:pPr>
              <w:spacing w:line="360" w:lineRule="auto"/>
              <w:ind w:right="-670"/>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c>
          <w:tcPr>
            <w:tcW w:w="6667" w:type="dxa"/>
            <w:tcBorders>
              <w:top w:val="nil"/>
            </w:tcBorders>
            <w:vAlign w:val="center"/>
          </w:tcPr>
          <w:p>
            <w:pPr>
              <w:spacing w:line="360" w:lineRule="auto"/>
              <w:jc w:val="left"/>
              <w:rPr>
                <w:rFonts w:ascii="宋体" w:hAnsi="宋体" w:cs="宋体"/>
                <w:color w:val="auto"/>
                <w:sz w:val="24"/>
                <w:highlight w:val="none"/>
              </w:rPr>
            </w:pPr>
          </w:p>
        </w:tc>
      </w:tr>
    </w:tbl>
    <w:p>
      <w:pPr>
        <w:spacing w:before="100" w:beforeAutospacing="1" w:after="100" w:afterAutospacing="1" w:line="360" w:lineRule="auto"/>
        <w:ind w:firstLine="4920" w:firstLineChars="2050"/>
        <w:rPr>
          <w:rFonts w:ascii="宋体" w:hAnsi="宋体" w:cs="宋体"/>
          <w:color w:val="auto"/>
          <w:sz w:val="24"/>
          <w:highlight w:val="none"/>
        </w:rPr>
      </w:pPr>
    </w:p>
    <w:p>
      <w:pPr>
        <w:spacing w:before="100" w:beforeAutospacing="1" w:after="100" w:afterAutospacing="1" w:line="360" w:lineRule="auto"/>
        <w:ind w:firstLine="4920" w:firstLineChars="2050"/>
        <w:rPr>
          <w:rFonts w:ascii="宋体" w:hAnsi="宋体" w:cs="宋体"/>
          <w:color w:val="auto"/>
          <w:sz w:val="24"/>
          <w:highlight w:val="none"/>
        </w:rPr>
      </w:pPr>
      <w:r>
        <w:rPr>
          <w:rFonts w:hint="eastAsia" w:ascii="宋体" w:hAnsi="宋体" w:cs="宋体"/>
          <w:color w:val="auto"/>
          <w:sz w:val="24"/>
          <w:highlight w:val="none"/>
        </w:rPr>
        <w:t>被授权人和</w:t>
      </w:r>
      <w:r>
        <w:rPr>
          <w:rFonts w:ascii="宋体" w:hAnsi="宋体" w:cs="宋体"/>
          <w:color w:val="auto"/>
          <w:sz w:val="24"/>
          <w:highlight w:val="none"/>
        </w:rPr>
        <w:t>法人</w:t>
      </w:r>
      <w:r>
        <w:rPr>
          <w:rFonts w:hint="eastAsia" w:ascii="宋体" w:hAnsi="宋体" w:cs="宋体"/>
          <w:color w:val="auto"/>
          <w:sz w:val="24"/>
          <w:highlight w:val="none"/>
        </w:rPr>
        <w:t xml:space="preserve">：（签字） </w:t>
      </w:r>
    </w:p>
    <w:p>
      <w:pPr>
        <w:spacing w:line="380" w:lineRule="exact"/>
        <w:ind w:firstLine="4920" w:firstLineChars="2050"/>
        <w:rPr>
          <w:rFonts w:ascii="宋体" w:hAnsi="宋体" w:cs="宋体"/>
          <w:b/>
          <w:color w:val="auto"/>
          <w:sz w:val="24"/>
          <w:highlight w:val="none"/>
        </w:rPr>
      </w:pPr>
      <w:r>
        <w:rPr>
          <w:rFonts w:hint="eastAsia" w:ascii="宋体" w:hAnsi="宋体" w:cs="宋体"/>
          <w:color w:val="auto"/>
          <w:sz w:val="24"/>
          <w:highlight w:val="none"/>
        </w:rPr>
        <w:t>日期：年月日</w:t>
      </w:r>
    </w:p>
    <w:p>
      <w:pPr>
        <w:spacing w:line="360" w:lineRule="auto"/>
        <w:rPr>
          <w:rFonts w:ascii="宋体" w:hAnsi="宋体" w:cs="宋体"/>
          <w:color w:val="auto"/>
          <w:sz w:val="24"/>
          <w:highlight w:val="none"/>
        </w:rPr>
      </w:pPr>
    </w:p>
    <w:p>
      <w:pPr>
        <w:pStyle w:val="2"/>
        <w:ind w:firstLine="210"/>
        <w:rPr>
          <w:color w:val="auto"/>
          <w:highlight w:val="none"/>
        </w:rPr>
      </w:pPr>
    </w:p>
    <w:p>
      <w:pPr>
        <w:pStyle w:val="2"/>
        <w:ind w:firstLine="210"/>
        <w:rPr>
          <w:color w:val="auto"/>
          <w:highlight w:val="none"/>
        </w:rPr>
      </w:pPr>
    </w:p>
    <w:p>
      <w:pPr>
        <w:pStyle w:val="2"/>
        <w:ind w:firstLine="210"/>
        <w:rPr>
          <w:color w:val="auto"/>
          <w:highlight w:val="none"/>
        </w:rPr>
      </w:pPr>
    </w:p>
    <w:p>
      <w:pPr>
        <w:pStyle w:val="2"/>
        <w:ind w:firstLine="210"/>
        <w:rPr>
          <w:color w:val="auto"/>
          <w:highlight w:val="none"/>
        </w:rPr>
      </w:pPr>
      <w:bookmarkStart w:id="8" w:name="_Toc220232409"/>
      <w:bookmarkStart w:id="9" w:name="_Toc495414234"/>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格式5</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投标分项报价表</w:t>
      </w:r>
      <w:bookmarkEnd w:id="8"/>
      <w:bookmarkEnd w:id="9"/>
    </w:p>
    <w:p>
      <w:pPr>
        <w:adjustRightInd w:val="0"/>
        <w:jc w:val="center"/>
        <w:rPr>
          <w:rFonts w:cs="仿宋_GB2312" w:asciiTheme="minorEastAsia" w:hAnsiTheme="minorEastAsia" w:eastAsiaTheme="minorEastAsia"/>
          <w:color w:val="auto"/>
          <w:sz w:val="24"/>
          <w:highlight w:val="none"/>
        </w:rPr>
      </w:pPr>
    </w:p>
    <w:p>
      <w:pPr>
        <w:adjustRightInd w:val="0"/>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供应商名称：</w:t>
      </w:r>
    </w:p>
    <w:p>
      <w:pPr>
        <w:adjustRightInd w:val="0"/>
        <w:jc w:val="left"/>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单位：元</w:t>
      </w:r>
    </w:p>
    <w:tbl>
      <w:tblPr>
        <w:tblStyle w:val="29"/>
        <w:tblW w:w="9322" w:type="dxa"/>
        <w:tblInd w:w="0" w:type="dxa"/>
        <w:tblLayout w:type="fixed"/>
        <w:tblCellMar>
          <w:top w:w="0" w:type="dxa"/>
          <w:left w:w="108" w:type="dxa"/>
          <w:bottom w:w="0" w:type="dxa"/>
          <w:right w:w="108" w:type="dxa"/>
        </w:tblCellMar>
      </w:tblPr>
      <w:tblGrid>
        <w:gridCol w:w="817"/>
        <w:gridCol w:w="2410"/>
        <w:gridCol w:w="992"/>
        <w:gridCol w:w="1134"/>
        <w:gridCol w:w="1134"/>
        <w:gridCol w:w="1417"/>
        <w:gridCol w:w="1418"/>
      </w:tblGrid>
      <w:tr>
        <w:tblPrEx>
          <w:tblCellMar>
            <w:top w:w="0" w:type="dxa"/>
            <w:left w:w="108" w:type="dxa"/>
            <w:bottom w:w="0" w:type="dxa"/>
            <w:right w:w="108" w:type="dxa"/>
          </w:tblCellMar>
        </w:tblPrEx>
        <w:trPr>
          <w:trHeight w:val="799" w:hRule="atLeast"/>
        </w:trPr>
        <w:tc>
          <w:tcPr>
            <w:tcW w:w="817" w:type="dxa"/>
            <w:tcBorders>
              <w:top w:val="single" w:color="auto" w:sz="6" w:space="0"/>
              <w:left w:val="single" w:color="auto" w:sz="6" w:space="0"/>
              <w:bottom w:val="single" w:color="auto" w:sz="6"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序号</w:t>
            </w:r>
          </w:p>
        </w:tc>
        <w:tc>
          <w:tcPr>
            <w:tcW w:w="2410"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技术参数</w:t>
            </w:r>
            <w:r>
              <w:rPr>
                <w:rFonts w:cs="仿宋_GB2312" w:asciiTheme="minorEastAsia" w:hAnsiTheme="minorEastAsia" w:eastAsiaTheme="minorEastAsia"/>
                <w:color w:val="auto"/>
                <w:sz w:val="24"/>
                <w:highlight w:val="none"/>
              </w:rPr>
              <w:t>及配置</w:t>
            </w:r>
          </w:p>
        </w:tc>
        <w:tc>
          <w:tcPr>
            <w:tcW w:w="992"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单位</w:t>
            </w:r>
          </w:p>
        </w:tc>
        <w:tc>
          <w:tcPr>
            <w:tcW w:w="1134"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数量</w:t>
            </w:r>
          </w:p>
        </w:tc>
        <w:tc>
          <w:tcPr>
            <w:tcW w:w="1134"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单价（元）</w:t>
            </w:r>
          </w:p>
        </w:tc>
        <w:tc>
          <w:tcPr>
            <w:tcW w:w="1417"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合价（元）</w:t>
            </w:r>
          </w:p>
        </w:tc>
        <w:tc>
          <w:tcPr>
            <w:tcW w:w="1418"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备注</w:t>
            </w:r>
          </w:p>
        </w:tc>
      </w:tr>
      <w:tr>
        <w:tblPrEx>
          <w:tblCellMar>
            <w:top w:w="0" w:type="dxa"/>
            <w:left w:w="108" w:type="dxa"/>
            <w:bottom w:w="0" w:type="dxa"/>
            <w:right w:w="108" w:type="dxa"/>
          </w:tblCellMar>
        </w:tblPrEx>
        <w:trPr>
          <w:trHeight w:val="370"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370"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370"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370"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6"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6"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370"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6" w:space="0"/>
              <w:left w:val="single" w:color="auto" w:sz="4" w:space="0"/>
              <w:bottom w:val="single" w:color="auto" w:sz="4"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6" w:space="0"/>
              <w:left w:val="single" w:color="auto" w:sz="4" w:space="0"/>
              <w:bottom w:val="single" w:color="auto" w:sz="4"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4"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6" w:space="0"/>
              <w:left w:val="single" w:color="auto" w:sz="4" w:space="0"/>
              <w:bottom w:val="single" w:color="auto" w:sz="4"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6" w:space="0"/>
              <w:left w:val="single" w:color="auto" w:sz="4" w:space="0"/>
              <w:bottom w:val="single" w:color="auto" w:sz="4"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6" w:space="0"/>
              <w:left w:val="single" w:color="auto" w:sz="4" w:space="0"/>
              <w:bottom w:val="single" w:color="auto" w:sz="4"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482"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482"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482"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482" w:hRule="atLeast"/>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cs="仿宋_GB2312" w:asciiTheme="minorEastAsia" w:hAnsiTheme="minorEastAsia" w:eastAsiaTheme="minorEastAsia"/>
                <w:color w:val="auto"/>
                <w:sz w:val="24"/>
                <w:highlight w:val="none"/>
              </w:rPr>
            </w:pPr>
          </w:p>
        </w:tc>
        <w:tc>
          <w:tcPr>
            <w:tcW w:w="2410"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c>
          <w:tcPr>
            <w:tcW w:w="992"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134"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7" w:type="dxa"/>
            <w:tcBorders>
              <w:top w:val="single" w:color="auto" w:sz="4" w:space="0"/>
              <w:left w:val="single" w:color="auto" w:sz="4" w:space="0"/>
              <w:bottom w:val="single" w:color="auto" w:sz="6" w:space="0"/>
              <w:right w:val="single" w:color="auto" w:sz="4" w:space="0"/>
            </w:tcBorders>
          </w:tcPr>
          <w:p>
            <w:pPr>
              <w:adjustRightInd w:val="0"/>
              <w:jc w:val="center"/>
              <w:rPr>
                <w:rFonts w:cs="仿宋_GB2312" w:asciiTheme="minorEastAsia" w:hAnsiTheme="minorEastAsia" w:eastAsiaTheme="minorEastAsia"/>
                <w:color w:val="auto"/>
                <w:sz w:val="24"/>
                <w:highlight w:val="none"/>
              </w:rPr>
            </w:pPr>
          </w:p>
        </w:tc>
        <w:tc>
          <w:tcPr>
            <w:tcW w:w="1418" w:type="dxa"/>
            <w:tcBorders>
              <w:top w:val="single" w:color="auto" w:sz="4" w:space="0"/>
              <w:left w:val="single" w:color="auto" w:sz="4" w:space="0"/>
              <w:bottom w:val="single" w:color="auto" w:sz="6" w:space="0"/>
              <w:right w:val="single" w:color="auto" w:sz="6" w:space="0"/>
            </w:tcBorders>
          </w:tcPr>
          <w:p>
            <w:pPr>
              <w:adjustRightInd w:val="0"/>
              <w:jc w:val="center"/>
              <w:rPr>
                <w:rFonts w:cs="仿宋_GB2312" w:asciiTheme="minorEastAsia" w:hAnsiTheme="minorEastAsia" w:eastAsiaTheme="minorEastAsia"/>
                <w:color w:val="auto"/>
                <w:sz w:val="24"/>
                <w:highlight w:val="none"/>
              </w:rPr>
            </w:pPr>
          </w:p>
        </w:tc>
      </w:tr>
      <w:tr>
        <w:tblPrEx>
          <w:tblCellMar>
            <w:top w:w="0" w:type="dxa"/>
            <w:left w:w="108" w:type="dxa"/>
            <w:bottom w:w="0" w:type="dxa"/>
            <w:right w:w="108" w:type="dxa"/>
          </w:tblCellMar>
        </w:tblPrEx>
        <w:trPr>
          <w:trHeight w:val="951" w:hRule="atLeast"/>
        </w:trPr>
        <w:tc>
          <w:tcPr>
            <w:tcW w:w="817" w:type="dxa"/>
            <w:tcBorders>
              <w:top w:val="single" w:color="auto" w:sz="6" w:space="0"/>
              <w:left w:val="single" w:color="auto" w:sz="6" w:space="0"/>
              <w:bottom w:val="single" w:color="auto" w:sz="6" w:space="0"/>
              <w:right w:val="single" w:color="auto" w:sz="6" w:space="0"/>
            </w:tcBorders>
          </w:tcPr>
          <w:p>
            <w:pPr>
              <w:adjustRightInd w:val="0"/>
              <w:ind w:right="-29" w:rightChars="-14"/>
              <w:jc w:val="center"/>
              <w:rPr>
                <w:rFonts w:cs="仿宋_GB2312" w:asciiTheme="minorEastAsia" w:hAnsiTheme="minorEastAsia" w:eastAsiaTheme="minorEastAsia"/>
                <w:color w:val="auto"/>
                <w:sz w:val="24"/>
                <w:highlight w:val="none"/>
              </w:rPr>
            </w:pPr>
          </w:p>
        </w:tc>
        <w:tc>
          <w:tcPr>
            <w:tcW w:w="8505" w:type="dxa"/>
            <w:gridSpan w:val="6"/>
            <w:tcBorders>
              <w:top w:val="single" w:color="auto" w:sz="6" w:space="0"/>
              <w:left w:val="single" w:color="auto" w:sz="6" w:space="0"/>
              <w:bottom w:val="single" w:color="auto" w:sz="6" w:space="0"/>
              <w:right w:val="single" w:color="auto" w:sz="6" w:space="0"/>
            </w:tcBorders>
            <w:vAlign w:val="center"/>
          </w:tcPr>
          <w:p>
            <w:pPr>
              <w:adjustRightInd w:val="0"/>
              <w:rPr>
                <w:color w:val="auto"/>
                <w:highlight w:val="none"/>
              </w:rPr>
            </w:pPr>
            <w:r>
              <w:rPr>
                <w:rFonts w:hint="eastAsia" w:cs="仿宋_GB2312" w:asciiTheme="minorEastAsia" w:hAnsiTheme="minorEastAsia" w:eastAsiaTheme="minorEastAsia"/>
                <w:color w:val="auto"/>
                <w:sz w:val="24"/>
                <w:highlight w:val="none"/>
              </w:rPr>
              <w:t>总价（大写）:</w:t>
            </w:r>
            <w:r>
              <w:rPr>
                <w:color w:val="auto"/>
                <w:highlight w:val="none"/>
              </w:rPr>
              <w:t>_________</w:t>
            </w:r>
            <w:r>
              <w:rPr>
                <w:rFonts w:hint="eastAsia"/>
                <w:color w:val="auto"/>
                <w:highlight w:val="none"/>
              </w:rPr>
              <w:t>_</w:t>
            </w:r>
          </w:p>
          <w:p>
            <w:pPr>
              <w:adjustRightInd w:val="0"/>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（小写）</w:t>
            </w:r>
            <w:r>
              <w:rPr>
                <w:rFonts w:cs="仿宋_GB2312" w:asciiTheme="minorEastAsia" w:hAnsiTheme="minorEastAsia" w:eastAsiaTheme="minorEastAsia"/>
                <w:color w:val="auto"/>
                <w:sz w:val="24"/>
                <w:highlight w:val="none"/>
              </w:rPr>
              <w:t>:</w:t>
            </w:r>
            <w:r>
              <w:rPr>
                <w:rFonts w:hint="eastAsia" w:cs="仿宋_GB2312" w:asciiTheme="minorEastAsia" w:hAnsiTheme="minorEastAsia" w:eastAsiaTheme="minorEastAsia"/>
                <w:color w:val="auto"/>
                <w:sz w:val="24"/>
                <w:highlight w:val="none"/>
              </w:rPr>
              <w:t>________</w:t>
            </w:r>
            <w:r>
              <w:rPr>
                <w:rFonts w:cs="仿宋_GB2312" w:asciiTheme="minorEastAsia" w:hAnsiTheme="minorEastAsia" w:eastAsiaTheme="minorEastAsia"/>
                <w:color w:val="auto"/>
                <w:sz w:val="24"/>
                <w:highlight w:val="none"/>
              </w:rPr>
              <w:t>_</w:t>
            </w:r>
          </w:p>
        </w:tc>
      </w:tr>
    </w:tbl>
    <w:p>
      <w:pPr>
        <w:adjustRightInd w:val="0"/>
        <w:jc w:val="center"/>
        <w:rPr>
          <w:rFonts w:cs="仿宋_GB2312" w:asciiTheme="minorEastAsia" w:hAnsiTheme="minorEastAsia" w:eastAsiaTheme="minorEastAsia"/>
          <w:color w:val="auto"/>
          <w:sz w:val="24"/>
          <w:highlight w:val="none"/>
        </w:rPr>
      </w:pPr>
    </w:p>
    <w:p>
      <w:pPr>
        <w:pStyle w:val="2"/>
        <w:ind w:firstLine="210"/>
        <w:rPr>
          <w:color w:val="auto"/>
          <w:highlight w:val="none"/>
        </w:rPr>
      </w:pPr>
    </w:p>
    <w:p>
      <w:pPr>
        <w:pStyle w:val="2"/>
        <w:ind w:firstLine="210"/>
        <w:rPr>
          <w:color w:val="auto"/>
          <w:highlight w:val="none"/>
        </w:rPr>
      </w:pPr>
    </w:p>
    <w:p>
      <w:pPr>
        <w:pStyle w:val="2"/>
        <w:ind w:firstLine="210"/>
        <w:rPr>
          <w:color w:val="auto"/>
          <w:highlight w:val="none"/>
        </w:rPr>
      </w:pPr>
    </w:p>
    <w:p>
      <w:pPr>
        <w:pStyle w:val="2"/>
        <w:ind w:firstLine="0" w:firstLineChars="0"/>
        <w:rPr>
          <w:color w:val="auto"/>
          <w:highlight w:val="none"/>
        </w:rPr>
      </w:pPr>
      <w:r>
        <w:rPr>
          <w:rFonts w:hint="eastAsia"/>
          <w:color w:val="auto"/>
          <w:highlight w:val="none"/>
        </w:rPr>
        <w:t>以上表格</w:t>
      </w:r>
      <w:r>
        <w:rPr>
          <w:color w:val="auto"/>
          <w:highlight w:val="none"/>
        </w:rPr>
        <w:t>内的</w:t>
      </w:r>
      <w:r>
        <w:rPr>
          <w:rFonts w:hint="eastAsia"/>
          <w:color w:val="auto"/>
          <w:highlight w:val="none"/>
        </w:rPr>
        <w:t>格式及</w:t>
      </w:r>
      <w:r>
        <w:rPr>
          <w:color w:val="auto"/>
          <w:highlight w:val="none"/>
        </w:rPr>
        <w:t>内容仅供参考，如有需要可自拟格式</w:t>
      </w:r>
      <w:r>
        <w:rPr>
          <w:rFonts w:hint="eastAsia"/>
          <w:color w:val="auto"/>
          <w:highlight w:val="none"/>
        </w:rPr>
        <w:t>及内容。</w:t>
      </w:r>
    </w:p>
    <w:p>
      <w:pPr>
        <w:pStyle w:val="2"/>
        <w:ind w:firstLine="210"/>
        <w:rPr>
          <w:color w:val="auto"/>
          <w:highlight w:val="none"/>
        </w:rPr>
      </w:pPr>
    </w:p>
    <w:p>
      <w:pPr>
        <w:adjustRightInd w:val="0"/>
        <w:jc w:val="left"/>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投标人代表签字：</w:t>
      </w:r>
    </w:p>
    <w:p>
      <w:pPr>
        <w:pStyle w:val="2"/>
        <w:ind w:firstLine="210"/>
        <w:rPr>
          <w:color w:val="auto"/>
          <w:highlight w:val="none"/>
        </w:rPr>
      </w:pPr>
    </w:p>
    <w:p>
      <w:pPr>
        <w:adjustRightInd w:val="0"/>
        <w:jc w:val="left"/>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投标人电子签章：</w:t>
      </w:r>
    </w:p>
    <w:p>
      <w:pPr>
        <w:pStyle w:val="2"/>
        <w:ind w:firstLine="210"/>
        <w:rPr>
          <w:color w:val="auto"/>
          <w:highlight w:val="none"/>
        </w:rPr>
      </w:pPr>
    </w:p>
    <w:p>
      <w:pPr>
        <w:adjustRightInd w:val="0"/>
        <w:jc w:val="left"/>
        <w:rPr>
          <w:rFonts w:cs="仿宋_GB2312"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highlight w:val="none"/>
        </w:rPr>
        <w:t>日期：年 月 日</w:t>
      </w:r>
    </w:p>
    <w:p>
      <w:pPr>
        <w:spacing w:line="360" w:lineRule="auto"/>
        <w:jc w:val="center"/>
        <w:rPr>
          <w:rFonts w:ascii="宋体" w:hAnsi="宋体" w:cs="宋体"/>
          <w:b/>
          <w:color w:val="auto"/>
          <w:sz w:val="24"/>
          <w:highlight w:val="none"/>
        </w:rPr>
      </w:pPr>
    </w:p>
    <w:p>
      <w:pPr>
        <w:pStyle w:val="2"/>
        <w:ind w:firstLine="210"/>
        <w:rPr>
          <w:color w:val="auto"/>
          <w:highlight w:val="none"/>
        </w:rPr>
      </w:pPr>
    </w:p>
    <w:p>
      <w:pPr>
        <w:spacing w:line="360" w:lineRule="auto"/>
        <w:jc w:val="center"/>
        <w:rPr>
          <w:rFonts w:ascii="宋体" w:hAnsi="宋体" w:cs="宋体"/>
          <w:b/>
          <w:color w:val="auto"/>
          <w:sz w:val="24"/>
          <w:highlight w:val="none"/>
        </w:rPr>
      </w:pPr>
    </w:p>
    <w:p>
      <w:pPr>
        <w:pStyle w:val="2"/>
        <w:ind w:firstLine="210"/>
        <w:rPr>
          <w:color w:val="auto"/>
          <w:highlight w:val="none"/>
        </w:rPr>
      </w:pPr>
    </w:p>
    <w:p>
      <w:pPr>
        <w:spacing w:line="360" w:lineRule="auto"/>
        <w:jc w:val="left"/>
        <w:rPr>
          <w:rFonts w:ascii="宋体" w:hAnsi="宋体" w:cs="宋体"/>
          <w:b/>
          <w:color w:val="auto"/>
          <w:sz w:val="24"/>
          <w:highlight w:val="none"/>
        </w:rPr>
      </w:pPr>
      <w:r>
        <w:rPr>
          <w:rFonts w:hint="eastAsia" w:ascii="宋体" w:hAnsi="宋体" w:cs="宋体"/>
          <w:color w:val="auto"/>
          <w:sz w:val="24"/>
          <w:highlight w:val="none"/>
        </w:rPr>
        <w:t xml:space="preserve">格式6                   </w:t>
      </w:r>
      <w:r>
        <w:rPr>
          <w:rFonts w:hint="eastAsia" w:ascii="宋体" w:hAnsi="宋体" w:cs="宋体"/>
          <w:b/>
          <w:color w:val="auto"/>
          <w:sz w:val="24"/>
          <w:highlight w:val="none"/>
        </w:rPr>
        <w:t xml:space="preserve">  </w:t>
      </w:r>
    </w:p>
    <w:p>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技术参数响应表</w:t>
      </w:r>
    </w:p>
    <w:p>
      <w:pPr>
        <w:rPr>
          <w:rFonts w:ascii="宋体" w:hAnsi="宋体" w:cs="宋体"/>
          <w:color w:val="auto"/>
          <w:sz w:val="24"/>
          <w:highlight w:val="none"/>
        </w:rPr>
      </w:pPr>
    </w:p>
    <w:p>
      <w:pPr>
        <w:rPr>
          <w:rFonts w:ascii="宋体" w:hAnsi="宋体" w:cs="宋体"/>
          <w:color w:val="auto"/>
          <w:sz w:val="24"/>
          <w:highlight w:val="none"/>
        </w:rPr>
      </w:pPr>
      <w:r>
        <w:rPr>
          <w:rFonts w:hint="eastAsia" w:ascii="宋体" w:hAnsi="宋体" w:cs="宋体"/>
          <w:color w:val="auto"/>
          <w:sz w:val="24"/>
          <w:highlight w:val="none"/>
        </w:rPr>
        <w:t>项目名称：</w:t>
      </w:r>
    </w:p>
    <w:p>
      <w:pPr>
        <w:pStyle w:val="2"/>
        <w:ind w:firstLine="210"/>
        <w:rPr>
          <w:color w:val="auto"/>
          <w:highlight w:val="none"/>
        </w:rPr>
      </w:pPr>
    </w:p>
    <w:tbl>
      <w:tblPr>
        <w:tblStyle w:val="29"/>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按投标人所投内容填写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序号</w:t>
            </w:r>
          </w:p>
        </w:tc>
        <w:tc>
          <w:tcPr>
            <w:tcW w:w="723" w:type="dxa"/>
            <w:tcBorders>
              <w:top w:val="single" w:color="auto" w:sz="4" w:space="0"/>
              <w:left w:val="nil"/>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品名</w:t>
            </w:r>
          </w:p>
        </w:tc>
        <w:tc>
          <w:tcPr>
            <w:tcW w:w="3490" w:type="dxa"/>
            <w:tcBorders>
              <w:top w:val="single" w:color="auto" w:sz="4" w:space="0"/>
              <w:left w:val="nil"/>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磋商文件要求</w:t>
            </w:r>
          </w:p>
        </w:tc>
        <w:tc>
          <w:tcPr>
            <w:tcW w:w="2810" w:type="dxa"/>
            <w:tcBorders>
              <w:top w:val="single" w:color="auto" w:sz="4" w:space="0"/>
              <w:left w:val="nil"/>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响应文件</w:t>
            </w:r>
          </w:p>
        </w:tc>
        <w:tc>
          <w:tcPr>
            <w:tcW w:w="1336" w:type="dxa"/>
            <w:tcBorders>
              <w:top w:val="single" w:color="auto" w:sz="4" w:space="0"/>
              <w:left w:val="nil"/>
              <w:bottom w:val="single" w:color="auto" w:sz="4" w:space="0"/>
              <w:right w:val="single" w:color="auto" w:sz="4" w:space="0"/>
            </w:tcBorders>
            <w:vAlign w:val="center"/>
          </w:tcPr>
          <w:p>
            <w:pPr>
              <w:pStyle w:val="14"/>
              <w:jc w:val="center"/>
              <w:rPr>
                <w:rFonts w:hAnsi="宋体" w:cs="宋体"/>
                <w:bCs/>
                <w:color w:val="auto"/>
                <w:sz w:val="24"/>
                <w:szCs w:val="24"/>
                <w:highlight w:val="none"/>
              </w:rPr>
            </w:pPr>
            <w:r>
              <w:rPr>
                <w:rFonts w:hint="eastAsia" w:hAnsi="宋体" w:cs="宋体"/>
                <w:bCs/>
                <w:color w:val="auto"/>
                <w:sz w:val="24"/>
                <w:szCs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1</w:t>
            </w:r>
          </w:p>
        </w:tc>
        <w:tc>
          <w:tcPr>
            <w:tcW w:w="723"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color w:val="auto"/>
                <w:kern w:val="0"/>
                <w:sz w:val="24"/>
                <w:highlight w:val="none"/>
              </w:rPr>
            </w:pPr>
          </w:p>
        </w:tc>
        <w:tc>
          <w:tcPr>
            <w:tcW w:w="3490" w:type="dxa"/>
            <w:tcBorders>
              <w:top w:val="single" w:color="auto" w:sz="4" w:space="0"/>
              <w:left w:val="nil"/>
              <w:bottom w:val="single" w:color="auto" w:sz="4" w:space="0"/>
              <w:right w:val="single" w:color="auto" w:sz="4" w:space="0"/>
            </w:tcBorders>
          </w:tcPr>
          <w:p>
            <w:pPr>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tcPr>
          <w:p>
            <w:pPr>
              <w:widowControl/>
              <w:rPr>
                <w:rFonts w:ascii="宋体" w:hAnsi="宋体" w:cs="宋体"/>
                <w:color w:val="auto"/>
                <w:kern w:val="0"/>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r>
              <w:rPr>
                <w:rFonts w:hint="eastAsia" w:ascii="宋体" w:hAnsi="宋体" w:cs="宋体"/>
                <w:color w:val="auto"/>
                <w:sz w:val="24"/>
                <w:highlight w:val="none"/>
              </w:rPr>
              <w:t>2</w:t>
            </w: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color w:val="auto"/>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highlight w:val="none"/>
              </w:rPr>
            </w:pPr>
          </w:p>
        </w:tc>
      </w:tr>
    </w:tbl>
    <w:p>
      <w:pPr>
        <w:rPr>
          <w:rFonts w:ascii="宋体" w:hAnsi="宋体" w:cs="宋体"/>
          <w:color w:val="auto"/>
          <w:sz w:val="24"/>
          <w:highlight w:val="none"/>
        </w:rPr>
      </w:pPr>
    </w:p>
    <w:p>
      <w:pPr>
        <w:rPr>
          <w:rFonts w:ascii="宋体" w:hAnsi="宋体" w:cs="宋体"/>
          <w:color w:val="auto"/>
          <w:sz w:val="24"/>
          <w:highlight w:val="none"/>
        </w:rPr>
      </w:pPr>
      <w:r>
        <w:rPr>
          <w:rFonts w:hint="eastAsia" w:ascii="宋体" w:hAnsi="宋体" w:cs="宋体"/>
          <w:color w:val="auto"/>
          <w:sz w:val="24"/>
          <w:highlight w:val="none"/>
        </w:rPr>
        <w:t>以上表格内的格式及内容仅供参考，如有需要可自拟格式及内容。</w:t>
      </w:r>
    </w:p>
    <w:p>
      <w:pPr>
        <w:pStyle w:val="2"/>
        <w:ind w:firstLine="210"/>
        <w:rPr>
          <w:color w:val="auto"/>
          <w:highlight w:val="none"/>
        </w:rPr>
      </w:pPr>
    </w:p>
    <w:p>
      <w:pPr>
        <w:pStyle w:val="15"/>
        <w:spacing w:line="360" w:lineRule="auto"/>
        <w:ind w:left="5250" w:firstLine="240" w:firstLineChars="100"/>
        <w:rPr>
          <w:rFonts w:ascii="宋体" w:hAnsi="宋体" w:cs="宋体"/>
          <w:color w:val="auto"/>
          <w:sz w:val="24"/>
          <w:highlight w:val="none"/>
        </w:rPr>
      </w:pPr>
      <w:r>
        <w:rPr>
          <w:rFonts w:hint="eastAsia" w:ascii="宋体" w:hAnsi="宋体" w:cs="宋体"/>
          <w:color w:val="auto"/>
          <w:sz w:val="24"/>
          <w:highlight w:val="none"/>
        </w:rPr>
        <w:t>投标人电子签章：</w:t>
      </w:r>
    </w:p>
    <w:p>
      <w:pPr>
        <w:spacing w:line="360" w:lineRule="auto"/>
        <w:jc w:val="right"/>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rPr>
          <w:rFonts w:ascii="宋体" w:hAnsi="宋体" w:cs="宋体"/>
          <w:b/>
          <w:color w:val="auto"/>
          <w:sz w:val="24"/>
          <w:highlight w:val="none"/>
        </w:rPr>
      </w:pPr>
    </w:p>
    <w:p>
      <w:pPr>
        <w:spacing w:line="360" w:lineRule="auto"/>
        <w:rPr>
          <w:rFonts w:ascii="宋体" w:hAnsi="宋体" w:cs="宋体"/>
          <w:b/>
          <w:color w:val="auto"/>
          <w:sz w:val="24"/>
          <w:highlight w:val="none"/>
        </w:rPr>
      </w:pPr>
    </w:p>
    <w:p>
      <w:pPr>
        <w:spacing w:line="360" w:lineRule="auto"/>
        <w:rPr>
          <w:rFonts w:ascii="宋体" w:hAnsi="宋体" w:cs="宋体"/>
          <w:b/>
          <w:color w:val="auto"/>
          <w:sz w:val="24"/>
          <w:highlight w:val="none"/>
        </w:rPr>
      </w:pPr>
    </w:p>
    <w:p>
      <w:pPr>
        <w:spacing w:line="360" w:lineRule="auto"/>
        <w:rPr>
          <w:rFonts w:ascii="宋体" w:hAnsi="宋体" w:cs="宋体"/>
          <w:b/>
          <w:color w:val="auto"/>
          <w:sz w:val="24"/>
          <w:highlight w:val="none"/>
        </w:rPr>
      </w:pP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格式7</w:t>
      </w:r>
    </w:p>
    <w:p>
      <w:pPr>
        <w:pStyle w:val="28"/>
        <w:ind w:firstLine="480"/>
        <w:rPr>
          <w:rFonts w:ascii="宋体" w:hAnsi="宋体" w:eastAsia="宋体" w:cs="宋体"/>
          <w:color w:val="auto"/>
          <w:sz w:val="24"/>
          <w:highlight w:val="none"/>
        </w:rPr>
      </w:pPr>
    </w:p>
    <w:p>
      <w:pPr>
        <w:spacing w:line="380" w:lineRule="exact"/>
        <w:jc w:val="center"/>
        <w:rPr>
          <w:rFonts w:ascii="宋体" w:hAnsi="宋体" w:cs="宋体"/>
          <w:b/>
          <w:color w:val="auto"/>
          <w:sz w:val="24"/>
          <w:highlight w:val="none"/>
        </w:rPr>
      </w:pPr>
      <w:r>
        <w:rPr>
          <w:rFonts w:hint="eastAsia" w:ascii="宋体" w:hAnsi="宋体" w:cs="宋体"/>
          <w:b/>
          <w:color w:val="auto"/>
          <w:sz w:val="24"/>
          <w:highlight w:val="none"/>
        </w:rPr>
        <w:t>售后服务承诺</w:t>
      </w:r>
    </w:p>
    <w:p>
      <w:pPr>
        <w:spacing w:line="380" w:lineRule="exact"/>
        <w:jc w:val="center"/>
        <w:rPr>
          <w:rFonts w:ascii="宋体" w:hAnsi="宋体" w:cs="宋体"/>
          <w:color w:val="auto"/>
          <w:sz w:val="24"/>
          <w:highlight w:val="none"/>
        </w:rPr>
      </w:pPr>
    </w:p>
    <w:p>
      <w:pPr>
        <w:spacing w:line="380" w:lineRule="exact"/>
        <w:ind w:firstLine="360" w:firstLineChars="150"/>
        <w:rPr>
          <w:rFonts w:ascii="宋体" w:hAnsi="宋体" w:cs="宋体"/>
          <w:color w:val="auto"/>
          <w:sz w:val="24"/>
          <w:highlight w:val="none"/>
        </w:rPr>
      </w:pPr>
    </w:p>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pStyle w:val="49"/>
        <w:rPr>
          <w:rFonts w:ascii="宋体" w:hAnsi="宋体" w:cs="宋体"/>
          <w:color w:val="auto"/>
          <w:sz w:val="24"/>
          <w:szCs w:val="24"/>
          <w:highlight w:val="none"/>
        </w:rPr>
      </w:pPr>
    </w:p>
    <w:p>
      <w:pPr>
        <w:spacing w:line="380" w:lineRule="exact"/>
        <w:rPr>
          <w:rFonts w:ascii="宋体" w:hAnsi="宋体" w:cs="宋体"/>
          <w:color w:val="auto"/>
          <w:sz w:val="24"/>
          <w:highlight w:val="none"/>
        </w:rPr>
      </w:pPr>
    </w:p>
    <w:p>
      <w:pPr>
        <w:spacing w:line="380" w:lineRule="exact"/>
        <w:ind w:firstLine="4008" w:firstLineChars="1670"/>
        <w:rPr>
          <w:rFonts w:ascii="宋体" w:hAnsi="宋体" w:cs="宋体"/>
          <w:color w:val="auto"/>
          <w:sz w:val="24"/>
          <w:highlight w:val="none"/>
        </w:rPr>
      </w:pPr>
      <w:r>
        <w:rPr>
          <w:rFonts w:hint="eastAsia" w:ascii="宋体" w:hAnsi="宋体" w:cs="宋体"/>
          <w:color w:val="auto"/>
          <w:sz w:val="24"/>
          <w:highlight w:val="none"/>
        </w:rPr>
        <w:t>投标人电子签章：</w:t>
      </w:r>
    </w:p>
    <w:p>
      <w:pPr>
        <w:spacing w:line="380" w:lineRule="exact"/>
        <w:ind w:right="640" w:firstLine="1560" w:firstLineChars="650"/>
        <w:rPr>
          <w:rFonts w:ascii="宋体" w:hAnsi="宋体" w:cs="宋体"/>
          <w:color w:val="auto"/>
          <w:sz w:val="24"/>
          <w:highlight w:val="none"/>
        </w:rPr>
      </w:pPr>
    </w:p>
    <w:p>
      <w:pPr>
        <w:spacing w:line="380" w:lineRule="exact"/>
        <w:ind w:right="640" w:firstLine="4680" w:firstLineChars="1950"/>
        <w:rPr>
          <w:rFonts w:ascii="宋体" w:hAnsi="宋体" w:cs="宋体"/>
          <w:color w:val="auto"/>
          <w:sz w:val="24"/>
          <w:highlight w:val="none"/>
        </w:rPr>
      </w:pPr>
    </w:p>
    <w:p>
      <w:pPr>
        <w:spacing w:line="380" w:lineRule="exact"/>
        <w:jc w:val="center"/>
        <w:rPr>
          <w:rFonts w:ascii="宋体" w:hAnsi="宋体" w:cs="宋体"/>
          <w:color w:val="auto"/>
          <w:sz w:val="24"/>
          <w:highlight w:val="none"/>
        </w:rPr>
      </w:pPr>
    </w:p>
    <w:p>
      <w:pPr>
        <w:spacing w:line="380" w:lineRule="exact"/>
        <w:ind w:firstLine="3600" w:firstLineChars="1500"/>
        <w:rPr>
          <w:rFonts w:ascii="宋体" w:hAnsi="宋体" w:cs="宋体"/>
          <w:color w:val="auto"/>
          <w:sz w:val="24"/>
          <w:highlight w:val="none"/>
        </w:rPr>
      </w:pPr>
      <w:r>
        <w:rPr>
          <w:rFonts w:hint="eastAsia" w:ascii="宋体" w:hAnsi="宋体" w:cs="宋体"/>
          <w:color w:val="auto"/>
          <w:sz w:val="24"/>
          <w:highlight w:val="none"/>
        </w:rPr>
        <w:t xml:space="preserve">      年   月    日</w:t>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rPr>
          <w:rFonts w:ascii="宋体" w:hAnsi="宋体" w:cs="宋体"/>
          <w:color w:val="auto"/>
          <w:sz w:val="24"/>
          <w:highlight w:val="none"/>
        </w:rPr>
      </w:pPr>
      <w:r>
        <w:rPr>
          <w:rFonts w:hint="eastAsia" w:ascii="宋体" w:hAnsi="宋体" w:cs="宋体"/>
          <w:color w:val="auto"/>
          <w:sz w:val="24"/>
          <w:highlight w:val="none"/>
        </w:rPr>
        <w:t>格式</w:t>
      </w:r>
      <w:r>
        <w:rPr>
          <w:rFonts w:ascii="宋体" w:hAnsi="宋体" w:cs="宋体"/>
          <w:color w:val="auto"/>
          <w:sz w:val="24"/>
          <w:highlight w:val="none"/>
        </w:rPr>
        <w:t>8</w:t>
      </w:r>
      <w:r>
        <w:rPr>
          <w:rFonts w:hint="eastAsia" w:ascii="宋体" w:hAnsi="宋体" w:cs="宋体"/>
          <w:color w:val="auto"/>
          <w:sz w:val="24"/>
          <w:highlight w:val="none"/>
        </w:rPr>
        <w:t xml:space="preserve">           </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其他资料</w:t>
      </w:r>
    </w:p>
    <w:p>
      <w:pPr>
        <w:pStyle w:val="2"/>
        <w:ind w:firstLine="480" w:firstLineChars="200"/>
        <w:rPr>
          <w:color w:val="auto"/>
          <w:highlight w:val="none"/>
        </w:rPr>
      </w:pPr>
      <w:r>
        <w:rPr>
          <w:rFonts w:hint="eastAsia" w:ascii="宋体" w:hAnsi="宋体" w:cs="宋体"/>
          <w:color w:val="auto"/>
          <w:sz w:val="24"/>
          <w:highlight w:val="none"/>
        </w:rPr>
        <w:t>营业</w:t>
      </w:r>
      <w:r>
        <w:rPr>
          <w:rFonts w:ascii="宋体" w:hAnsi="宋体" w:cs="宋体"/>
          <w:color w:val="auto"/>
          <w:sz w:val="24"/>
          <w:highlight w:val="none"/>
        </w:rPr>
        <w:t>执照、</w:t>
      </w:r>
      <w:r>
        <w:rPr>
          <w:rFonts w:hint="eastAsia" w:ascii="宋体" w:hAnsi="宋体" w:cs="宋体"/>
          <w:color w:val="auto"/>
          <w:sz w:val="24"/>
          <w:highlight w:val="none"/>
        </w:rPr>
        <w:t>纳税和社保缴纳凭证、财务审计报告、信用中国、中国政府采购网查询截图、参加政府采购活动前三年内，在经营活动中没有重大违法记录书面声明等供应商认为需要提供的其他资料。</w:t>
      </w: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pStyle w:val="2"/>
        <w:ind w:firstLine="240"/>
        <w:rPr>
          <w:rFonts w:ascii="宋体" w:hAnsi="宋体" w:cs="宋体"/>
          <w:color w:val="auto"/>
          <w:sz w:val="24"/>
          <w:highlight w:val="none"/>
        </w:rPr>
      </w:pPr>
    </w:p>
    <w:p>
      <w:pPr>
        <w:spacing w:line="360" w:lineRule="auto"/>
        <w:rPr>
          <w:b/>
          <w:bCs/>
          <w:color w:val="auto"/>
          <w:highlight w:val="none"/>
        </w:rPr>
      </w:pPr>
      <w:r>
        <w:rPr>
          <w:rFonts w:hint="eastAsia" w:ascii="宋体" w:hAnsi="宋体" w:cs="宋体"/>
          <w:color w:val="auto"/>
          <w:sz w:val="24"/>
          <w:highlight w:val="none"/>
        </w:rPr>
        <w:t>格式</w:t>
      </w:r>
      <w:r>
        <w:rPr>
          <w:rFonts w:ascii="宋体" w:hAnsi="宋体" w:cs="宋体"/>
          <w:color w:val="auto"/>
          <w:sz w:val="24"/>
          <w:highlight w:val="none"/>
        </w:rPr>
        <w:t>9</w:t>
      </w:r>
    </w:p>
    <w:p>
      <w:pPr>
        <w:spacing w:line="380" w:lineRule="exact"/>
        <w:jc w:val="center"/>
        <w:rPr>
          <w:rFonts w:ascii="宋体" w:hAnsi="宋体" w:cs="宋体"/>
          <w:b/>
          <w:color w:val="auto"/>
          <w:sz w:val="24"/>
          <w:highlight w:val="none"/>
        </w:rPr>
      </w:pPr>
      <w:r>
        <w:rPr>
          <w:rFonts w:hint="eastAsia" w:ascii="宋体" w:hAnsi="宋体" w:cs="宋体"/>
          <w:b/>
          <w:color w:val="auto"/>
          <w:sz w:val="24"/>
          <w:highlight w:val="none"/>
        </w:rPr>
        <w:t>政府采购供应商诚信承诺书</w:t>
      </w:r>
    </w:p>
    <w:p>
      <w:pPr>
        <w:spacing w:line="380" w:lineRule="exact"/>
        <w:jc w:val="center"/>
        <w:rPr>
          <w:rFonts w:hAnsi="宋体" w:cs="宋体"/>
          <w:color w:val="auto"/>
          <w:highlight w:val="none"/>
        </w:rPr>
      </w:pPr>
    </w:p>
    <w:p>
      <w:pPr>
        <w:spacing w:line="380" w:lineRule="exact"/>
        <w:ind w:firstLine="720" w:firstLineChars="300"/>
        <w:rPr>
          <w:rFonts w:ascii="宋体" w:hAnsi="宋体" w:cs="宋体"/>
          <w:color w:val="auto"/>
          <w:sz w:val="24"/>
          <w:highlight w:val="none"/>
        </w:rPr>
      </w:pPr>
      <w:r>
        <w:rPr>
          <w:rFonts w:hint="eastAsia" w:ascii="宋体" w:hAnsi="宋体" w:cs="宋体"/>
          <w:color w:val="auto"/>
          <w:sz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rPr>
          <w:rFonts w:ascii="宋体" w:hAnsi="宋体" w:cs="宋体"/>
          <w:color w:val="auto"/>
          <w:sz w:val="24"/>
          <w:highlight w:val="none"/>
        </w:rPr>
      </w:pPr>
      <w:r>
        <w:rPr>
          <w:rFonts w:hint="eastAsia" w:ascii="宋体" w:hAnsi="宋体" w:cs="宋体"/>
          <w:color w:val="auto"/>
          <w:sz w:val="24"/>
          <w:highlight w:val="none"/>
        </w:rPr>
        <w:t>（一）提供虚假材料谋取中标;</w:t>
      </w:r>
    </w:p>
    <w:p>
      <w:pPr>
        <w:spacing w:line="380" w:lineRule="exact"/>
        <w:rPr>
          <w:rFonts w:ascii="宋体" w:hAnsi="宋体" w:cs="宋体"/>
          <w:color w:val="auto"/>
          <w:sz w:val="24"/>
          <w:highlight w:val="none"/>
        </w:rPr>
      </w:pPr>
      <w:r>
        <w:rPr>
          <w:rFonts w:hint="eastAsia" w:ascii="宋体" w:hAnsi="宋体" w:cs="宋体"/>
          <w:color w:val="auto"/>
          <w:sz w:val="24"/>
          <w:highlight w:val="none"/>
        </w:rPr>
        <w:t>（二）采取不正当手段诋毁、排挤其他供应商;</w:t>
      </w:r>
    </w:p>
    <w:p>
      <w:pPr>
        <w:spacing w:line="380" w:lineRule="exact"/>
        <w:rPr>
          <w:rFonts w:ascii="宋体" w:hAnsi="宋体" w:cs="宋体"/>
          <w:color w:val="auto"/>
          <w:sz w:val="24"/>
          <w:highlight w:val="none"/>
        </w:rPr>
      </w:pPr>
      <w:r>
        <w:rPr>
          <w:rFonts w:hint="eastAsia" w:ascii="宋体" w:hAnsi="宋体" w:cs="宋体"/>
          <w:color w:val="auto"/>
          <w:sz w:val="24"/>
          <w:highlight w:val="none"/>
        </w:rPr>
        <w:t>（三）与招标采购单位、其他投标人恶意串通;</w:t>
      </w:r>
    </w:p>
    <w:p>
      <w:pPr>
        <w:spacing w:line="380" w:lineRule="exact"/>
        <w:rPr>
          <w:rFonts w:ascii="宋体" w:hAnsi="宋体" w:cs="宋体"/>
          <w:color w:val="auto"/>
          <w:sz w:val="24"/>
          <w:highlight w:val="none"/>
        </w:rPr>
      </w:pPr>
      <w:r>
        <w:rPr>
          <w:rFonts w:hint="eastAsia" w:ascii="宋体" w:hAnsi="宋体" w:cs="宋体"/>
          <w:color w:val="auto"/>
          <w:sz w:val="24"/>
          <w:highlight w:val="none"/>
        </w:rPr>
        <w:t>（四）向招标采购单位或提供其他不正当利益;</w:t>
      </w:r>
    </w:p>
    <w:p>
      <w:pPr>
        <w:spacing w:line="380" w:lineRule="exact"/>
        <w:rPr>
          <w:rFonts w:ascii="宋体" w:hAnsi="宋体" w:cs="宋体"/>
          <w:color w:val="auto"/>
          <w:sz w:val="24"/>
          <w:highlight w:val="none"/>
        </w:rPr>
      </w:pPr>
      <w:r>
        <w:rPr>
          <w:rFonts w:hint="eastAsia" w:ascii="宋体" w:hAnsi="宋体" w:cs="宋体"/>
          <w:color w:val="auto"/>
          <w:sz w:val="24"/>
          <w:highlight w:val="none"/>
        </w:rPr>
        <w:t>（五）在招标过程中与招标采购单位进行协商谈判、不按照招标文件和投标文件订立合同，或者与采购人另立背离合同实质性内容协议;</w:t>
      </w:r>
    </w:p>
    <w:p>
      <w:pPr>
        <w:spacing w:line="380" w:lineRule="exact"/>
        <w:rPr>
          <w:rFonts w:ascii="宋体" w:hAnsi="宋体" w:cs="宋体"/>
          <w:color w:val="auto"/>
          <w:sz w:val="24"/>
          <w:highlight w:val="none"/>
        </w:rPr>
      </w:pPr>
      <w:r>
        <w:rPr>
          <w:rFonts w:hint="eastAsia" w:ascii="宋体" w:hAnsi="宋体" w:cs="宋体"/>
          <w:color w:val="auto"/>
          <w:sz w:val="24"/>
          <w:highlight w:val="none"/>
        </w:rPr>
        <w:t>（六）开标后擅自撤销投标，影响招标继续进行的或领取招标文件纳投标保证金后不投标导致废标;</w:t>
      </w:r>
    </w:p>
    <w:p>
      <w:pPr>
        <w:spacing w:line="380" w:lineRule="exact"/>
        <w:rPr>
          <w:rFonts w:ascii="宋体" w:hAnsi="宋体" w:cs="宋体"/>
          <w:color w:val="auto"/>
          <w:sz w:val="24"/>
          <w:highlight w:val="none"/>
        </w:rPr>
      </w:pPr>
      <w:r>
        <w:rPr>
          <w:rFonts w:hint="eastAsia" w:ascii="宋体" w:hAnsi="宋体" w:cs="宋体"/>
          <w:color w:val="auto"/>
          <w:sz w:val="24"/>
          <w:highlight w:val="none"/>
        </w:rPr>
        <w:t>（七）中标后无正当理由，在规定时间内不与采购单位签订合同;</w:t>
      </w:r>
    </w:p>
    <w:p>
      <w:pPr>
        <w:spacing w:line="380" w:lineRule="exact"/>
        <w:rPr>
          <w:rFonts w:ascii="宋体" w:hAnsi="宋体" w:cs="宋体"/>
          <w:color w:val="auto"/>
          <w:sz w:val="24"/>
          <w:highlight w:val="none"/>
        </w:rPr>
      </w:pPr>
      <w:r>
        <w:rPr>
          <w:rFonts w:hint="eastAsia" w:ascii="宋体" w:hAnsi="宋体" w:cs="宋体"/>
          <w:color w:val="auto"/>
          <w:sz w:val="24"/>
          <w:highlight w:val="none"/>
        </w:rPr>
        <w:t>（八）将中标项目转让给他人或非法分包他人;</w:t>
      </w:r>
    </w:p>
    <w:p>
      <w:pPr>
        <w:spacing w:line="380" w:lineRule="exact"/>
        <w:rPr>
          <w:rFonts w:ascii="宋体" w:hAnsi="宋体" w:cs="宋体"/>
          <w:color w:val="auto"/>
          <w:sz w:val="24"/>
          <w:highlight w:val="none"/>
        </w:rPr>
      </w:pPr>
      <w:r>
        <w:rPr>
          <w:rFonts w:hint="eastAsia" w:ascii="宋体" w:hAnsi="宋体" w:cs="宋体"/>
          <w:color w:val="auto"/>
          <w:sz w:val="24"/>
          <w:highlight w:val="none"/>
        </w:rPr>
        <w:t>（九）无正当理由，拒绝履行合同义务;</w:t>
      </w:r>
    </w:p>
    <w:p>
      <w:pPr>
        <w:spacing w:line="380" w:lineRule="exact"/>
        <w:rPr>
          <w:rFonts w:ascii="宋体" w:hAnsi="宋体" w:cs="宋体"/>
          <w:color w:val="auto"/>
          <w:sz w:val="24"/>
          <w:highlight w:val="none"/>
        </w:rPr>
      </w:pPr>
      <w:r>
        <w:rPr>
          <w:rFonts w:hint="eastAsia" w:ascii="宋体" w:hAnsi="宋体" w:cs="宋体"/>
          <w:color w:val="auto"/>
          <w:sz w:val="24"/>
          <w:highlight w:val="none"/>
        </w:rPr>
        <w:t>（十）无正当理由放弃中标（成交）项目;</w:t>
      </w:r>
    </w:p>
    <w:p>
      <w:pPr>
        <w:spacing w:line="380" w:lineRule="exact"/>
        <w:rPr>
          <w:rFonts w:ascii="宋体" w:hAnsi="宋体" w:cs="宋体"/>
          <w:color w:val="auto"/>
          <w:sz w:val="24"/>
          <w:highlight w:val="none"/>
        </w:rPr>
      </w:pPr>
      <w:r>
        <w:rPr>
          <w:rFonts w:hint="eastAsia" w:ascii="宋体" w:hAnsi="宋体" w:cs="宋体"/>
          <w:color w:val="auto"/>
          <w:sz w:val="24"/>
          <w:highlight w:val="none"/>
        </w:rPr>
        <w:t>（十ー）撞自或与与采购人串通或接受采购人要求，在履约合同中通过减少货物数量，更换品牌、降低配置、技术要求、质量和服务标准等，却仍按原合同进行虚假验收或终止政府采购合同;</w:t>
      </w:r>
    </w:p>
    <w:p>
      <w:pPr>
        <w:spacing w:line="380" w:lineRule="exact"/>
        <w:rPr>
          <w:rFonts w:ascii="宋体" w:hAnsi="宋体" w:cs="宋体"/>
          <w:color w:val="auto"/>
          <w:sz w:val="24"/>
          <w:highlight w:val="none"/>
        </w:rPr>
      </w:pPr>
      <w:r>
        <w:rPr>
          <w:rFonts w:hint="eastAsia" w:ascii="宋体" w:hAnsi="宋体" w:cs="宋体"/>
          <w:color w:val="auto"/>
          <w:sz w:val="24"/>
          <w:highlight w:val="none"/>
        </w:rPr>
        <w:t>（十二）与采购人串通，对尚未履约完毕的采购项目出具虚假验收报告；</w:t>
      </w:r>
    </w:p>
    <w:p>
      <w:pPr>
        <w:spacing w:line="380" w:lineRule="exact"/>
        <w:rPr>
          <w:rFonts w:ascii="宋体" w:hAnsi="宋体" w:cs="宋体"/>
          <w:color w:val="auto"/>
          <w:sz w:val="24"/>
          <w:highlight w:val="none"/>
        </w:rPr>
      </w:pPr>
      <w:r>
        <w:rPr>
          <w:rFonts w:hint="eastAsia" w:ascii="宋体" w:hAnsi="宋体" w:cs="宋体"/>
          <w:color w:val="auto"/>
          <w:sz w:val="24"/>
          <w:highlight w:val="none"/>
        </w:rPr>
        <w:t>（十三）无不可抗力因素，拒绝提供售后服务、售后服务态度恶劣、故意提高维修配件价格（高于市场平均价）；</w:t>
      </w:r>
    </w:p>
    <w:p>
      <w:pPr>
        <w:spacing w:line="380" w:lineRule="exact"/>
        <w:rPr>
          <w:rFonts w:ascii="宋体" w:hAnsi="宋体" w:cs="宋体"/>
          <w:color w:val="auto"/>
          <w:sz w:val="24"/>
          <w:highlight w:val="none"/>
        </w:rPr>
      </w:pPr>
      <w:r>
        <w:rPr>
          <w:rFonts w:hint="eastAsia" w:ascii="宋体" w:hAnsi="宋体" w:cs="宋体"/>
          <w:color w:val="auto"/>
          <w:sz w:val="24"/>
          <w:highlight w:val="none"/>
        </w:rPr>
        <w:t>（十四）开标后对招标文件的相关内容再进行质疑；</w:t>
      </w:r>
    </w:p>
    <w:p>
      <w:pPr>
        <w:spacing w:line="380" w:lineRule="exact"/>
        <w:rPr>
          <w:rFonts w:ascii="宋体" w:hAnsi="宋体" w:cs="宋体"/>
          <w:color w:val="auto"/>
          <w:sz w:val="24"/>
          <w:highlight w:val="none"/>
        </w:rPr>
      </w:pPr>
      <w:r>
        <w:rPr>
          <w:rFonts w:hint="eastAsia" w:ascii="宋体" w:hAnsi="宋体" w:cs="宋体"/>
          <w:color w:val="auto"/>
          <w:sz w:val="24"/>
          <w:highlight w:val="none"/>
        </w:rPr>
        <w:t>（十五）恶意投诉的行为：投诉经查无实据的、捏造事实或者提供虚假设诉材料；</w:t>
      </w:r>
    </w:p>
    <w:p>
      <w:pPr>
        <w:spacing w:line="380" w:lineRule="exact"/>
        <w:rPr>
          <w:rFonts w:ascii="宋体" w:hAnsi="宋体" w:cs="宋体"/>
          <w:color w:val="auto"/>
          <w:sz w:val="24"/>
          <w:highlight w:val="none"/>
        </w:rPr>
      </w:pPr>
      <w:r>
        <w:rPr>
          <w:rFonts w:hint="eastAsia" w:ascii="宋体" w:hAnsi="宋体" w:cs="宋体"/>
          <w:color w:val="auto"/>
          <w:sz w:val="24"/>
          <w:highlight w:val="none"/>
        </w:rPr>
        <w:t>（十六）拒绝有关部门监督检查或者提供虚假情况；</w:t>
      </w:r>
    </w:p>
    <w:p>
      <w:pPr>
        <w:spacing w:line="380" w:lineRule="exact"/>
        <w:rPr>
          <w:rFonts w:ascii="宋体" w:hAnsi="宋体" w:cs="宋体"/>
          <w:color w:val="auto"/>
          <w:sz w:val="24"/>
          <w:highlight w:val="none"/>
        </w:rPr>
      </w:pPr>
      <w:r>
        <w:rPr>
          <w:rFonts w:hint="eastAsia" w:ascii="宋体" w:hAnsi="宋体" w:cs="宋体"/>
          <w:color w:val="auto"/>
          <w:sz w:val="24"/>
          <w:highlight w:val="none"/>
        </w:rPr>
        <w:t>（十七）政府采购监管部门认定的其他政府采购活动中的不诚信行为。</w:t>
      </w:r>
    </w:p>
    <w:p>
      <w:pPr>
        <w:spacing w:line="380" w:lineRule="exact"/>
        <w:ind w:firstLine="3360" w:firstLineChars="1400"/>
        <w:rPr>
          <w:rFonts w:ascii="宋体" w:hAnsi="宋体" w:cs="宋体"/>
          <w:color w:val="auto"/>
          <w:sz w:val="24"/>
          <w:highlight w:val="none"/>
        </w:rPr>
      </w:pPr>
    </w:p>
    <w:p>
      <w:pPr>
        <w:spacing w:line="380" w:lineRule="exact"/>
        <w:ind w:firstLine="3360" w:firstLineChars="1400"/>
        <w:rPr>
          <w:rFonts w:ascii="宋体" w:hAnsi="宋体" w:cs="宋体"/>
          <w:color w:val="auto"/>
          <w:sz w:val="24"/>
          <w:highlight w:val="none"/>
        </w:rPr>
      </w:pPr>
      <w:r>
        <w:rPr>
          <w:rFonts w:hint="eastAsia" w:ascii="宋体" w:hAnsi="宋体" w:cs="宋体"/>
          <w:color w:val="auto"/>
          <w:sz w:val="24"/>
          <w:highlight w:val="none"/>
        </w:rPr>
        <w:t>供应商名称：（盖章）</w:t>
      </w:r>
    </w:p>
    <w:p>
      <w:pPr>
        <w:spacing w:line="380" w:lineRule="exact"/>
        <w:ind w:firstLine="3360" w:firstLineChars="1400"/>
        <w:rPr>
          <w:rFonts w:ascii="宋体" w:hAnsi="宋体" w:cs="宋体"/>
          <w:color w:val="auto"/>
          <w:sz w:val="24"/>
          <w:highlight w:val="none"/>
        </w:rPr>
      </w:pPr>
      <w:r>
        <w:rPr>
          <w:rFonts w:hint="eastAsia" w:ascii="宋体" w:hAnsi="宋体" w:cs="宋体"/>
          <w:color w:val="auto"/>
          <w:sz w:val="24"/>
          <w:highlight w:val="none"/>
        </w:rPr>
        <w:t>法人代表</w:t>
      </w:r>
      <w:r>
        <w:rPr>
          <w:rFonts w:hint="eastAsia" w:ascii="宋体" w:hAnsi="宋体" w:cs="宋体"/>
          <w:color w:val="auto"/>
          <w:sz w:val="24"/>
          <w:highlight w:val="none"/>
          <w:lang w:val="en-US" w:eastAsia="zh-CN"/>
        </w:rPr>
        <w:t>和</w:t>
      </w:r>
      <w:r>
        <w:rPr>
          <w:rFonts w:hint="eastAsia" w:ascii="宋体" w:hAnsi="宋体" w:cs="宋体"/>
          <w:color w:val="auto"/>
          <w:sz w:val="24"/>
          <w:highlight w:val="none"/>
        </w:rPr>
        <w:t>授权委托人：（签章）</w:t>
      </w:r>
    </w:p>
    <w:p>
      <w:pPr>
        <w:spacing w:line="380" w:lineRule="exact"/>
        <w:ind w:firstLine="3360" w:firstLineChars="1400"/>
        <w:rPr>
          <w:rFonts w:ascii="宋体" w:hAnsi="宋体" w:cs="宋体"/>
          <w:color w:val="auto"/>
          <w:sz w:val="24"/>
          <w:highlight w:val="none"/>
        </w:rPr>
      </w:pPr>
    </w:p>
    <w:p>
      <w:pPr>
        <w:spacing w:line="380" w:lineRule="exact"/>
        <w:ind w:firstLine="3360" w:firstLineChars="1400"/>
        <w:rPr>
          <w:rFonts w:ascii="宋体" w:hAnsi="宋体" w:cs="宋体"/>
          <w:b/>
          <w:color w:val="auto"/>
          <w:sz w:val="24"/>
          <w:highlight w:val="none"/>
        </w:rPr>
      </w:pPr>
      <w:r>
        <w:rPr>
          <w:rFonts w:hint="eastAsia" w:ascii="宋体" w:hAnsi="宋体" w:cs="宋体"/>
          <w:color w:val="auto"/>
          <w:sz w:val="24"/>
          <w:highlight w:val="none"/>
        </w:rPr>
        <w:t>日期：年月日</w:t>
      </w:r>
    </w:p>
    <w:p>
      <w:pPr>
        <w:spacing w:line="360" w:lineRule="auto"/>
        <w:jc w:val="center"/>
        <w:rPr>
          <w:rFonts w:ascii="宋体" w:hAnsi="宋体" w:cs="宋体"/>
          <w:b/>
          <w:color w:val="auto"/>
          <w:sz w:val="24"/>
          <w:highlight w:val="none"/>
        </w:rPr>
      </w:pPr>
    </w:p>
    <w:p>
      <w:pPr>
        <w:widowControl/>
        <w:jc w:val="left"/>
        <w:rPr>
          <w:color w:val="auto"/>
          <w:highlight w:val="none"/>
        </w:rPr>
      </w:pPr>
      <w:r>
        <w:rPr>
          <w:color w:val="auto"/>
          <w:highlight w:val="none"/>
        </w:rPr>
        <w:br w:type="page"/>
      </w:r>
    </w:p>
    <w:p>
      <w:pPr>
        <w:pStyle w:val="4"/>
        <w:jc w:val="center"/>
        <w:rPr>
          <w:rFonts w:ascii="宋体" w:hAnsi="宋体" w:cs="宋体"/>
          <w:color w:val="auto"/>
          <w:sz w:val="28"/>
          <w:szCs w:val="24"/>
          <w:highlight w:val="none"/>
        </w:rPr>
      </w:pPr>
      <w:bookmarkStart w:id="10" w:name="_Toc90643419"/>
      <w:r>
        <w:rPr>
          <w:rFonts w:hint="eastAsia" w:ascii="宋体" w:hAnsi="宋体" w:cs="宋体"/>
          <w:color w:val="auto"/>
          <w:sz w:val="28"/>
          <w:szCs w:val="24"/>
          <w:highlight w:val="none"/>
        </w:rPr>
        <w:t>第五章 周口市政府采购合同（货物类）标准文本</w:t>
      </w:r>
      <w:bookmarkEnd w:id="10"/>
    </w:p>
    <w:p>
      <w:pPr>
        <w:spacing w:line="440" w:lineRule="exact"/>
        <w:jc w:val="center"/>
        <w:rPr>
          <w:rFonts w:ascii="宋体" w:hAnsi="宋体" w:cs="宋体"/>
          <w:color w:val="auto"/>
          <w:sz w:val="22"/>
          <w:highlight w:val="none"/>
        </w:rPr>
      </w:pPr>
      <w:r>
        <w:rPr>
          <w:rFonts w:hint="eastAsia" w:ascii="宋体" w:hAnsi="宋体" w:cs="宋体"/>
          <w:color w:val="auto"/>
          <w:sz w:val="22"/>
          <w:highlight w:val="none"/>
        </w:rPr>
        <w:t>（最终以采购人确定的版本为准。）</w:t>
      </w:r>
    </w:p>
    <w:p>
      <w:pPr>
        <w:rPr>
          <w:color w:val="auto"/>
          <w:highlight w:val="none"/>
        </w:rPr>
      </w:pPr>
    </w:p>
    <w:p>
      <w:pPr>
        <w:rPr>
          <w:rFonts w:ascii="黑体" w:hAnsi="黑体" w:eastAsia="黑体" w:cs="黑体"/>
          <w:color w:val="auto"/>
          <w:sz w:val="32"/>
          <w:szCs w:val="32"/>
          <w:highlight w:val="none"/>
        </w:rPr>
      </w:pPr>
    </w:p>
    <w:p>
      <w:pPr>
        <w:pStyle w:val="87"/>
        <w:spacing w:beforeLines="0" w:afterLines="0"/>
        <w:ind w:left="0"/>
        <w:rPr>
          <w:rFonts w:ascii="黑体" w:hAnsi="黑体" w:eastAsia="黑体" w:cs="黑体"/>
          <w:color w:val="auto"/>
          <w:sz w:val="32"/>
          <w:szCs w:val="32"/>
          <w:highlight w:val="none"/>
        </w:rPr>
      </w:pPr>
    </w:p>
    <w:p>
      <w:pPr>
        <w:pStyle w:val="87"/>
        <w:spacing w:beforeLines="0" w:afterLines="0"/>
        <w:ind w:left="0"/>
        <w:rPr>
          <w:rFonts w:ascii="黑体" w:hAnsi="黑体" w:eastAsia="黑体" w:cs="黑体"/>
          <w:color w:val="auto"/>
          <w:sz w:val="32"/>
          <w:szCs w:val="32"/>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政府采购项目名称：</w:t>
      </w: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政府采购项目编号：</w:t>
      </w: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采      购    人：</w:t>
      </w: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供      应    商：</w:t>
      </w: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合  同  签 订 地：</w:t>
      </w:r>
    </w:p>
    <w:p>
      <w:pPr>
        <w:pStyle w:val="87"/>
        <w:spacing w:beforeLines="0" w:afterLines="0"/>
        <w:ind w:left="0"/>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合 同 签订 时 间：</w:t>
      </w: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rPr>
          <w:rFonts w:ascii="黑体" w:hAnsi="黑体" w:eastAsia="黑体" w:cs="黑体"/>
          <w:color w:val="auto"/>
          <w:sz w:val="30"/>
          <w:szCs w:val="30"/>
          <w:highlight w:val="none"/>
        </w:rPr>
      </w:pPr>
    </w:p>
    <w:p>
      <w:pPr>
        <w:pStyle w:val="87"/>
        <w:spacing w:beforeLines="0" w:afterLines="0"/>
        <w:ind w:left="0"/>
        <w:jc w:val="center"/>
        <w:rPr>
          <w:rFonts w:ascii="方正小标宋简体" w:eastAsia="方正小标宋简体"/>
          <w:color w:val="auto"/>
          <w:sz w:val="32"/>
          <w:szCs w:val="32"/>
          <w:highlight w:val="none"/>
        </w:rPr>
      </w:pPr>
    </w:p>
    <w:p>
      <w:pPr>
        <w:pStyle w:val="87"/>
        <w:spacing w:beforeLines="0" w:afterLines="0" w:line="460" w:lineRule="exact"/>
        <w:ind w:left="0"/>
        <w:jc w:val="center"/>
        <w:rPr>
          <w:rFonts w:ascii="方正小标宋简体" w:eastAsia="方正小标宋简体"/>
          <w:color w:val="auto"/>
          <w:sz w:val="32"/>
          <w:szCs w:val="32"/>
          <w:highlight w:val="none"/>
        </w:rPr>
      </w:pPr>
      <w:r>
        <w:rPr>
          <w:rFonts w:hint="eastAsia" w:ascii="方正小标宋简体" w:eastAsia="方正小标宋简体"/>
          <w:color w:val="auto"/>
          <w:sz w:val="32"/>
          <w:szCs w:val="32"/>
          <w:highlight w:val="none"/>
        </w:rPr>
        <w:t>合同签订指引</w:t>
      </w:r>
    </w:p>
    <w:p>
      <w:pPr>
        <w:pStyle w:val="87"/>
        <w:spacing w:beforeLines="0" w:afterLines="0" w:line="460" w:lineRule="exact"/>
        <w:ind w:left="0" w:firstLine="420" w:firstLineChars="200"/>
        <w:rPr>
          <w:color w:val="auto"/>
          <w:szCs w:val="21"/>
          <w:highlight w:val="none"/>
        </w:rPr>
      </w:pP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一、采购人在签订合同时应提供的资料：</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1、该政府采购项目的招标采购文件（以网上发布内容为准）；</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2、该政府采购项目招标文件的澄清和修改内容（公告内容）；</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3、该政府采购项目评审报告；</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4、采购单位法人授权委托书（法人到场并签字的除外）；</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5、采购单位被授权人身份证件（法人到场并签字的除外）；</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6、采购人和中标供应商约定的其它内容（不得超出招标采购文件实质性内容）。</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二、供应商在签订合同时应提供的资料：</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1、该政府采购项目的投标文件（纸质或DPF格式的电子投标文件）；</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2、针对该项目评审时评审委员会提出的质询答复（纸质并签章）；</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3、该政府采购项目中标通知书；</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4、供应商法人授权委托书（法人到场并签字的除外）；</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5、供应商被授权人身份证件（法人到场并签字的除外）；</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6、供应商和采购人约定的其它内容（不得超出招标采购文件实质性内容）。</w:t>
      </w:r>
    </w:p>
    <w:p>
      <w:pPr>
        <w:pStyle w:val="87"/>
        <w:spacing w:beforeLines="0" w:afterLines="0" w:line="460" w:lineRule="exact"/>
        <w:ind w:left="0" w:firstLine="420" w:firstLineChars="200"/>
        <w:rPr>
          <w:color w:val="auto"/>
          <w:sz w:val="30"/>
          <w:szCs w:val="30"/>
          <w:highlight w:val="none"/>
        </w:rPr>
      </w:pPr>
      <w:r>
        <w:rPr>
          <w:rFonts w:hint="eastAsia"/>
          <w:color w:val="auto"/>
          <w:szCs w:val="21"/>
          <w:highlight w:val="none"/>
        </w:rPr>
        <w:t>三、本合同签订后二个工作日内有采购人在“周口市政府采购网”上进行合同公示。</w:t>
      </w:r>
    </w:p>
    <w:p>
      <w:pPr>
        <w:pStyle w:val="87"/>
        <w:spacing w:beforeLines="0" w:afterLines="0" w:line="460" w:lineRule="exact"/>
        <w:ind w:left="0" w:firstLine="640" w:firstLineChars="200"/>
        <w:jc w:val="center"/>
        <w:rPr>
          <w:rFonts w:ascii="方正小标宋简体" w:eastAsia="方正小标宋简体"/>
          <w:bCs/>
          <w:color w:val="auto"/>
          <w:sz w:val="32"/>
          <w:szCs w:val="32"/>
          <w:highlight w:val="none"/>
        </w:rPr>
      </w:pPr>
    </w:p>
    <w:p>
      <w:pPr>
        <w:pStyle w:val="87"/>
        <w:spacing w:beforeLines="0" w:afterLines="0" w:line="460" w:lineRule="exact"/>
        <w:ind w:left="0" w:firstLine="640" w:firstLineChars="200"/>
        <w:jc w:val="center"/>
        <w:rPr>
          <w:rFonts w:ascii="方正小标宋简体" w:eastAsia="方正小标宋简体"/>
          <w:color w:val="auto"/>
          <w:sz w:val="32"/>
          <w:szCs w:val="32"/>
          <w:highlight w:val="none"/>
        </w:rPr>
      </w:pPr>
      <w:r>
        <w:rPr>
          <w:rFonts w:hint="eastAsia" w:ascii="方正小标宋简体" w:eastAsia="方正小标宋简体"/>
          <w:bCs/>
          <w:color w:val="auto"/>
          <w:sz w:val="32"/>
          <w:szCs w:val="32"/>
          <w:highlight w:val="none"/>
        </w:rPr>
        <w:t>供应商履约验收指引</w:t>
      </w:r>
    </w:p>
    <w:p>
      <w:pPr>
        <w:pStyle w:val="87"/>
        <w:numPr>
          <w:ilvl w:val="0"/>
          <w:numId w:val="4"/>
        </w:numPr>
        <w:spacing w:beforeLines="0" w:afterLines="0" w:line="460" w:lineRule="exact"/>
        <w:ind w:left="0" w:firstLine="420" w:firstLineChars="200"/>
        <w:rPr>
          <w:color w:val="auto"/>
          <w:szCs w:val="27"/>
          <w:highlight w:val="none"/>
        </w:rPr>
      </w:pPr>
      <w:r>
        <w:rPr>
          <w:rFonts w:hint="eastAsia" w:ascii="宋体"/>
          <w:color w:val="auto"/>
          <w:szCs w:val="21"/>
          <w:highlight w:val="none"/>
        </w:rPr>
        <w:t>供应商不得擅自变更合同标的物内容；</w:t>
      </w:r>
    </w:p>
    <w:p>
      <w:pPr>
        <w:pStyle w:val="87"/>
        <w:spacing w:beforeLines="0" w:afterLines="0" w:line="460" w:lineRule="exact"/>
        <w:ind w:left="0" w:firstLine="420" w:firstLineChars="200"/>
        <w:rPr>
          <w:rFonts w:ascii="宋体"/>
          <w:color w:val="auto"/>
          <w:szCs w:val="21"/>
          <w:highlight w:val="none"/>
        </w:rPr>
      </w:pPr>
      <w:r>
        <w:rPr>
          <w:rFonts w:hint="eastAsia" w:ascii="宋体"/>
          <w:color w:val="auto"/>
          <w:szCs w:val="21"/>
          <w:highlight w:val="none"/>
        </w:rPr>
        <w:t>2、不得以次充好、高投低配，确因在合同执行中不可抗力因素造成的，应提供相关依据；</w:t>
      </w:r>
    </w:p>
    <w:p>
      <w:pPr>
        <w:pStyle w:val="87"/>
        <w:spacing w:beforeLines="0" w:afterLines="0" w:line="460" w:lineRule="exact"/>
        <w:ind w:left="0" w:firstLine="420" w:firstLineChars="200"/>
        <w:rPr>
          <w:rFonts w:ascii="宋体"/>
          <w:color w:val="auto"/>
          <w:szCs w:val="21"/>
          <w:highlight w:val="none"/>
        </w:rPr>
      </w:pPr>
      <w:r>
        <w:rPr>
          <w:rFonts w:hint="eastAsia" w:ascii="宋体"/>
          <w:color w:val="auto"/>
          <w:szCs w:val="21"/>
          <w:highlight w:val="none"/>
        </w:rPr>
        <w:t>3、对因客观上采购人采购需求发生变化造成的，应提供采、供双方的纸质备忘录材料；</w:t>
      </w:r>
    </w:p>
    <w:p>
      <w:pPr>
        <w:pStyle w:val="87"/>
        <w:spacing w:beforeLines="0" w:afterLines="0" w:line="460" w:lineRule="exact"/>
        <w:ind w:left="0" w:firstLine="420" w:firstLineChars="200"/>
        <w:rPr>
          <w:color w:val="auto"/>
          <w:szCs w:val="21"/>
          <w:highlight w:val="none"/>
        </w:rPr>
      </w:pPr>
      <w:r>
        <w:rPr>
          <w:rFonts w:hint="eastAsia"/>
          <w:color w:val="auto"/>
          <w:szCs w:val="21"/>
          <w:highlight w:val="none"/>
        </w:rPr>
        <w:t>4、在满足验收条件5个工作日内通知采购人组织验收；</w:t>
      </w:r>
    </w:p>
    <w:p>
      <w:pPr>
        <w:pStyle w:val="87"/>
        <w:spacing w:beforeLines="0" w:afterLines="0" w:line="460" w:lineRule="exact"/>
        <w:ind w:left="0" w:firstLine="420" w:firstLineChars="200"/>
        <w:rPr>
          <w:rFonts w:ascii="宋体"/>
          <w:color w:val="auto"/>
          <w:szCs w:val="21"/>
          <w:highlight w:val="none"/>
        </w:rPr>
      </w:pPr>
      <w:r>
        <w:rPr>
          <w:rFonts w:hint="eastAsia"/>
          <w:color w:val="auto"/>
          <w:szCs w:val="21"/>
          <w:highlight w:val="none"/>
        </w:rPr>
        <w:t>5、</w:t>
      </w:r>
      <w:r>
        <w:rPr>
          <w:rFonts w:hint="eastAsia" w:ascii="宋体"/>
          <w:color w:val="auto"/>
          <w:szCs w:val="21"/>
          <w:highlight w:val="none"/>
        </w:rPr>
        <w:t>供应商应提供需验收物品的清单、参数、使用手册、人员培训情况等资料；</w:t>
      </w:r>
    </w:p>
    <w:p>
      <w:pPr>
        <w:pStyle w:val="87"/>
        <w:spacing w:beforeLines="0" w:afterLines="0" w:line="460" w:lineRule="exact"/>
        <w:ind w:left="0" w:firstLine="420" w:firstLineChars="200"/>
        <w:rPr>
          <w:rFonts w:ascii="宋体"/>
          <w:color w:val="auto"/>
          <w:szCs w:val="21"/>
          <w:highlight w:val="none"/>
        </w:rPr>
      </w:pPr>
      <w:r>
        <w:rPr>
          <w:rFonts w:hint="eastAsia" w:ascii="宋体"/>
          <w:color w:val="auto"/>
          <w:szCs w:val="21"/>
          <w:highlight w:val="none"/>
        </w:rPr>
        <w:t>6、采、供双方约定的验收机构及相关人员组成情况。</w:t>
      </w:r>
    </w:p>
    <w:p>
      <w:pPr>
        <w:pStyle w:val="87"/>
        <w:spacing w:beforeLines="0" w:afterLines="0" w:line="460" w:lineRule="exact"/>
        <w:ind w:left="0" w:firstLine="420" w:firstLineChars="200"/>
        <w:rPr>
          <w:color w:val="auto"/>
          <w:szCs w:val="27"/>
          <w:highlight w:val="none"/>
        </w:rPr>
      </w:pPr>
      <w:r>
        <w:rPr>
          <w:rFonts w:hint="eastAsia" w:ascii="宋体"/>
          <w:color w:val="auto"/>
          <w:szCs w:val="21"/>
          <w:highlight w:val="none"/>
        </w:rPr>
        <w:t>7、督促采购人在项目验收结束并达到相关要求后一个工作日内，在</w:t>
      </w:r>
      <w:r>
        <w:rPr>
          <w:rFonts w:hint="eastAsia"/>
          <w:color w:val="auto"/>
          <w:szCs w:val="21"/>
          <w:highlight w:val="none"/>
        </w:rPr>
        <w:t>“周口市政府采购网”上进行“履约验收”公示。</w:t>
      </w:r>
    </w:p>
    <w:p>
      <w:pPr>
        <w:rPr>
          <w:rFonts w:ascii="方正小标宋简体" w:hAnsi="宋体" w:eastAsia="方正小标宋简体"/>
          <w:color w:val="auto"/>
          <w:sz w:val="24"/>
          <w:szCs w:val="36"/>
          <w:highlight w:val="none"/>
        </w:rPr>
      </w:pPr>
      <w:bookmarkStart w:id="11" w:name="_Toc220232392"/>
      <w:r>
        <w:rPr>
          <w:rFonts w:hint="eastAsia" w:ascii="方正小标宋简体" w:hAnsi="宋体" w:eastAsia="方正小标宋简体"/>
          <w:color w:val="auto"/>
          <w:sz w:val="24"/>
          <w:highlight w:val="none"/>
        </w:rPr>
        <w:t>采购合同</w:t>
      </w:r>
      <w:bookmarkEnd w:id="11"/>
      <w:r>
        <w:rPr>
          <w:rFonts w:hint="eastAsia" w:ascii="方正小标宋简体" w:hAnsi="宋体" w:eastAsia="方正小标宋简体"/>
          <w:color w:val="auto"/>
          <w:sz w:val="24"/>
          <w:highlight w:val="none"/>
        </w:rPr>
        <w:t>内容</w:t>
      </w:r>
    </w:p>
    <w:p>
      <w:pPr>
        <w:spacing w:line="520" w:lineRule="exact"/>
        <w:ind w:firstLine="420" w:firstLineChars="200"/>
        <w:rPr>
          <w:color w:val="auto"/>
          <w:szCs w:val="27"/>
          <w:highlight w:val="none"/>
        </w:rPr>
      </w:pPr>
    </w:p>
    <w:p>
      <w:pPr>
        <w:spacing w:line="360" w:lineRule="auto"/>
        <w:ind w:firstLine="420" w:firstLineChars="200"/>
        <w:rPr>
          <w:color w:val="auto"/>
          <w:szCs w:val="27"/>
          <w:highlight w:val="none"/>
          <w:u w:val="single"/>
        </w:rPr>
      </w:pPr>
      <w:r>
        <w:rPr>
          <w:rFonts w:hint="eastAsia"/>
          <w:color w:val="auto"/>
          <w:szCs w:val="27"/>
          <w:highlight w:val="none"/>
        </w:rPr>
        <w:t>采购人</w:t>
      </w:r>
      <w:r>
        <w:rPr>
          <w:color w:val="auto"/>
          <w:szCs w:val="27"/>
          <w:highlight w:val="none"/>
        </w:rPr>
        <w:t>（甲方）：</w:t>
      </w:r>
      <w:r>
        <w:rPr>
          <w:rFonts w:hint="eastAsia"/>
          <w:color w:val="auto"/>
          <w:szCs w:val="27"/>
          <w:highlight w:val="none"/>
        </w:rPr>
        <w:t xml:space="preserve"> </w:t>
      </w:r>
    </w:p>
    <w:p>
      <w:pPr>
        <w:spacing w:line="360" w:lineRule="auto"/>
        <w:ind w:firstLine="420" w:firstLineChars="200"/>
        <w:rPr>
          <w:color w:val="auto"/>
          <w:szCs w:val="27"/>
          <w:highlight w:val="none"/>
        </w:rPr>
      </w:pPr>
      <w:r>
        <w:rPr>
          <w:rFonts w:hint="eastAsia"/>
          <w:color w:val="auto"/>
          <w:szCs w:val="27"/>
          <w:highlight w:val="none"/>
        </w:rPr>
        <w:t>供应商</w:t>
      </w:r>
      <w:r>
        <w:rPr>
          <w:color w:val="auto"/>
          <w:szCs w:val="27"/>
          <w:highlight w:val="none"/>
        </w:rPr>
        <w:t>（乙方）</w:t>
      </w:r>
      <w:r>
        <w:rPr>
          <w:rFonts w:hint="eastAsia"/>
          <w:color w:val="auto"/>
          <w:szCs w:val="27"/>
          <w:highlight w:val="none"/>
        </w:rPr>
        <w:t>：</w:t>
      </w:r>
    </w:p>
    <w:p>
      <w:pPr>
        <w:spacing w:line="360" w:lineRule="auto"/>
        <w:ind w:firstLine="420" w:firstLineChars="200"/>
        <w:rPr>
          <w:color w:val="auto"/>
          <w:szCs w:val="27"/>
          <w:highlight w:val="none"/>
          <w:u w:val="single"/>
        </w:rPr>
      </w:pPr>
      <w:r>
        <w:rPr>
          <w:rFonts w:hint="eastAsia"/>
          <w:color w:val="auto"/>
          <w:szCs w:val="27"/>
          <w:highlight w:val="none"/>
        </w:rPr>
        <w:t>签订地点：</w:t>
      </w:r>
    </w:p>
    <w:p>
      <w:pPr>
        <w:spacing w:line="360" w:lineRule="auto"/>
        <w:ind w:firstLine="420" w:firstLineChars="200"/>
        <w:rPr>
          <w:color w:val="auto"/>
          <w:szCs w:val="27"/>
          <w:highlight w:val="none"/>
          <w:u w:val="single"/>
        </w:rPr>
      </w:pPr>
      <w:r>
        <w:rPr>
          <w:rFonts w:hint="eastAsia"/>
          <w:color w:val="auto"/>
          <w:szCs w:val="27"/>
          <w:highlight w:val="none"/>
        </w:rPr>
        <w:t>项目名称：</w:t>
      </w:r>
    </w:p>
    <w:p>
      <w:pPr>
        <w:spacing w:line="360" w:lineRule="auto"/>
        <w:ind w:firstLine="420" w:firstLineChars="200"/>
        <w:rPr>
          <w:color w:val="auto"/>
          <w:szCs w:val="27"/>
          <w:highlight w:val="none"/>
          <w:u w:val="single"/>
        </w:rPr>
      </w:pPr>
      <w:r>
        <w:rPr>
          <w:rFonts w:hint="eastAsia"/>
          <w:color w:val="auto"/>
          <w:szCs w:val="27"/>
          <w:highlight w:val="none"/>
        </w:rPr>
        <w:t>项目编号：</w:t>
      </w:r>
    </w:p>
    <w:p>
      <w:pPr>
        <w:spacing w:line="360" w:lineRule="auto"/>
        <w:ind w:firstLine="420" w:firstLineChars="200"/>
        <w:rPr>
          <w:color w:val="auto"/>
          <w:highlight w:val="none"/>
        </w:rPr>
      </w:pPr>
      <w:r>
        <w:rPr>
          <w:rFonts w:hint="eastAsia"/>
          <w:color w:val="auto"/>
          <w:szCs w:val="27"/>
          <w:highlight w:val="none"/>
        </w:rPr>
        <w:t>财政委托号：</w:t>
      </w:r>
      <w:r>
        <w:rPr>
          <w:rFonts w:hint="eastAsia"/>
          <w:color w:val="auto"/>
          <w:szCs w:val="27"/>
          <w:highlight w:val="none"/>
          <w:u w:val="single"/>
        </w:rPr>
        <w:t xml:space="preserve">      </w:t>
      </w:r>
      <w:r>
        <w:rPr>
          <w:rFonts w:hint="eastAsia"/>
          <w:color w:val="auto"/>
          <w:szCs w:val="27"/>
          <w:highlight w:val="none"/>
        </w:rPr>
        <w:t>(财政资金项目必须填写)</w:t>
      </w:r>
    </w:p>
    <w:p>
      <w:pPr>
        <w:spacing w:line="360" w:lineRule="auto"/>
        <w:ind w:firstLine="420" w:firstLineChars="200"/>
        <w:rPr>
          <w:color w:val="auto"/>
          <w:highlight w:val="none"/>
        </w:rPr>
      </w:pPr>
      <w:r>
        <w:rPr>
          <w:rFonts w:hint="eastAsia"/>
          <w:color w:val="auto"/>
          <w:szCs w:val="27"/>
          <w:highlight w:val="none"/>
        </w:rPr>
        <w:t>本项目经批准采用</w:t>
      </w:r>
      <w:r>
        <w:rPr>
          <w:rFonts w:hint="eastAsia"/>
          <w:color w:val="auto"/>
          <w:szCs w:val="27"/>
          <w:highlight w:val="none"/>
          <w:u w:val="single"/>
        </w:rPr>
        <w:t xml:space="preserve">           </w:t>
      </w:r>
      <w:r>
        <w:rPr>
          <w:rFonts w:hint="eastAsia"/>
          <w:color w:val="auto"/>
          <w:szCs w:val="27"/>
          <w:highlight w:val="none"/>
        </w:rPr>
        <w:t>采购方式，经本项目评审委员会认真评审，决定将采购合同授予乙方。为进一步明确双方的责任，确保合同的顺利履行，</w:t>
      </w:r>
      <w:r>
        <w:rPr>
          <w:color w:val="auto"/>
          <w:szCs w:val="27"/>
          <w:highlight w:val="none"/>
        </w:rPr>
        <w:t>根据《中华人民共和</w:t>
      </w:r>
      <w:r>
        <w:rPr>
          <w:rFonts w:hint="eastAsia"/>
          <w:color w:val="auto"/>
          <w:szCs w:val="27"/>
          <w:highlight w:val="none"/>
        </w:rPr>
        <w:t>国采购</w:t>
      </w:r>
      <w:r>
        <w:rPr>
          <w:color w:val="auto"/>
          <w:szCs w:val="27"/>
          <w:highlight w:val="none"/>
        </w:rPr>
        <w:t>法》</w:t>
      </w:r>
      <w:r>
        <w:rPr>
          <w:rFonts w:hint="eastAsia"/>
          <w:color w:val="auto"/>
          <w:szCs w:val="27"/>
          <w:highlight w:val="none"/>
        </w:rPr>
        <w:t>、</w:t>
      </w:r>
      <w:r>
        <w:rPr>
          <w:color w:val="auto"/>
          <w:szCs w:val="27"/>
          <w:highlight w:val="none"/>
        </w:rPr>
        <w:t>《中华人民共和国</w:t>
      </w:r>
      <w:r>
        <w:rPr>
          <w:rFonts w:hint="eastAsia"/>
          <w:color w:val="auto"/>
          <w:szCs w:val="27"/>
          <w:highlight w:val="none"/>
        </w:rPr>
        <w:t>民法典</w:t>
      </w:r>
      <w:r>
        <w:rPr>
          <w:color w:val="auto"/>
          <w:szCs w:val="27"/>
          <w:highlight w:val="none"/>
        </w:rPr>
        <w:t>》之规定，经甲乙双方充分协商，特订立</w:t>
      </w:r>
      <w:r>
        <w:rPr>
          <w:rFonts w:hint="eastAsia"/>
          <w:color w:val="auto"/>
          <w:szCs w:val="27"/>
          <w:highlight w:val="none"/>
        </w:rPr>
        <w:t>本</w:t>
      </w:r>
      <w:r>
        <w:rPr>
          <w:color w:val="auto"/>
          <w:szCs w:val="27"/>
          <w:highlight w:val="none"/>
        </w:rPr>
        <w:t>合同，以便共同遵守。</w:t>
      </w:r>
    </w:p>
    <w:p>
      <w:pPr>
        <w:spacing w:line="360" w:lineRule="auto"/>
        <w:ind w:firstLine="422" w:firstLineChars="200"/>
        <w:rPr>
          <w:color w:val="auto"/>
          <w:highlight w:val="none"/>
          <w:u w:val="single"/>
        </w:rPr>
      </w:pPr>
      <w:r>
        <w:rPr>
          <w:b/>
          <w:bCs/>
          <w:color w:val="auto"/>
          <w:szCs w:val="27"/>
          <w:highlight w:val="none"/>
        </w:rPr>
        <w:t>第一条</w:t>
      </w:r>
      <w:r>
        <w:rPr>
          <w:color w:val="auto"/>
          <w:szCs w:val="27"/>
          <w:highlight w:val="none"/>
        </w:rPr>
        <w:t> </w:t>
      </w:r>
      <w:r>
        <w:rPr>
          <w:rFonts w:hint="eastAsia"/>
          <w:color w:val="auto"/>
          <w:szCs w:val="27"/>
          <w:highlight w:val="none"/>
        </w:rPr>
        <w:t xml:space="preserve">  </w:t>
      </w:r>
      <w:r>
        <w:rPr>
          <w:color w:val="auto"/>
          <w:szCs w:val="27"/>
          <w:highlight w:val="none"/>
        </w:rPr>
        <w:t>产品的名称、品种、规格</w:t>
      </w:r>
      <w:r>
        <w:rPr>
          <w:rFonts w:hint="eastAsia"/>
          <w:color w:val="auto"/>
          <w:szCs w:val="27"/>
          <w:highlight w:val="none"/>
        </w:rPr>
        <w:t>、数量和价格：（若产品过多则见附表，如有附表则必须加盖印章）</w:t>
      </w:r>
    </w:p>
    <w:tbl>
      <w:tblPr>
        <w:tblStyle w:val="29"/>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color w:val="auto"/>
                <w:highlight w:val="none"/>
              </w:rPr>
            </w:pPr>
            <w:r>
              <w:rPr>
                <w:rFonts w:hint="eastAsia"/>
                <w:color w:val="auto"/>
                <w:highlight w:val="none"/>
              </w:rPr>
              <w:t>产品名称</w:t>
            </w:r>
          </w:p>
        </w:tc>
        <w:tc>
          <w:tcPr>
            <w:tcW w:w="1623" w:type="dxa"/>
          </w:tcPr>
          <w:p>
            <w:pPr>
              <w:spacing w:line="360" w:lineRule="auto"/>
              <w:ind w:firstLine="420" w:firstLineChars="200"/>
              <w:rPr>
                <w:color w:val="auto"/>
                <w:highlight w:val="none"/>
              </w:rPr>
            </w:pPr>
            <w:r>
              <w:rPr>
                <w:rFonts w:hint="eastAsia"/>
                <w:color w:val="auto"/>
                <w:highlight w:val="none"/>
              </w:rPr>
              <w:t>规格型号</w:t>
            </w:r>
          </w:p>
        </w:tc>
        <w:tc>
          <w:tcPr>
            <w:tcW w:w="902" w:type="dxa"/>
          </w:tcPr>
          <w:p>
            <w:pPr>
              <w:spacing w:line="360" w:lineRule="auto"/>
              <w:ind w:firstLine="420" w:firstLineChars="200"/>
              <w:rPr>
                <w:color w:val="auto"/>
                <w:highlight w:val="none"/>
              </w:rPr>
            </w:pPr>
            <w:r>
              <w:rPr>
                <w:rFonts w:hint="eastAsia"/>
                <w:color w:val="auto"/>
                <w:highlight w:val="none"/>
              </w:rPr>
              <w:t>单位</w:t>
            </w:r>
          </w:p>
        </w:tc>
        <w:tc>
          <w:tcPr>
            <w:tcW w:w="902" w:type="dxa"/>
          </w:tcPr>
          <w:p>
            <w:pPr>
              <w:spacing w:line="360" w:lineRule="auto"/>
              <w:ind w:firstLine="420" w:firstLineChars="200"/>
              <w:rPr>
                <w:color w:val="auto"/>
                <w:highlight w:val="none"/>
              </w:rPr>
            </w:pPr>
            <w:r>
              <w:rPr>
                <w:rFonts w:hint="eastAsia"/>
                <w:color w:val="auto"/>
                <w:highlight w:val="none"/>
              </w:rPr>
              <w:t>数量</w:t>
            </w:r>
          </w:p>
        </w:tc>
        <w:tc>
          <w:tcPr>
            <w:tcW w:w="1071" w:type="dxa"/>
          </w:tcPr>
          <w:p>
            <w:pPr>
              <w:spacing w:line="360" w:lineRule="auto"/>
              <w:ind w:firstLine="420" w:firstLineChars="200"/>
              <w:rPr>
                <w:color w:val="auto"/>
                <w:highlight w:val="none"/>
              </w:rPr>
            </w:pPr>
            <w:r>
              <w:rPr>
                <w:rFonts w:hint="eastAsia"/>
                <w:color w:val="auto"/>
                <w:highlight w:val="none"/>
              </w:rPr>
              <w:t>单价</w:t>
            </w:r>
          </w:p>
        </w:tc>
        <w:tc>
          <w:tcPr>
            <w:tcW w:w="1250" w:type="dxa"/>
          </w:tcPr>
          <w:p>
            <w:pPr>
              <w:spacing w:line="360" w:lineRule="auto"/>
              <w:ind w:firstLine="420" w:firstLineChars="200"/>
              <w:rPr>
                <w:color w:val="auto"/>
                <w:highlight w:val="none"/>
              </w:rPr>
            </w:pPr>
            <w:r>
              <w:rPr>
                <w:rFonts w:hint="eastAsia"/>
                <w:color w:val="auto"/>
                <w:highlight w:val="none"/>
              </w:rPr>
              <w:t>小计</w:t>
            </w:r>
          </w:p>
        </w:tc>
        <w:tc>
          <w:tcPr>
            <w:tcW w:w="1106" w:type="dxa"/>
          </w:tcPr>
          <w:p>
            <w:pPr>
              <w:spacing w:line="360" w:lineRule="auto"/>
              <w:ind w:firstLine="420" w:firstLineChars="200"/>
              <w:rPr>
                <w:color w:val="auto"/>
                <w:highlight w:val="none"/>
              </w:rPr>
            </w:pPr>
            <w:r>
              <w:rPr>
                <w:rFonts w:hint="eastAsia"/>
                <w:color w:val="auto"/>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color w:val="auto"/>
                <w:highlight w:val="none"/>
              </w:rPr>
            </w:pPr>
          </w:p>
        </w:tc>
        <w:tc>
          <w:tcPr>
            <w:tcW w:w="1623"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1071" w:type="dxa"/>
          </w:tcPr>
          <w:p>
            <w:pPr>
              <w:spacing w:line="360" w:lineRule="auto"/>
              <w:ind w:firstLine="420" w:firstLineChars="200"/>
              <w:rPr>
                <w:color w:val="auto"/>
                <w:highlight w:val="none"/>
              </w:rPr>
            </w:pPr>
          </w:p>
        </w:tc>
        <w:tc>
          <w:tcPr>
            <w:tcW w:w="1250" w:type="dxa"/>
          </w:tcPr>
          <w:p>
            <w:pPr>
              <w:spacing w:line="360" w:lineRule="auto"/>
              <w:ind w:firstLine="420" w:firstLineChars="200"/>
              <w:rPr>
                <w:color w:val="auto"/>
                <w:highlight w:val="none"/>
              </w:rPr>
            </w:pPr>
          </w:p>
        </w:tc>
        <w:tc>
          <w:tcPr>
            <w:tcW w:w="1106" w:type="dxa"/>
          </w:tcPr>
          <w:p>
            <w:pPr>
              <w:spacing w:line="360" w:lineRule="auto"/>
              <w:ind w:firstLine="420" w:firstLineChars="200"/>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color w:val="auto"/>
                <w:highlight w:val="none"/>
              </w:rPr>
            </w:pPr>
          </w:p>
        </w:tc>
        <w:tc>
          <w:tcPr>
            <w:tcW w:w="1623"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1071" w:type="dxa"/>
          </w:tcPr>
          <w:p>
            <w:pPr>
              <w:spacing w:line="360" w:lineRule="auto"/>
              <w:ind w:firstLine="420" w:firstLineChars="200"/>
              <w:rPr>
                <w:color w:val="auto"/>
                <w:highlight w:val="none"/>
              </w:rPr>
            </w:pPr>
          </w:p>
        </w:tc>
        <w:tc>
          <w:tcPr>
            <w:tcW w:w="1250" w:type="dxa"/>
          </w:tcPr>
          <w:p>
            <w:pPr>
              <w:spacing w:line="360" w:lineRule="auto"/>
              <w:ind w:firstLine="420" w:firstLineChars="200"/>
              <w:rPr>
                <w:color w:val="auto"/>
                <w:highlight w:val="none"/>
              </w:rPr>
            </w:pPr>
          </w:p>
        </w:tc>
        <w:tc>
          <w:tcPr>
            <w:tcW w:w="1106" w:type="dxa"/>
          </w:tcPr>
          <w:p>
            <w:pPr>
              <w:spacing w:line="360" w:lineRule="auto"/>
              <w:ind w:firstLine="420" w:firstLineChars="200"/>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color w:val="auto"/>
                <w:highlight w:val="none"/>
              </w:rPr>
            </w:pPr>
          </w:p>
        </w:tc>
        <w:tc>
          <w:tcPr>
            <w:tcW w:w="1623"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902" w:type="dxa"/>
          </w:tcPr>
          <w:p>
            <w:pPr>
              <w:spacing w:line="360" w:lineRule="auto"/>
              <w:ind w:firstLine="420" w:firstLineChars="200"/>
              <w:rPr>
                <w:color w:val="auto"/>
                <w:highlight w:val="none"/>
              </w:rPr>
            </w:pPr>
          </w:p>
        </w:tc>
        <w:tc>
          <w:tcPr>
            <w:tcW w:w="1071" w:type="dxa"/>
          </w:tcPr>
          <w:p>
            <w:pPr>
              <w:spacing w:line="360" w:lineRule="auto"/>
              <w:ind w:firstLine="420" w:firstLineChars="200"/>
              <w:rPr>
                <w:color w:val="auto"/>
                <w:highlight w:val="none"/>
              </w:rPr>
            </w:pPr>
          </w:p>
        </w:tc>
        <w:tc>
          <w:tcPr>
            <w:tcW w:w="1250" w:type="dxa"/>
          </w:tcPr>
          <w:p>
            <w:pPr>
              <w:spacing w:line="360" w:lineRule="auto"/>
              <w:ind w:firstLine="420" w:firstLineChars="200"/>
              <w:rPr>
                <w:color w:val="auto"/>
                <w:highlight w:val="none"/>
              </w:rPr>
            </w:pPr>
          </w:p>
        </w:tc>
        <w:tc>
          <w:tcPr>
            <w:tcW w:w="1106" w:type="dxa"/>
          </w:tcPr>
          <w:p>
            <w:pPr>
              <w:spacing w:line="360" w:lineRule="auto"/>
              <w:ind w:firstLine="420" w:firstLineChars="200"/>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20" w:firstLineChars="200"/>
              <w:rPr>
                <w:color w:val="auto"/>
                <w:highlight w:val="none"/>
              </w:rPr>
            </w:pPr>
            <w:r>
              <w:rPr>
                <w:rFonts w:hint="eastAsia"/>
                <w:color w:val="auto"/>
                <w:highlight w:val="none"/>
              </w:rPr>
              <w:t>合同总价款（大小写）：</w:t>
            </w:r>
          </w:p>
          <w:p>
            <w:pPr>
              <w:spacing w:line="360" w:lineRule="auto"/>
              <w:ind w:firstLine="420" w:firstLineChars="200"/>
              <w:rPr>
                <w:color w:val="auto"/>
                <w:highlight w:val="none"/>
              </w:rPr>
            </w:pPr>
            <w:r>
              <w:rPr>
                <w:rFonts w:hint="eastAsia"/>
                <w:color w:val="auto"/>
                <w:szCs w:val="28"/>
                <w:highlight w:val="none"/>
              </w:rPr>
              <w:t>备注：上述产品报价含产品生产、运输&lt;送达至甲方指定地点并下货&gt;、安装、调试、检验及售后服务、税金、劳保基金、人员培训等费用。</w:t>
            </w:r>
          </w:p>
        </w:tc>
      </w:tr>
    </w:tbl>
    <w:p>
      <w:pPr>
        <w:spacing w:line="360" w:lineRule="auto"/>
        <w:ind w:firstLine="422" w:firstLineChars="200"/>
        <w:rPr>
          <w:color w:val="auto"/>
          <w:highlight w:val="none"/>
        </w:rPr>
      </w:pPr>
      <w:r>
        <w:rPr>
          <w:rFonts w:hint="eastAsia"/>
          <w:b/>
          <w:bCs/>
          <w:color w:val="auto"/>
          <w:szCs w:val="27"/>
          <w:highlight w:val="none"/>
        </w:rPr>
        <w:t xml:space="preserve">第二条  </w:t>
      </w:r>
      <w:r>
        <w:rPr>
          <w:color w:val="auto"/>
          <w:szCs w:val="27"/>
          <w:highlight w:val="none"/>
        </w:rPr>
        <w:t>产品的技术标准（包括质量要求），按下列第（ ）项执行：</w:t>
      </w:r>
    </w:p>
    <w:p>
      <w:pPr>
        <w:spacing w:line="360" w:lineRule="auto"/>
        <w:ind w:firstLine="420" w:firstLineChars="200"/>
        <w:rPr>
          <w:color w:val="auto"/>
          <w:szCs w:val="27"/>
          <w:highlight w:val="none"/>
        </w:rPr>
      </w:pPr>
      <w:r>
        <w:rPr>
          <w:rFonts w:hint="eastAsia"/>
          <w:color w:val="auto"/>
          <w:szCs w:val="27"/>
          <w:highlight w:val="none"/>
        </w:rPr>
        <w:t>①</w:t>
      </w:r>
      <w:r>
        <w:rPr>
          <w:color w:val="auto"/>
          <w:szCs w:val="27"/>
          <w:highlight w:val="none"/>
        </w:rPr>
        <w:t>按国家标准执行；</w:t>
      </w:r>
      <w:r>
        <w:rPr>
          <w:rFonts w:hint="eastAsia"/>
          <w:color w:val="auto"/>
          <w:szCs w:val="27"/>
          <w:highlight w:val="none"/>
        </w:rPr>
        <w:t>②</w:t>
      </w:r>
      <w:r>
        <w:rPr>
          <w:color w:val="auto"/>
          <w:szCs w:val="27"/>
          <w:highlight w:val="none"/>
        </w:rPr>
        <w:t>按部颁标准执行；</w:t>
      </w:r>
      <w:r>
        <w:rPr>
          <w:rFonts w:hint="eastAsia"/>
          <w:color w:val="auto"/>
          <w:szCs w:val="27"/>
          <w:highlight w:val="none"/>
        </w:rPr>
        <w:t>③若无以上标准，则应不低于同行业质量标准；④</w:t>
      </w:r>
      <w:r>
        <w:rPr>
          <w:color w:val="auto"/>
          <w:szCs w:val="27"/>
          <w:highlight w:val="none"/>
        </w:rPr>
        <w:t>有特殊要求的，按甲乙双方在合同中商定的技术条件、样品或补充的技术要求执行</w:t>
      </w:r>
      <w:r>
        <w:rPr>
          <w:rFonts w:hint="eastAsia"/>
          <w:color w:val="auto"/>
          <w:szCs w:val="27"/>
          <w:highlight w:val="none"/>
        </w:rPr>
        <w:t>；</w:t>
      </w:r>
    </w:p>
    <w:p>
      <w:pPr>
        <w:spacing w:line="360" w:lineRule="auto"/>
        <w:ind w:firstLine="420" w:firstLineChars="200"/>
        <w:rPr>
          <w:color w:val="auto"/>
          <w:highlight w:val="none"/>
        </w:rPr>
      </w:pPr>
      <w:r>
        <w:rPr>
          <w:rFonts w:hint="eastAsia"/>
          <w:color w:val="auto"/>
          <w:highlight w:val="none"/>
        </w:rPr>
        <w:t>乙方提供和交付的货物技术标准应与招标采购文件规定的技术标准相一致。若技术标准中无相应规定，所投货物应符合相应的国际标准或原产地国家有关部门最新颁布的相应的正式标准。</w:t>
      </w:r>
    </w:p>
    <w:p>
      <w:pPr>
        <w:spacing w:line="360" w:lineRule="auto"/>
        <w:ind w:firstLine="420" w:firstLineChars="200"/>
        <w:rPr>
          <w:color w:val="auto"/>
          <w:highlight w:val="none"/>
        </w:rPr>
      </w:pPr>
      <w:r>
        <w:rPr>
          <w:rFonts w:hint="eastAsia"/>
          <w:color w:val="auto"/>
          <w:highlight w:val="none"/>
        </w:rPr>
        <w:t>进口产品的质量标准为。</w:t>
      </w:r>
    </w:p>
    <w:p>
      <w:pPr>
        <w:spacing w:line="360" w:lineRule="auto"/>
        <w:ind w:firstLine="420" w:firstLineChars="200"/>
        <w:rPr>
          <w:color w:val="auto"/>
          <w:highlight w:val="none"/>
        </w:rPr>
      </w:pPr>
      <w:r>
        <w:rPr>
          <w:rFonts w:hint="eastAsia"/>
          <w:color w:val="auto"/>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pStyle w:val="16"/>
        <w:spacing w:line="360" w:lineRule="auto"/>
        <w:ind w:firstLine="482" w:firstLineChars="200"/>
        <w:rPr>
          <w:rFonts w:ascii="宋体" w:hAnsi="宋体"/>
          <w:color w:val="auto"/>
          <w:sz w:val="24"/>
          <w:highlight w:val="none"/>
        </w:rPr>
      </w:pPr>
      <w:r>
        <w:rPr>
          <w:rFonts w:hint="eastAsia" w:ascii="宋体" w:hAnsi="宋体"/>
          <w:b/>
          <w:bCs/>
          <w:color w:val="auto"/>
          <w:sz w:val="24"/>
          <w:highlight w:val="none"/>
        </w:rPr>
        <w:t>第</w:t>
      </w:r>
      <w:r>
        <w:rPr>
          <w:rFonts w:ascii="宋体" w:hAnsi="宋体"/>
          <w:b/>
          <w:bCs/>
          <w:color w:val="auto"/>
          <w:sz w:val="24"/>
          <w:highlight w:val="none"/>
        </w:rPr>
        <w:t>三</w:t>
      </w:r>
      <w:r>
        <w:rPr>
          <w:rFonts w:hint="eastAsia" w:ascii="宋体" w:hAnsi="宋体"/>
          <w:b/>
          <w:bCs/>
          <w:color w:val="auto"/>
          <w:sz w:val="24"/>
          <w:highlight w:val="none"/>
        </w:rPr>
        <w:t>条</w:t>
      </w:r>
      <w:r>
        <w:rPr>
          <w:rFonts w:ascii="宋体" w:hAnsi="宋体"/>
          <w:color w:val="auto"/>
          <w:sz w:val="24"/>
          <w:highlight w:val="none"/>
        </w:rPr>
        <w:t>产品的包装标准和包装物的供应与回收</w:t>
      </w:r>
      <w:r>
        <w:rPr>
          <w:rFonts w:ascii="宋体" w:hAnsi="宋体"/>
          <w:color w:val="auto"/>
          <w:sz w:val="24"/>
          <w:highlight w:val="none"/>
          <w:u w:val="single"/>
        </w:rPr>
        <w:t>       </w:t>
      </w:r>
      <w:r>
        <w:rPr>
          <w:rFonts w:hint="eastAsia" w:ascii="宋体" w:hAnsi="宋体"/>
          <w:color w:val="auto"/>
          <w:sz w:val="24"/>
          <w:highlight w:val="none"/>
          <w:u w:val="single"/>
        </w:rPr>
        <w:t xml:space="preserve">          </w:t>
      </w:r>
      <w:r>
        <w:rPr>
          <w:rFonts w:hint="eastAsia" w:ascii="宋体" w:hAnsi="宋体"/>
          <w:color w:val="auto"/>
          <w:sz w:val="24"/>
          <w:highlight w:val="none"/>
        </w:rPr>
        <w:t>。</w:t>
      </w:r>
    </w:p>
    <w:p>
      <w:pPr>
        <w:spacing w:line="360" w:lineRule="auto"/>
        <w:ind w:firstLine="420" w:firstLineChars="200"/>
        <w:rPr>
          <w:color w:val="auto"/>
          <w:szCs w:val="27"/>
          <w:highlight w:val="none"/>
        </w:rPr>
      </w:pPr>
      <w:r>
        <w:rPr>
          <w:color w:val="auto"/>
          <w:szCs w:val="27"/>
          <w:highlight w:val="none"/>
        </w:rPr>
        <w:t>（国家或</w:t>
      </w:r>
      <w:r>
        <w:rPr>
          <w:rFonts w:hint="eastAsia"/>
          <w:color w:val="auto"/>
          <w:szCs w:val="27"/>
          <w:highlight w:val="none"/>
        </w:rPr>
        <w:t>行业</w:t>
      </w:r>
      <w:r>
        <w:rPr>
          <w:color w:val="auto"/>
          <w:szCs w:val="27"/>
          <w:highlight w:val="none"/>
        </w:rPr>
        <w:t>主管部门有技术规定的，按技术规定执行；国家与</w:t>
      </w:r>
      <w:r>
        <w:rPr>
          <w:rFonts w:hint="eastAsia"/>
          <w:color w:val="auto"/>
          <w:szCs w:val="27"/>
          <w:highlight w:val="none"/>
        </w:rPr>
        <w:t>行业</w:t>
      </w:r>
      <w:r>
        <w:rPr>
          <w:color w:val="auto"/>
          <w:szCs w:val="27"/>
          <w:highlight w:val="none"/>
        </w:rPr>
        <w:t>主管部门无技术规定的，由甲乙双方商定。）</w:t>
      </w:r>
    </w:p>
    <w:p>
      <w:pPr>
        <w:spacing w:line="360" w:lineRule="auto"/>
        <w:ind w:firstLine="420" w:firstLineChars="200"/>
        <w:rPr>
          <w:color w:val="auto"/>
          <w:highlight w:val="none"/>
        </w:rPr>
      </w:pPr>
      <w:r>
        <w:rPr>
          <w:rFonts w:hint="eastAsia"/>
          <w:color w:val="auto"/>
          <w:szCs w:val="27"/>
          <w:highlight w:val="none"/>
        </w:rPr>
        <w:t>【注：合同中约定的包装标准应与乙方在投标文件中承诺的一致，且投标文件应作为合同附件与合同具有同等法律效力。】</w:t>
      </w:r>
    </w:p>
    <w:p>
      <w:pPr>
        <w:spacing w:line="360" w:lineRule="auto"/>
        <w:ind w:firstLine="422" w:firstLineChars="200"/>
        <w:rPr>
          <w:color w:val="auto"/>
          <w:szCs w:val="27"/>
          <w:highlight w:val="none"/>
        </w:rPr>
      </w:pPr>
      <w:r>
        <w:rPr>
          <w:rFonts w:hint="eastAsia"/>
          <w:b/>
          <w:bCs/>
          <w:color w:val="auto"/>
          <w:szCs w:val="27"/>
          <w:highlight w:val="none"/>
        </w:rPr>
        <w:t xml:space="preserve">第四条  </w:t>
      </w:r>
      <w:r>
        <w:rPr>
          <w:color w:val="auto"/>
          <w:szCs w:val="27"/>
          <w:highlight w:val="none"/>
        </w:rPr>
        <w:t>产品的交货方法、到货地点</w:t>
      </w:r>
      <w:r>
        <w:rPr>
          <w:rFonts w:hint="eastAsia"/>
          <w:color w:val="auto"/>
          <w:szCs w:val="27"/>
          <w:highlight w:val="none"/>
        </w:rPr>
        <w:t>和交货期限</w:t>
      </w:r>
    </w:p>
    <w:p>
      <w:pPr>
        <w:spacing w:line="360" w:lineRule="auto"/>
        <w:ind w:firstLine="420" w:firstLineChars="200"/>
        <w:rPr>
          <w:color w:val="auto"/>
          <w:highlight w:val="none"/>
        </w:rPr>
      </w:pPr>
      <w:r>
        <w:rPr>
          <w:rFonts w:hint="eastAsia"/>
          <w:color w:val="auto"/>
          <w:szCs w:val="27"/>
          <w:highlight w:val="none"/>
        </w:rPr>
        <w:t>1.</w:t>
      </w:r>
      <w:r>
        <w:rPr>
          <w:color w:val="auto"/>
          <w:szCs w:val="27"/>
          <w:highlight w:val="none"/>
        </w:rPr>
        <w:t>交货方法，按下列第（ ）项执行：</w:t>
      </w:r>
    </w:p>
    <w:p>
      <w:pPr>
        <w:spacing w:line="360" w:lineRule="auto"/>
        <w:ind w:firstLine="420" w:firstLineChars="200"/>
        <w:rPr>
          <w:color w:val="auto"/>
          <w:highlight w:val="none"/>
        </w:rPr>
      </w:pPr>
      <w:r>
        <w:rPr>
          <w:rFonts w:hint="eastAsia"/>
          <w:color w:val="auto"/>
          <w:szCs w:val="27"/>
          <w:highlight w:val="none"/>
        </w:rPr>
        <w:t>①</w:t>
      </w:r>
      <w:r>
        <w:rPr>
          <w:color w:val="auto"/>
          <w:szCs w:val="27"/>
          <w:highlight w:val="none"/>
        </w:rPr>
        <w:t>乙方送货</w:t>
      </w:r>
      <w:r>
        <w:rPr>
          <w:rFonts w:hint="eastAsia"/>
          <w:color w:val="auto"/>
          <w:szCs w:val="27"/>
          <w:highlight w:val="none"/>
        </w:rPr>
        <w:t>上门；②</w:t>
      </w:r>
      <w:r>
        <w:rPr>
          <w:color w:val="auto"/>
          <w:szCs w:val="27"/>
          <w:highlight w:val="none"/>
        </w:rPr>
        <w:t>乙方代运；</w:t>
      </w:r>
      <w:r>
        <w:rPr>
          <w:rFonts w:hint="eastAsia"/>
          <w:color w:val="auto"/>
          <w:szCs w:val="27"/>
          <w:highlight w:val="none"/>
        </w:rPr>
        <w:t>③</w:t>
      </w:r>
      <w:r>
        <w:rPr>
          <w:color w:val="auto"/>
          <w:szCs w:val="27"/>
          <w:highlight w:val="none"/>
        </w:rPr>
        <w:t>甲方自提自运。</w:t>
      </w:r>
    </w:p>
    <w:p>
      <w:pPr>
        <w:spacing w:line="360" w:lineRule="auto"/>
        <w:ind w:firstLine="420" w:firstLineChars="200"/>
        <w:rPr>
          <w:color w:val="auto"/>
          <w:szCs w:val="27"/>
          <w:highlight w:val="none"/>
        </w:rPr>
      </w:pPr>
      <w:r>
        <w:rPr>
          <w:rFonts w:hint="eastAsia"/>
          <w:color w:val="auto"/>
          <w:szCs w:val="27"/>
          <w:highlight w:val="none"/>
        </w:rPr>
        <w:t>2.</w:t>
      </w:r>
      <w:r>
        <w:rPr>
          <w:color w:val="auto"/>
          <w:szCs w:val="27"/>
          <w:highlight w:val="none"/>
        </w:rPr>
        <w:t>到货地点</w:t>
      </w:r>
      <w:r>
        <w:rPr>
          <w:rFonts w:hint="eastAsia"/>
          <w:color w:val="auto"/>
          <w:szCs w:val="27"/>
          <w:highlight w:val="none"/>
        </w:rPr>
        <w:t>：</w:t>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u w:val="single"/>
        </w:rPr>
        <w:t xml:space="preserve">                 (</w:t>
      </w:r>
      <w:r>
        <w:rPr>
          <w:rFonts w:hint="eastAsia"/>
          <w:color w:val="auto"/>
          <w:szCs w:val="27"/>
          <w:highlight w:val="none"/>
        </w:rPr>
        <w:t>甲方指定的任何地点，安装并调试.)</w:t>
      </w:r>
    </w:p>
    <w:p>
      <w:pPr>
        <w:spacing w:line="360" w:lineRule="auto"/>
        <w:ind w:firstLine="420" w:firstLineChars="200"/>
        <w:rPr>
          <w:color w:val="auto"/>
          <w:szCs w:val="27"/>
          <w:highlight w:val="none"/>
        </w:rPr>
      </w:pPr>
      <w:r>
        <w:rPr>
          <w:rFonts w:hint="eastAsia"/>
          <w:color w:val="auto"/>
          <w:szCs w:val="27"/>
          <w:highlight w:val="none"/>
        </w:rPr>
        <w:t>3.</w:t>
      </w:r>
      <w:r>
        <w:rPr>
          <w:color w:val="auto"/>
          <w:szCs w:val="27"/>
          <w:highlight w:val="none"/>
        </w:rPr>
        <w:t>产品</w:t>
      </w:r>
      <w:r>
        <w:rPr>
          <w:rFonts w:hint="eastAsia"/>
          <w:color w:val="auto"/>
          <w:szCs w:val="27"/>
          <w:highlight w:val="none"/>
        </w:rPr>
        <w:t>的交货期限</w:t>
      </w:r>
      <w:r>
        <w:rPr>
          <w:color w:val="auto"/>
          <w:szCs w:val="27"/>
          <w:highlight w:val="none"/>
          <w:u w:val="single"/>
        </w:rPr>
        <w:t>                         </w:t>
      </w:r>
      <w:r>
        <w:rPr>
          <w:color w:val="auto"/>
          <w:szCs w:val="27"/>
          <w:highlight w:val="none"/>
        </w:rPr>
        <w:t>。</w:t>
      </w:r>
    </w:p>
    <w:p>
      <w:pPr>
        <w:spacing w:line="360" w:lineRule="auto"/>
        <w:ind w:firstLine="422" w:firstLineChars="200"/>
        <w:rPr>
          <w:color w:val="auto"/>
          <w:szCs w:val="27"/>
          <w:highlight w:val="none"/>
        </w:rPr>
      </w:pPr>
      <w:r>
        <w:rPr>
          <w:rFonts w:hint="eastAsia"/>
          <w:b/>
          <w:bCs/>
          <w:color w:val="auto"/>
          <w:szCs w:val="27"/>
          <w:highlight w:val="none"/>
        </w:rPr>
        <w:t>第五条</w:t>
      </w:r>
      <w:r>
        <w:rPr>
          <w:rFonts w:hint="eastAsia"/>
          <w:color w:val="auto"/>
          <w:szCs w:val="27"/>
          <w:highlight w:val="none"/>
        </w:rPr>
        <w:t xml:space="preserve">  合同总价款</w:t>
      </w:r>
    </w:p>
    <w:p>
      <w:pPr>
        <w:spacing w:line="360" w:lineRule="auto"/>
        <w:ind w:firstLine="420" w:firstLineChars="200"/>
        <w:rPr>
          <w:color w:val="auto"/>
          <w:szCs w:val="27"/>
          <w:highlight w:val="none"/>
          <w:u w:val="single"/>
        </w:rPr>
      </w:pPr>
      <w:r>
        <w:rPr>
          <w:rFonts w:hint="eastAsia"/>
          <w:color w:val="auto"/>
          <w:szCs w:val="27"/>
          <w:highlight w:val="none"/>
        </w:rPr>
        <w:t>合同总价款（大小写）：</w:t>
      </w:r>
      <w:r>
        <w:rPr>
          <w:rFonts w:hint="eastAsia"/>
          <w:color w:val="auto"/>
          <w:szCs w:val="27"/>
          <w:highlight w:val="none"/>
          <w:u w:val="single"/>
        </w:rPr>
        <w:t xml:space="preserve">                        </w:t>
      </w:r>
    </w:p>
    <w:p>
      <w:pPr>
        <w:numPr>
          <w:ilvl w:val="0"/>
          <w:numId w:val="5"/>
        </w:numPr>
        <w:spacing w:line="360" w:lineRule="auto"/>
        <w:ind w:left="0" w:firstLine="420" w:firstLineChars="200"/>
        <w:rPr>
          <w:color w:val="auto"/>
          <w:highlight w:val="none"/>
        </w:rPr>
      </w:pPr>
      <w:r>
        <w:rPr>
          <w:rFonts w:hint="eastAsia"/>
          <w:color w:val="auto"/>
          <w:highlight w:val="none"/>
        </w:rPr>
        <w:t xml:space="preserve">付款条件                  </w:t>
      </w:r>
    </w:p>
    <w:p>
      <w:pPr>
        <w:spacing w:line="360" w:lineRule="auto"/>
        <w:ind w:firstLine="420" w:firstLineChars="200"/>
        <w:rPr>
          <w:color w:val="auto"/>
          <w:highlight w:val="none"/>
        </w:rPr>
      </w:pPr>
      <w:r>
        <w:rPr>
          <w:rFonts w:hint="eastAsia"/>
          <w:color w:val="auto"/>
          <w:highlight w:val="none"/>
        </w:rPr>
        <w:t>本合同以人民币付款。</w:t>
      </w:r>
    </w:p>
    <w:p>
      <w:pPr>
        <w:spacing w:line="360" w:lineRule="auto"/>
        <w:ind w:firstLine="420" w:firstLineChars="200"/>
        <w:rPr>
          <w:color w:val="auto"/>
          <w:highlight w:val="none"/>
        </w:rPr>
      </w:pPr>
      <w:r>
        <w:rPr>
          <w:rFonts w:hint="eastAsia"/>
          <w:color w:val="auto"/>
          <w:highlight w:val="none"/>
        </w:rPr>
        <w:t>该项目是否实行预付款：</w:t>
      </w:r>
    </w:p>
    <w:p>
      <w:pPr>
        <w:spacing w:line="360" w:lineRule="auto"/>
        <w:ind w:firstLine="420" w:firstLineChars="200"/>
        <w:rPr>
          <w:color w:val="auto"/>
          <w:highlight w:val="none"/>
        </w:rPr>
      </w:pPr>
      <w:r>
        <w:rPr>
          <w:rFonts w:hint="eastAsia"/>
          <w:color w:val="auto"/>
          <w:highlight w:val="none"/>
        </w:rPr>
        <w:t>实行预付款的条件和比例：</w:t>
      </w:r>
    </w:p>
    <w:p>
      <w:pPr>
        <w:spacing w:line="360" w:lineRule="auto"/>
        <w:ind w:firstLine="420" w:firstLineChars="200"/>
        <w:rPr>
          <w:color w:val="auto"/>
          <w:highlight w:val="none"/>
        </w:rPr>
      </w:pPr>
      <w:r>
        <w:rPr>
          <w:rFonts w:hint="eastAsia"/>
          <w:color w:val="auto"/>
          <w:highlight w:val="none"/>
        </w:rPr>
        <w:t xml:space="preserve">合同款项结算方式和支付比例：   </w:t>
      </w:r>
    </w:p>
    <w:p>
      <w:pPr>
        <w:spacing w:line="360" w:lineRule="auto"/>
        <w:ind w:firstLine="420" w:firstLineChars="200"/>
        <w:rPr>
          <w:color w:val="auto"/>
          <w:highlight w:val="none"/>
          <w:u w:val="single"/>
        </w:rPr>
      </w:pPr>
      <w:r>
        <w:rPr>
          <w:rFonts w:hint="eastAsia"/>
          <w:color w:val="auto"/>
          <w:highlight w:val="none"/>
        </w:rPr>
        <w:t>(具体付款方式</w:t>
      </w:r>
      <w:r>
        <w:rPr>
          <w:rFonts w:hint="eastAsia"/>
          <w:color w:val="auto"/>
          <w:highlight w:val="none"/>
          <w:u w:val="single"/>
        </w:rPr>
        <w:t>按投标人须知前附表以及采、购双方的具体约定</w:t>
      </w:r>
    </w:p>
    <w:p>
      <w:pPr>
        <w:spacing w:line="360" w:lineRule="auto"/>
        <w:ind w:firstLine="420" w:firstLineChars="200"/>
        <w:rPr>
          <w:color w:val="auto"/>
          <w:szCs w:val="20"/>
          <w:highlight w:val="none"/>
        </w:rPr>
      </w:pPr>
      <w:r>
        <w:rPr>
          <w:rFonts w:hint="eastAsia"/>
          <w:color w:val="auto"/>
          <w:szCs w:val="20"/>
          <w:highlight w:val="none"/>
        </w:rPr>
        <w:t>供应商在响应本项目时，须单独承</w:t>
      </w:r>
      <w:r>
        <w:rPr>
          <w:rFonts w:hint="eastAsia"/>
          <w:color w:val="auto"/>
          <w:sz w:val="2"/>
          <w:szCs w:val="2"/>
          <w:highlight w:val="none"/>
        </w:rPr>
        <w:t>.</w:t>
      </w:r>
      <w:r>
        <w:rPr>
          <w:rFonts w:hint="eastAsia"/>
          <w:color w:val="auto"/>
          <w:szCs w:val="20"/>
          <w:highlight w:val="none"/>
        </w:rPr>
        <w:t>诺：在甲方资金不能及时拨付到位时，乙方不得停止工作。附在响应文件中，否则为不实质招标文件要求。</w:t>
      </w:r>
    </w:p>
    <w:p>
      <w:pPr>
        <w:numPr>
          <w:ilvl w:val="0"/>
          <w:numId w:val="5"/>
        </w:numPr>
        <w:spacing w:line="360" w:lineRule="auto"/>
        <w:ind w:left="0" w:firstLine="420" w:firstLineChars="200"/>
        <w:rPr>
          <w:color w:val="auto"/>
          <w:szCs w:val="27"/>
          <w:highlight w:val="none"/>
        </w:rPr>
      </w:pPr>
      <w:r>
        <w:rPr>
          <w:color w:val="auto"/>
          <w:szCs w:val="27"/>
          <w:highlight w:val="none"/>
        </w:rPr>
        <w:t>验收方法</w:t>
      </w:r>
    </w:p>
    <w:p>
      <w:pPr>
        <w:spacing w:line="360" w:lineRule="auto"/>
        <w:ind w:firstLine="420" w:firstLineChars="200"/>
        <w:rPr>
          <w:color w:val="auto"/>
          <w:szCs w:val="27"/>
          <w:highlight w:val="none"/>
        </w:rPr>
      </w:pPr>
      <w:r>
        <w:rPr>
          <w:rFonts w:hint="eastAsia"/>
          <w:color w:val="auto"/>
          <w:szCs w:val="27"/>
          <w:highlight w:val="none"/>
        </w:rPr>
        <w:t>1.乙方安装调试后，在      天内通知甲方组织验收，采购代理机构保留受托参与本项目验收的权利。验收不合格的，乙方应负责重新提供达到本合同约定的质量要求的产品。</w:t>
      </w:r>
    </w:p>
    <w:p>
      <w:pPr>
        <w:spacing w:line="360" w:lineRule="auto"/>
        <w:ind w:firstLine="420" w:firstLineChars="200"/>
        <w:rPr>
          <w:color w:val="auto"/>
          <w:szCs w:val="27"/>
          <w:highlight w:val="none"/>
        </w:rPr>
      </w:pPr>
      <w:r>
        <w:rPr>
          <w:rFonts w:hint="eastAsia"/>
          <w:color w:val="auto"/>
          <w:szCs w:val="27"/>
          <w:highlight w:val="none"/>
        </w:rPr>
        <w:t>2.甲、乙双方应严格履行合同有关条款，如果验收过程中发现乙方在没有征得采购人同意的情况下擅自变更合同标的物，将拒绝通过验收，由此引起的一切后果及损失由乙方承担。</w:t>
      </w:r>
    </w:p>
    <w:p>
      <w:pPr>
        <w:spacing w:line="360" w:lineRule="auto"/>
        <w:ind w:firstLine="420" w:firstLineChars="200"/>
        <w:rPr>
          <w:color w:val="auto"/>
          <w:szCs w:val="27"/>
          <w:highlight w:val="none"/>
        </w:rPr>
      </w:pPr>
      <w:r>
        <w:rPr>
          <w:rFonts w:hint="eastAsia"/>
          <w:color w:val="auto"/>
          <w:szCs w:val="27"/>
          <w:highlight w:val="none"/>
        </w:rPr>
        <w:t>3.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rPr>
          <w:color w:val="auto"/>
          <w:szCs w:val="27"/>
          <w:highlight w:val="none"/>
        </w:rPr>
      </w:pPr>
      <w:r>
        <w:rPr>
          <w:rFonts w:hint="eastAsia"/>
          <w:color w:val="auto"/>
          <w:szCs w:val="27"/>
          <w:highlight w:val="none"/>
        </w:rPr>
        <w:t>4、甲方视情况可以邀请参加本项目的其他投标人或者第三方机构参与验收，参与验收的投标人或者第三方机构的意见作为验收书的参考资料一并存档。</w:t>
      </w:r>
    </w:p>
    <w:p>
      <w:pPr>
        <w:spacing w:line="360" w:lineRule="auto"/>
        <w:ind w:firstLine="420" w:firstLineChars="200"/>
        <w:rPr>
          <w:color w:val="auto"/>
          <w:szCs w:val="27"/>
          <w:highlight w:val="none"/>
        </w:rPr>
      </w:pPr>
      <w:r>
        <w:rPr>
          <w:rFonts w:hint="eastAsia"/>
          <w:color w:val="auto"/>
          <w:szCs w:val="27"/>
          <w:highlight w:val="none"/>
        </w:rPr>
        <w:t xml:space="preserve">   涉及安全、消防、环保等其他需要由质检或行业主管部门进行验收的项目，必须邀请相关部门或相关专家参与验收。</w:t>
      </w:r>
    </w:p>
    <w:p>
      <w:pPr>
        <w:spacing w:line="360" w:lineRule="auto"/>
        <w:ind w:firstLine="420" w:firstLineChars="200"/>
        <w:rPr>
          <w:color w:val="auto"/>
          <w:szCs w:val="27"/>
          <w:highlight w:val="none"/>
        </w:rPr>
      </w:pPr>
      <w:r>
        <w:rPr>
          <w:rFonts w:hint="eastAsia"/>
          <w:color w:val="auto"/>
          <w:szCs w:val="27"/>
          <w:highlight w:val="none"/>
        </w:rPr>
        <w:t>检测、验收费用承担方式：</w:t>
      </w:r>
    </w:p>
    <w:p>
      <w:pPr>
        <w:spacing w:line="360" w:lineRule="auto"/>
        <w:ind w:firstLine="422" w:firstLineChars="200"/>
        <w:rPr>
          <w:color w:val="auto"/>
          <w:highlight w:val="none"/>
        </w:rPr>
      </w:pPr>
      <w:r>
        <w:rPr>
          <w:b/>
          <w:bCs/>
          <w:color w:val="auto"/>
          <w:szCs w:val="27"/>
          <w:highlight w:val="none"/>
        </w:rPr>
        <w:t>第八条 </w:t>
      </w:r>
      <w:r>
        <w:rPr>
          <w:color w:val="auto"/>
          <w:szCs w:val="27"/>
          <w:highlight w:val="none"/>
        </w:rPr>
        <w:t xml:space="preserve"> 对产品提出异议的时间和办法</w:t>
      </w:r>
    </w:p>
    <w:p>
      <w:pPr>
        <w:spacing w:line="360" w:lineRule="auto"/>
        <w:ind w:firstLine="420" w:firstLineChars="200"/>
        <w:rPr>
          <w:color w:val="auto"/>
          <w:highlight w:val="none"/>
        </w:rPr>
      </w:pPr>
      <w:r>
        <w:rPr>
          <w:rFonts w:hint="eastAsia"/>
          <w:color w:val="auto"/>
          <w:szCs w:val="27"/>
          <w:highlight w:val="none"/>
        </w:rPr>
        <w:t>1.</w:t>
      </w:r>
      <w:r>
        <w:rPr>
          <w:color w:val="auto"/>
          <w:szCs w:val="27"/>
          <w:highlight w:val="none"/>
        </w:rPr>
        <w:t>甲方在验收中，如果发现产品不</w:t>
      </w:r>
      <w:r>
        <w:rPr>
          <w:rFonts w:hint="eastAsia"/>
          <w:color w:val="auto"/>
          <w:szCs w:val="27"/>
          <w:highlight w:val="none"/>
        </w:rPr>
        <w:t>符合合同约定的</w:t>
      </w:r>
      <w:r>
        <w:rPr>
          <w:color w:val="auto"/>
          <w:szCs w:val="27"/>
          <w:highlight w:val="none"/>
        </w:rPr>
        <w:t>，应一面妥为保管，一面在</w:t>
      </w:r>
      <w:r>
        <w:rPr>
          <w:color w:val="auto"/>
          <w:szCs w:val="27"/>
          <w:highlight w:val="none"/>
          <w:u w:val="single"/>
        </w:rPr>
        <w:t xml:space="preserve">         </w:t>
      </w:r>
      <w:r>
        <w:rPr>
          <w:rFonts w:hint="eastAsia"/>
          <w:color w:val="auto"/>
          <w:szCs w:val="27"/>
          <w:highlight w:val="none"/>
        </w:rPr>
        <w:t>工作日</w:t>
      </w:r>
      <w:r>
        <w:rPr>
          <w:color w:val="auto"/>
          <w:szCs w:val="27"/>
          <w:highlight w:val="none"/>
        </w:rPr>
        <w:t>内向乙方</w:t>
      </w:r>
      <w:r>
        <w:rPr>
          <w:rFonts w:hint="eastAsia"/>
          <w:color w:val="auto"/>
          <w:szCs w:val="27"/>
          <w:highlight w:val="none"/>
        </w:rPr>
        <w:t>书面</w:t>
      </w:r>
      <w:r>
        <w:rPr>
          <w:color w:val="auto"/>
          <w:szCs w:val="27"/>
          <w:highlight w:val="none"/>
        </w:rPr>
        <w:t>提出异议</w:t>
      </w:r>
      <w:r>
        <w:rPr>
          <w:rFonts w:hint="eastAsia"/>
          <w:color w:val="auto"/>
          <w:szCs w:val="27"/>
          <w:highlight w:val="none"/>
        </w:rPr>
        <w:t>，并抄送采购代理机构，具体说明产品</w:t>
      </w:r>
      <w:r>
        <w:rPr>
          <w:color w:val="auto"/>
          <w:szCs w:val="27"/>
          <w:highlight w:val="none"/>
        </w:rPr>
        <w:t>不符合规定的</w:t>
      </w:r>
      <w:r>
        <w:rPr>
          <w:rFonts w:hint="eastAsia"/>
          <w:color w:val="auto"/>
          <w:szCs w:val="27"/>
          <w:highlight w:val="none"/>
        </w:rPr>
        <w:t>内容并附相关验收材料，同时</w:t>
      </w:r>
      <w:r>
        <w:rPr>
          <w:color w:val="auto"/>
          <w:szCs w:val="27"/>
          <w:highlight w:val="none"/>
        </w:rPr>
        <w:t>提出不符合规定产品的处理意见。</w:t>
      </w:r>
    </w:p>
    <w:p>
      <w:pPr>
        <w:spacing w:line="360" w:lineRule="auto"/>
        <w:ind w:firstLine="420" w:firstLineChars="200"/>
        <w:rPr>
          <w:color w:val="auto"/>
          <w:highlight w:val="none"/>
        </w:rPr>
      </w:pPr>
      <w:r>
        <w:rPr>
          <w:rFonts w:hint="eastAsia"/>
          <w:color w:val="auto"/>
          <w:szCs w:val="27"/>
          <w:highlight w:val="none"/>
        </w:rPr>
        <w:t>2.</w:t>
      </w:r>
      <w:r>
        <w:rPr>
          <w:color w:val="auto"/>
          <w:szCs w:val="27"/>
          <w:highlight w:val="none"/>
        </w:rPr>
        <w:t>甲方因使用、保管、保养不善等造成产品质量下降的，不得提出异议。</w:t>
      </w:r>
    </w:p>
    <w:p>
      <w:pPr>
        <w:spacing w:line="360" w:lineRule="auto"/>
        <w:ind w:firstLine="420" w:firstLineChars="200"/>
        <w:rPr>
          <w:color w:val="auto"/>
          <w:highlight w:val="none"/>
        </w:rPr>
      </w:pPr>
      <w:r>
        <w:rPr>
          <w:rFonts w:hint="eastAsia"/>
          <w:color w:val="auto"/>
          <w:szCs w:val="27"/>
          <w:highlight w:val="none"/>
        </w:rPr>
        <w:t>3.</w:t>
      </w:r>
      <w:r>
        <w:rPr>
          <w:color w:val="auto"/>
          <w:szCs w:val="27"/>
          <w:highlight w:val="none"/>
        </w:rPr>
        <w:t>乙方在接到</w:t>
      </w:r>
      <w:r>
        <w:rPr>
          <w:rFonts w:hint="eastAsia"/>
          <w:color w:val="auto"/>
          <w:szCs w:val="27"/>
          <w:highlight w:val="none"/>
        </w:rPr>
        <w:t>甲</w:t>
      </w:r>
      <w:r>
        <w:rPr>
          <w:color w:val="auto"/>
          <w:szCs w:val="27"/>
          <w:highlight w:val="none"/>
        </w:rPr>
        <w:t>方异议后，应在</w:t>
      </w:r>
      <w:r>
        <w:rPr>
          <w:rFonts w:hint="eastAsia"/>
          <w:color w:val="auto"/>
          <w:szCs w:val="27"/>
          <w:highlight w:val="none"/>
        </w:rPr>
        <w:t xml:space="preserve"> </w:t>
      </w:r>
      <w:r>
        <w:rPr>
          <w:color w:val="auto"/>
          <w:szCs w:val="27"/>
          <w:highlight w:val="none"/>
          <w:u w:val="single"/>
        </w:rPr>
        <w:t xml:space="preserve">       </w:t>
      </w:r>
      <w:r>
        <w:rPr>
          <w:rFonts w:hint="eastAsia"/>
          <w:color w:val="auto"/>
          <w:szCs w:val="27"/>
          <w:highlight w:val="none"/>
        </w:rPr>
        <w:t xml:space="preserve"> 工作日</w:t>
      </w:r>
      <w:r>
        <w:rPr>
          <w:color w:val="auto"/>
          <w:szCs w:val="27"/>
          <w:highlight w:val="none"/>
        </w:rPr>
        <w:t>内负责处理，否则，即视为默认甲方提出的异议和处理意见。</w:t>
      </w:r>
    </w:p>
    <w:p>
      <w:pPr>
        <w:spacing w:line="360" w:lineRule="auto"/>
        <w:ind w:firstLine="422" w:firstLineChars="200"/>
        <w:rPr>
          <w:color w:val="auto"/>
          <w:szCs w:val="27"/>
          <w:highlight w:val="none"/>
        </w:rPr>
      </w:pPr>
      <w:r>
        <w:rPr>
          <w:rFonts w:hint="eastAsia"/>
          <w:b/>
          <w:bCs/>
          <w:color w:val="auto"/>
          <w:szCs w:val="27"/>
          <w:highlight w:val="none"/>
        </w:rPr>
        <w:t>第九条</w:t>
      </w:r>
      <w:r>
        <w:rPr>
          <w:rFonts w:hint="eastAsia"/>
          <w:color w:val="auto"/>
          <w:szCs w:val="27"/>
          <w:highlight w:val="none"/>
        </w:rPr>
        <w:t xml:space="preserve">  乙方应提供完善周到的技术支持和售后服务，否则甲方视情节轻重从乙方的质量保证金中扣除部分或全部补偿甲方。</w:t>
      </w:r>
    </w:p>
    <w:p>
      <w:pPr>
        <w:spacing w:line="360" w:lineRule="auto"/>
        <w:ind w:firstLine="420" w:firstLineChars="200"/>
        <w:rPr>
          <w:color w:val="auto"/>
          <w:szCs w:val="27"/>
          <w:highlight w:val="none"/>
        </w:rPr>
      </w:pPr>
      <w:r>
        <w:rPr>
          <w:rFonts w:hint="eastAsia"/>
          <w:color w:val="auto"/>
          <w:szCs w:val="27"/>
          <w:highlight w:val="none"/>
        </w:rPr>
        <w:t>1.保修</w:t>
      </w:r>
    </w:p>
    <w:p>
      <w:pPr>
        <w:spacing w:line="360" w:lineRule="auto"/>
        <w:ind w:firstLine="420" w:firstLineChars="200"/>
        <w:rPr>
          <w:color w:val="auto"/>
          <w:szCs w:val="27"/>
          <w:highlight w:val="none"/>
        </w:rPr>
      </w:pPr>
      <w:r>
        <w:rPr>
          <w:rFonts w:hint="eastAsia"/>
          <w:color w:val="auto"/>
          <w:szCs w:val="27"/>
          <w:highlight w:val="none"/>
        </w:rPr>
        <w:t>乙方对其所提供的货物免费保修</w:t>
      </w:r>
      <w:r>
        <w:rPr>
          <w:rFonts w:hint="eastAsia"/>
          <w:color w:val="auto"/>
          <w:szCs w:val="27"/>
          <w:highlight w:val="none"/>
          <w:u w:val="single"/>
        </w:rPr>
        <w:t xml:space="preserve">      </w:t>
      </w:r>
      <w:r>
        <w:rPr>
          <w:rFonts w:hint="eastAsia"/>
          <w:color w:val="auto"/>
          <w:szCs w:val="27"/>
          <w:highlight w:val="none"/>
        </w:rPr>
        <w:t>年，保修期从</w:t>
      </w:r>
      <w:r>
        <w:rPr>
          <w:rFonts w:hint="eastAsia"/>
          <w:color w:val="auto"/>
          <w:szCs w:val="27"/>
          <w:highlight w:val="none"/>
          <w:u w:val="single"/>
        </w:rPr>
        <w:t xml:space="preserve">             </w:t>
      </w:r>
      <w:r>
        <w:rPr>
          <w:rFonts w:hint="eastAsia"/>
          <w:color w:val="auto"/>
          <w:szCs w:val="27"/>
          <w:highlight w:val="none"/>
        </w:rPr>
        <w:t>开始。乙方应在接到报修通知后</w:t>
      </w:r>
      <w:r>
        <w:rPr>
          <w:rFonts w:hint="eastAsia"/>
          <w:color w:val="auto"/>
          <w:szCs w:val="27"/>
          <w:highlight w:val="none"/>
          <w:u w:val="single"/>
        </w:rPr>
        <w:t xml:space="preserve">      </w:t>
      </w:r>
      <w:r>
        <w:rPr>
          <w:rFonts w:hint="eastAsia"/>
          <w:color w:val="auto"/>
          <w:szCs w:val="27"/>
          <w:highlight w:val="none"/>
        </w:rPr>
        <w:t>天内上门维修，负责更换有瑕疵的货物、部件或提供相应的质量保证期内的服务。由此造成的损失，甲方保留索赔的权利。</w:t>
      </w:r>
    </w:p>
    <w:p>
      <w:pPr>
        <w:spacing w:line="360" w:lineRule="auto"/>
        <w:ind w:firstLine="420" w:firstLineChars="200"/>
        <w:rPr>
          <w:color w:val="auto"/>
          <w:szCs w:val="27"/>
          <w:highlight w:val="none"/>
        </w:rPr>
      </w:pPr>
      <w:r>
        <w:rPr>
          <w:rFonts w:hint="eastAsia"/>
          <w:color w:val="auto"/>
          <w:szCs w:val="27"/>
          <w:highlight w:val="none"/>
        </w:rPr>
        <w:t>如果乙方在收到报修通知后</w:t>
      </w:r>
      <w:r>
        <w:rPr>
          <w:rFonts w:hint="eastAsia"/>
          <w:color w:val="auto"/>
          <w:szCs w:val="27"/>
          <w:highlight w:val="none"/>
          <w:u w:val="single"/>
        </w:rPr>
        <w:t xml:space="preserve">      </w:t>
      </w:r>
      <w:r>
        <w:rPr>
          <w:rFonts w:hint="eastAsia"/>
          <w:color w:val="auto"/>
          <w:szCs w:val="27"/>
          <w:highlight w:val="none"/>
        </w:rPr>
        <w:t>天内没有弥补缺陷，甲方可采取必要的补救措施，但费用和风险由乙方承担。</w:t>
      </w:r>
    </w:p>
    <w:p>
      <w:pPr>
        <w:spacing w:line="360" w:lineRule="auto"/>
        <w:ind w:firstLine="420" w:firstLineChars="200"/>
        <w:rPr>
          <w:color w:val="auto"/>
          <w:szCs w:val="27"/>
          <w:highlight w:val="none"/>
        </w:rPr>
      </w:pPr>
      <w:r>
        <w:rPr>
          <w:rFonts w:hint="eastAsia"/>
          <w:color w:val="auto"/>
          <w:szCs w:val="27"/>
          <w:highlight w:val="none"/>
        </w:rPr>
        <w:t>2.维修</w:t>
      </w:r>
    </w:p>
    <w:p>
      <w:pPr>
        <w:pStyle w:val="16"/>
        <w:spacing w:line="360" w:lineRule="auto"/>
        <w:ind w:firstLine="420" w:firstLineChars="200"/>
        <w:rPr>
          <w:color w:val="auto"/>
          <w:szCs w:val="27"/>
          <w:highlight w:val="none"/>
        </w:rPr>
      </w:pPr>
      <w:r>
        <w:rPr>
          <w:rFonts w:hint="eastAsia"/>
          <w:color w:val="auto"/>
          <w:szCs w:val="27"/>
          <w:highlight w:val="none"/>
        </w:rPr>
        <w:t>保修期届满后，乙方应对其提供的货物负有维修义务，但所涉及的费用由甲方承担。</w:t>
      </w:r>
    </w:p>
    <w:p>
      <w:pPr>
        <w:spacing w:line="360" w:lineRule="auto"/>
        <w:ind w:firstLine="422" w:firstLineChars="200"/>
        <w:rPr>
          <w:color w:val="auto"/>
          <w:highlight w:val="none"/>
        </w:rPr>
      </w:pPr>
      <w:r>
        <w:rPr>
          <w:b/>
          <w:bCs/>
          <w:color w:val="auto"/>
          <w:szCs w:val="27"/>
          <w:highlight w:val="none"/>
        </w:rPr>
        <w:t>第</w:t>
      </w:r>
      <w:r>
        <w:rPr>
          <w:rFonts w:hint="eastAsia"/>
          <w:b/>
          <w:bCs/>
          <w:color w:val="auto"/>
          <w:szCs w:val="27"/>
          <w:highlight w:val="none"/>
        </w:rPr>
        <w:t>十</w:t>
      </w:r>
      <w:r>
        <w:rPr>
          <w:b/>
          <w:bCs/>
          <w:color w:val="auto"/>
          <w:szCs w:val="27"/>
          <w:highlight w:val="none"/>
        </w:rPr>
        <w:t>条</w:t>
      </w:r>
      <w:r>
        <w:rPr>
          <w:color w:val="auto"/>
          <w:szCs w:val="27"/>
          <w:highlight w:val="none"/>
        </w:rPr>
        <w:t>  乙方的违约责任</w:t>
      </w:r>
    </w:p>
    <w:p>
      <w:pPr>
        <w:spacing w:line="360" w:lineRule="auto"/>
        <w:ind w:firstLine="420" w:firstLineChars="200"/>
        <w:rPr>
          <w:color w:val="auto"/>
          <w:highlight w:val="none"/>
        </w:rPr>
      </w:pPr>
      <w:r>
        <w:rPr>
          <w:color w:val="auto"/>
          <w:szCs w:val="27"/>
          <w:highlight w:val="none"/>
        </w:rPr>
        <w:t>1.乙方不能交货的，应向甲方偿付不能交货部分货款的</w:t>
      </w:r>
      <w:r>
        <w:rPr>
          <w:color w:val="auto"/>
          <w:szCs w:val="27"/>
          <w:highlight w:val="none"/>
          <w:u w:val="single"/>
        </w:rPr>
        <w:t>      %</w:t>
      </w:r>
      <w:r>
        <w:rPr>
          <w:color w:val="auto"/>
          <w:szCs w:val="27"/>
          <w:highlight w:val="none"/>
        </w:rPr>
        <w:t>（通用产品的幅度为</w:t>
      </w:r>
      <w:r>
        <w:rPr>
          <w:rFonts w:hint="eastAsia"/>
          <w:color w:val="auto"/>
          <w:szCs w:val="27"/>
          <w:highlight w:val="none"/>
        </w:rPr>
        <w:t>1%－5%</w:t>
      </w:r>
      <w:r>
        <w:rPr>
          <w:color w:val="auto"/>
          <w:szCs w:val="27"/>
          <w:highlight w:val="none"/>
        </w:rPr>
        <w:t>，专用产品的幅度为</w:t>
      </w:r>
      <w:r>
        <w:rPr>
          <w:rFonts w:hint="eastAsia"/>
          <w:color w:val="auto"/>
          <w:szCs w:val="27"/>
          <w:highlight w:val="none"/>
        </w:rPr>
        <w:t>10%－30%</w:t>
      </w:r>
      <w:r>
        <w:rPr>
          <w:color w:val="auto"/>
          <w:szCs w:val="27"/>
          <w:highlight w:val="none"/>
        </w:rPr>
        <w:t>）的违约金。</w:t>
      </w:r>
    </w:p>
    <w:p>
      <w:pPr>
        <w:spacing w:line="360" w:lineRule="auto"/>
        <w:ind w:firstLine="420" w:firstLineChars="200"/>
        <w:rPr>
          <w:color w:val="auto"/>
          <w:szCs w:val="27"/>
          <w:highlight w:val="none"/>
        </w:rPr>
      </w:pPr>
      <w:r>
        <w:rPr>
          <w:rFonts w:hint="eastAsia"/>
          <w:color w:val="auto"/>
          <w:szCs w:val="27"/>
          <w:highlight w:val="none"/>
        </w:rPr>
        <w:t>2.</w:t>
      </w:r>
      <w:r>
        <w:rPr>
          <w:color w:val="auto"/>
          <w:szCs w:val="27"/>
          <w:highlight w:val="none"/>
        </w:rPr>
        <w:t>乙方所交产品不符合合同规定的，如果甲方同意利用，应当按质论价；如果甲方不能利用的，应根据产品的具体情况，由乙方负责包换</w:t>
      </w:r>
      <w:r>
        <w:rPr>
          <w:rFonts w:hint="eastAsia"/>
          <w:color w:val="auto"/>
          <w:szCs w:val="27"/>
          <w:highlight w:val="none"/>
        </w:rPr>
        <w:t>或</w:t>
      </w:r>
      <w:r>
        <w:rPr>
          <w:color w:val="auto"/>
          <w:szCs w:val="27"/>
          <w:highlight w:val="none"/>
        </w:rPr>
        <w:t>退货，并承担调换或退货而支付的实际费用,</w:t>
      </w:r>
      <w:r>
        <w:rPr>
          <w:rFonts w:hint="eastAsia"/>
          <w:color w:val="auto"/>
          <w:highlight w:val="none"/>
        </w:rPr>
        <w:t>同时，乙方应按规定，对更换件相应延长质量保</w:t>
      </w:r>
      <w:r>
        <w:rPr>
          <w:rFonts w:hint="eastAsia"/>
          <w:color w:val="auto"/>
          <w:sz w:val="2"/>
          <w:szCs w:val="2"/>
          <w:highlight w:val="none"/>
        </w:rPr>
        <w:t xml:space="preserve"> </w:t>
      </w:r>
      <w:r>
        <w:rPr>
          <w:rFonts w:hint="eastAsia"/>
          <w:color w:val="auto"/>
          <w:highlight w:val="none"/>
        </w:rPr>
        <w:t>证期，并赔偿甲方相应的损失。</w:t>
      </w:r>
      <w:r>
        <w:rPr>
          <w:color w:val="auto"/>
          <w:szCs w:val="27"/>
          <w:highlight w:val="none"/>
        </w:rPr>
        <w:t>乙方不能调换的，按不能交货处理。</w:t>
      </w:r>
      <w:r>
        <w:rPr>
          <w:rFonts w:hint="eastAsia"/>
          <w:color w:val="auto"/>
          <w:szCs w:val="27"/>
          <w:highlight w:val="none"/>
        </w:rPr>
        <w:t>供应商在响应文件中需对上述单独做出保</w:t>
      </w:r>
      <w:r>
        <w:rPr>
          <w:rFonts w:hint="eastAsia"/>
          <w:color w:val="auto"/>
          <w:sz w:val="2"/>
          <w:szCs w:val="2"/>
          <w:highlight w:val="none"/>
        </w:rPr>
        <w:t>.</w:t>
      </w:r>
      <w:r>
        <w:rPr>
          <w:rFonts w:hint="eastAsia"/>
          <w:color w:val="auto"/>
          <w:szCs w:val="27"/>
          <w:highlight w:val="none"/>
        </w:rPr>
        <w:t>证，并附到响应文件中；</w:t>
      </w:r>
      <w:r>
        <w:rPr>
          <w:color w:val="auto"/>
          <w:szCs w:val="27"/>
          <w:highlight w:val="none"/>
        </w:rPr>
        <w:t xml:space="preserve"> </w:t>
      </w:r>
    </w:p>
    <w:p>
      <w:pPr>
        <w:spacing w:line="360" w:lineRule="auto"/>
        <w:ind w:firstLine="420" w:firstLineChars="200"/>
        <w:rPr>
          <w:color w:val="auto"/>
          <w:highlight w:val="none"/>
        </w:rPr>
      </w:pPr>
      <w:r>
        <w:rPr>
          <w:rFonts w:hint="eastAsia"/>
          <w:color w:val="auto"/>
          <w:szCs w:val="27"/>
          <w:highlight w:val="none"/>
        </w:rPr>
        <w:t>3.</w:t>
      </w:r>
      <w:r>
        <w:rPr>
          <w:color w:val="auto"/>
          <w:szCs w:val="27"/>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w:t>
      </w:r>
      <w:r>
        <w:rPr>
          <w:rFonts w:hint="eastAsia"/>
          <w:color w:val="auto"/>
          <w:highlight w:val="none"/>
        </w:rPr>
        <w:t>每件货物包装箱内应附一份详细装箱单和质量证书。为进口件的，应出具报关手续和原产地、原产工厂证明、报关手续和商检证明等。</w:t>
      </w:r>
    </w:p>
    <w:p>
      <w:pPr>
        <w:spacing w:line="360" w:lineRule="auto"/>
        <w:ind w:firstLine="420" w:firstLineChars="200"/>
        <w:rPr>
          <w:color w:val="auto"/>
          <w:szCs w:val="27"/>
          <w:highlight w:val="none"/>
        </w:rPr>
      </w:pPr>
      <w:r>
        <w:rPr>
          <w:rFonts w:hint="eastAsia"/>
          <w:color w:val="auto"/>
          <w:szCs w:val="27"/>
          <w:highlight w:val="none"/>
        </w:rPr>
        <w:t>4.</w:t>
      </w:r>
      <w:r>
        <w:rPr>
          <w:rFonts w:hint="eastAsia"/>
          <w:color w:val="auto"/>
          <w:highlight w:val="none"/>
        </w:rPr>
        <w:t>如果乙方没有按照规定的时间交货、完成货物安装和提供服务，应向甲方支付违约金，违约金从货款中扣除，按每周迟交货物或未提供服务交货价的0.5%计收。但违约金的最高限额为迟交货物或提供服务合同价的5%。一周按7天计算，不足7天按一周计算。如果达到最高限额，甲方应考虑终止合同，</w:t>
      </w:r>
      <w:r>
        <w:rPr>
          <w:rFonts w:hint="eastAsia"/>
          <w:color w:val="auto"/>
          <w:szCs w:val="27"/>
          <w:highlight w:val="none"/>
        </w:rPr>
        <w:t>由此给甲方造成的损失由乙方承担</w:t>
      </w:r>
      <w:r>
        <w:rPr>
          <w:color w:val="auto"/>
          <w:szCs w:val="27"/>
          <w:highlight w:val="none"/>
        </w:rPr>
        <w:t>。</w:t>
      </w:r>
      <w:r>
        <w:rPr>
          <w:rFonts w:hint="eastAsia"/>
          <w:color w:val="auto"/>
          <w:szCs w:val="27"/>
          <w:highlight w:val="none"/>
        </w:rPr>
        <w:t>供应商在响应文件中需对上述单独做出保</w:t>
      </w:r>
      <w:r>
        <w:rPr>
          <w:rFonts w:hint="eastAsia"/>
          <w:color w:val="auto"/>
          <w:sz w:val="2"/>
          <w:szCs w:val="2"/>
          <w:highlight w:val="none"/>
        </w:rPr>
        <w:t>.</w:t>
      </w:r>
      <w:r>
        <w:rPr>
          <w:rFonts w:hint="eastAsia"/>
          <w:color w:val="auto"/>
          <w:szCs w:val="27"/>
          <w:highlight w:val="none"/>
        </w:rPr>
        <w:t>证，并附到响应文件中；</w:t>
      </w:r>
    </w:p>
    <w:p>
      <w:pPr>
        <w:spacing w:line="360" w:lineRule="auto"/>
        <w:ind w:firstLine="420" w:firstLineChars="200"/>
        <w:rPr>
          <w:color w:val="auto"/>
          <w:szCs w:val="27"/>
          <w:highlight w:val="none"/>
        </w:rPr>
      </w:pPr>
      <w:r>
        <w:rPr>
          <w:rFonts w:hint="eastAsia"/>
          <w:color w:val="auto"/>
          <w:szCs w:val="27"/>
          <w:highlight w:val="none"/>
        </w:rPr>
        <w:t>5.</w:t>
      </w:r>
      <w:r>
        <w:rPr>
          <w:color w:val="auto"/>
          <w:szCs w:val="27"/>
          <w:highlight w:val="none"/>
        </w:rPr>
        <w:t>乙方提前交货的产品、多交的产品和不符合合同规定的产品，甲方在代保管期内实际支付的保管、保养等费用以及非因甲方保管不善而发生的损失，应当由乙方承担。</w:t>
      </w:r>
    </w:p>
    <w:p>
      <w:pPr>
        <w:spacing w:line="360" w:lineRule="auto"/>
        <w:ind w:firstLine="420" w:firstLineChars="200"/>
        <w:rPr>
          <w:color w:val="auto"/>
          <w:szCs w:val="27"/>
          <w:highlight w:val="none"/>
        </w:rPr>
      </w:pPr>
      <w:r>
        <w:rPr>
          <w:rFonts w:hint="eastAsia"/>
          <w:color w:val="auto"/>
          <w:szCs w:val="27"/>
          <w:highlight w:val="none"/>
        </w:rPr>
        <w:t>6.</w:t>
      </w:r>
      <w:r>
        <w:rPr>
          <w:rFonts w:hint="eastAsia"/>
          <w:color w:val="auto"/>
          <w:highlight w:val="none"/>
        </w:rPr>
        <w:t xml:space="preserve"> </w:t>
      </w:r>
      <w:r>
        <w:rPr>
          <w:rFonts w:hint="eastAsia"/>
          <w:color w:val="auto"/>
          <w:szCs w:val="27"/>
          <w:highlight w:val="none"/>
        </w:rPr>
        <w:t>乙方应在响应文件中书面保证对其所提供的货物承担所有权担保责任，并应保证甲方在中华人民共和国内使用该货物时不侵犯第三人的知识产权。否则乙方应承担由此引起的一切法律责任及费用。</w:t>
      </w:r>
    </w:p>
    <w:p>
      <w:pPr>
        <w:spacing w:line="360" w:lineRule="auto"/>
        <w:ind w:firstLine="420" w:firstLineChars="200"/>
        <w:rPr>
          <w:color w:val="auto"/>
          <w:szCs w:val="27"/>
          <w:highlight w:val="none"/>
        </w:rPr>
      </w:pPr>
      <w:r>
        <w:rPr>
          <w:color w:val="auto"/>
          <w:szCs w:val="27"/>
          <w:highlight w:val="none"/>
        </w:rPr>
        <w:t>7.</w:t>
      </w:r>
      <w:r>
        <w:rPr>
          <w:rFonts w:hint="eastAsia"/>
          <w:color w:val="auto"/>
          <w:szCs w:val="27"/>
          <w:highlight w:val="none"/>
        </w:rPr>
        <w:t>供应商须保证，采购人在中华人民共和国境内使用投标货物、资料、技术、服务或其任何一部分时，享有不受限制的无偿使用权，不会产生因第三方提出侵犯其专利权、商标权或其它知识产权而引起的法律或经济纠纷。</w:t>
      </w:r>
    </w:p>
    <w:p>
      <w:pPr>
        <w:spacing w:line="360" w:lineRule="auto"/>
        <w:ind w:firstLine="420" w:firstLineChars="200"/>
        <w:rPr>
          <w:color w:val="auto"/>
          <w:highlight w:val="none"/>
        </w:rPr>
      </w:pPr>
      <w:r>
        <w:rPr>
          <w:color w:val="auto"/>
          <w:szCs w:val="27"/>
          <w:highlight w:val="none"/>
        </w:rPr>
        <w:t>8.</w:t>
      </w:r>
      <w:r>
        <w:rPr>
          <w:rFonts w:hint="eastAsia"/>
          <w:color w:val="auto"/>
          <w:szCs w:val="27"/>
          <w:highlight w:val="none"/>
        </w:rPr>
        <w:t>任何一方未经对方同意而单方面终止合同的，应向对方赔偿相当于本合同总价款</w:t>
      </w:r>
      <w:r>
        <w:rPr>
          <w:rFonts w:hint="eastAsia"/>
          <w:color w:val="auto"/>
          <w:szCs w:val="27"/>
          <w:highlight w:val="none"/>
          <w:u w:val="single"/>
        </w:rPr>
        <w:t xml:space="preserve">      %</w:t>
      </w:r>
      <w:r>
        <w:rPr>
          <w:rFonts w:hint="eastAsia"/>
          <w:color w:val="auto"/>
          <w:szCs w:val="27"/>
          <w:highlight w:val="none"/>
        </w:rPr>
        <w:t>违约金。</w:t>
      </w:r>
    </w:p>
    <w:p>
      <w:pPr>
        <w:spacing w:line="360" w:lineRule="auto"/>
        <w:ind w:firstLine="422" w:firstLineChars="200"/>
        <w:rPr>
          <w:color w:val="auto"/>
          <w:highlight w:val="none"/>
        </w:rPr>
      </w:pPr>
      <w:r>
        <w:rPr>
          <w:b/>
          <w:bCs/>
          <w:color w:val="auto"/>
          <w:szCs w:val="27"/>
          <w:highlight w:val="none"/>
        </w:rPr>
        <w:t>第十</w:t>
      </w:r>
      <w:r>
        <w:rPr>
          <w:rFonts w:hint="eastAsia"/>
          <w:b/>
          <w:bCs/>
          <w:color w:val="auto"/>
          <w:szCs w:val="27"/>
          <w:highlight w:val="none"/>
        </w:rPr>
        <w:t>一</w:t>
      </w:r>
      <w:r>
        <w:rPr>
          <w:b/>
          <w:bCs/>
          <w:color w:val="auto"/>
          <w:szCs w:val="27"/>
          <w:highlight w:val="none"/>
        </w:rPr>
        <w:t>条</w:t>
      </w:r>
      <w:r>
        <w:rPr>
          <w:color w:val="auto"/>
          <w:szCs w:val="27"/>
          <w:highlight w:val="none"/>
        </w:rPr>
        <w:t>  甲方的违约责任</w:t>
      </w:r>
    </w:p>
    <w:p>
      <w:pPr>
        <w:spacing w:line="360" w:lineRule="auto"/>
        <w:ind w:firstLine="420" w:firstLineChars="200"/>
        <w:rPr>
          <w:color w:val="auto"/>
          <w:highlight w:val="none"/>
        </w:rPr>
      </w:pPr>
      <w:r>
        <w:rPr>
          <w:rFonts w:hint="eastAsia"/>
          <w:color w:val="auto"/>
          <w:szCs w:val="27"/>
          <w:highlight w:val="none"/>
        </w:rPr>
        <w:t>1.</w:t>
      </w:r>
      <w:r>
        <w:rPr>
          <w:color w:val="auto"/>
          <w:szCs w:val="27"/>
          <w:highlight w:val="none"/>
        </w:rPr>
        <w:t>甲方中途退货，应向乙方偿付退货部分货款</w:t>
      </w:r>
      <w:r>
        <w:rPr>
          <w:rFonts w:hint="eastAsia"/>
          <w:color w:val="auto"/>
          <w:szCs w:val="27"/>
          <w:highlight w:val="none"/>
          <w:u w:val="single"/>
        </w:rPr>
        <w:t xml:space="preserve">             </w:t>
      </w:r>
      <w:r>
        <w:rPr>
          <w:rFonts w:hint="eastAsia"/>
          <w:color w:val="auto"/>
          <w:szCs w:val="27"/>
          <w:highlight w:val="none"/>
        </w:rPr>
        <w:t>%</w:t>
      </w:r>
      <w:r>
        <w:rPr>
          <w:color w:val="auto"/>
          <w:szCs w:val="27"/>
          <w:highlight w:val="none"/>
        </w:rPr>
        <w:t>（通用产品的幅度为1%</w:t>
      </w:r>
      <w:r>
        <w:rPr>
          <w:rFonts w:hint="eastAsia"/>
          <w:color w:val="auto"/>
          <w:szCs w:val="27"/>
          <w:highlight w:val="none"/>
        </w:rPr>
        <w:t>~5%</w:t>
      </w:r>
      <w:r>
        <w:rPr>
          <w:color w:val="auto"/>
          <w:szCs w:val="27"/>
          <w:highlight w:val="none"/>
        </w:rPr>
        <w:t>专用产品的幅度为</w:t>
      </w:r>
      <w:r>
        <w:rPr>
          <w:rFonts w:hint="eastAsia"/>
          <w:color w:val="auto"/>
          <w:szCs w:val="27"/>
          <w:highlight w:val="none"/>
        </w:rPr>
        <w:t>15%-30%</w:t>
      </w:r>
      <w:r>
        <w:rPr>
          <w:color w:val="auto"/>
          <w:szCs w:val="27"/>
          <w:highlight w:val="none"/>
        </w:rPr>
        <w:t>）的违约金。</w:t>
      </w:r>
    </w:p>
    <w:p>
      <w:pPr>
        <w:spacing w:line="360" w:lineRule="auto"/>
        <w:ind w:firstLine="420" w:firstLineChars="200"/>
        <w:rPr>
          <w:color w:val="auto"/>
          <w:szCs w:val="27"/>
          <w:highlight w:val="none"/>
        </w:rPr>
      </w:pPr>
      <w:r>
        <w:rPr>
          <w:rFonts w:hint="eastAsia"/>
          <w:color w:val="auto"/>
          <w:szCs w:val="27"/>
          <w:highlight w:val="none"/>
        </w:rPr>
        <w:t>2.</w:t>
      </w:r>
      <w:r>
        <w:rPr>
          <w:color w:val="auto"/>
          <w:szCs w:val="27"/>
          <w:highlight w:val="none"/>
        </w:rPr>
        <w:t>甲方违反合同规定拒绝接货的，应当承担由此造成的损失。</w:t>
      </w:r>
    </w:p>
    <w:p>
      <w:pPr>
        <w:spacing w:line="360" w:lineRule="auto"/>
        <w:ind w:firstLine="420" w:firstLineChars="200"/>
        <w:rPr>
          <w:color w:val="auto"/>
          <w:szCs w:val="27"/>
          <w:highlight w:val="none"/>
          <w:u w:val="single"/>
        </w:rPr>
      </w:pPr>
      <w:r>
        <w:rPr>
          <w:rFonts w:hint="eastAsia"/>
          <w:color w:val="auto"/>
          <w:szCs w:val="27"/>
          <w:highlight w:val="none"/>
        </w:rPr>
        <w:t>3.</w:t>
      </w:r>
      <w:r>
        <w:rPr>
          <w:color w:val="auto"/>
          <w:szCs w:val="27"/>
          <w:highlight w:val="none"/>
        </w:rPr>
        <w:t xml:space="preserve"> 甲方未按照合同约定支付货款，应向乙方</w:t>
      </w:r>
      <w:r>
        <w:rPr>
          <w:rFonts w:hint="eastAsia"/>
          <w:color w:val="auto"/>
          <w:szCs w:val="27"/>
          <w:highlight w:val="none"/>
        </w:rPr>
        <w:t>违约金</w:t>
      </w:r>
      <w:r>
        <w:rPr>
          <w:rFonts w:hint="eastAsia"/>
          <w:color w:val="auto"/>
          <w:szCs w:val="27"/>
          <w:highlight w:val="none"/>
          <w:u w:val="single"/>
        </w:rPr>
        <w:t xml:space="preserve">   </w:t>
      </w:r>
      <w:r>
        <w:rPr>
          <w:rFonts w:hint="eastAsia"/>
          <w:color w:val="auto"/>
          <w:szCs w:val="27"/>
          <w:highlight w:val="none"/>
        </w:rPr>
        <w:t>元。</w:t>
      </w:r>
    </w:p>
    <w:p>
      <w:pPr>
        <w:spacing w:line="360" w:lineRule="auto"/>
        <w:ind w:firstLine="422" w:firstLineChars="200"/>
        <w:rPr>
          <w:b/>
          <w:color w:val="auto"/>
          <w:highlight w:val="none"/>
        </w:rPr>
      </w:pPr>
      <w:r>
        <w:rPr>
          <w:b/>
          <w:bCs/>
          <w:color w:val="auto"/>
          <w:szCs w:val="27"/>
          <w:highlight w:val="none"/>
        </w:rPr>
        <w:t>第十</w:t>
      </w:r>
      <w:r>
        <w:rPr>
          <w:rFonts w:hint="eastAsia"/>
          <w:b/>
          <w:bCs/>
          <w:color w:val="auto"/>
          <w:szCs w:val="27"/>
          <w:highlight w:val="none"/>
        </w:rPr>
        <w:t>二</w:t>
      </w:r>
      <w:r>
        <w:rPr>
          <w:b/>
          <w:bCs/>
          <w:color w:val="auto"/>
          <w:szCs w:val="27"/>
          <w:highlight w:val="none"/>
        </w:rPr>
        <w:t>条 </w:t>
      </w:r>
      <w:r>
        <w:rPr>
          <w:color w:val="auto"/>
          <w:szCs w:val="27"/>
          <w:highlight w:val="none"/>
        </w:rPr>
        <w:t xml:space="preserve"> 不可抗力</w:t>
      </w:r>
    </w:p>
    <w:p>
      <w:pPr>
        <w:spacing w:line="360" w:lineRule="auto"/>
        <w:ind w:firstLine="420" w:firstLineChars="200"/>
        <w:rPr>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rPr>
          <w:color w:val="auto"/>
          <w:szCs w:val="27"/>
          <w:highlight w:val="none"/>
        </w:rPr>
      </w:pPr>
      <w:r>
        <w:rPr>
          <w:rFonts w:hint="eastAsia"/>
          <w:color w:val="auto"/>
          <w:highlight w:val="none"/>
        </w:rPr>
        <w:t>2</w:t>
      </w:r>
      <w:r>
        <w:rPr>
          <w:rFonts w:hint="eastAsia"/>
          <w:color w:val="auto"/>
          <w:szCs w:val="27"/>
          <w:highlight w:val="none"/>
        </w:rPr>
        <w:t>.</w:t>
      </w:r>
      <w:r>
        <w:rPr>
          <w:color w:val="auto"/>
          <w:szCs w:val="27"/>
          <w:highlight w:val="none"/>
        </w:rPr>
        <w:t>甲乙双方的任何一方由于不可抗力的原因不能履行合同时，应及时向对方通报不能履行或不能完全履行的理由，在取得有关</w:t>
      </w:r>
      <w:r>
        <w:rPr>
          <w:rFonts w:hint="eastAsia"/>
          <w:color w:val="auto"/>
          <w:szCs w:val="27"/>
          <w:highlight w:val="none"/>
        </w:rPr>
        <w:t>部门</w:t>
      </w:r>
      <w:r>
        <w:rPr>
          <w:color w:val="auto"/>
          <w:szCs w:val="27"/>
          <w:highlight w:val="none"/>
        </w:rPr>
        <w:t>证明以后，允许延期履行、部分履行或者不履行合同，并根据情况可部分或全部免予承担违约责任。</w:t>
      </w:r>
    </w:p>
    <w:p>
      <w:pPr>
        <w:spacing w:line="360" w:lineRule="auto"/>
        <w:ind w:firstLine="422" w:firstLineChars="200"/>
        <w:rPr>
          <w:b/>
          <w:bCs/>
          <w:color w:val="auto"/>
          <w:szCs w:val="27"/>
          <w:highlight w:val="none"/>
        </w:rPr>
      </w:pPr>
      <w:r>
        <w:rPr>
          <w:b/>
          <w:bCs/>
          <w:color w:val="auto"/>
          <w:szCs w:val="27"/>
          <w:highlight w:val="none"/>
        </w:rPr>
        <w:t>第十</w:t>
      </w:r>
      <w:r>
        <w:rPr>
          <w:rFonts w:hint="eastAsia"/>
          <w:b/>
          <w:bCs/>
          <w:color w:val="auto"/>
          <w:szCs w:val="27"/>
          <w:highlight w:val="none"/>
        </w:rPr>
        <w:t>三</w:t>
      </w:r>
      <w:r>
        <w:rPr>
          <w:b/>
          <w:bCs/>
          <w:color w:val="auto"/>
          <w:szCs w:val="27"/>
          <w:highlight w:val="none"/>
        </w:rPr>
        <w:t>条</w:t>
      </w:r>
      <w:r>
        <w:rPr>
          <w:rFonts w:hint="eastAsia"/>
          <w:b/>
          <w:bCs/>
          <w:color w:val="auto"/>
          <w:szCs w:val="27"/>
          <w:highlight w:val="none"/>
        </w:rPr>
        <w:t xml:space="preserve">  </w:t>
      </w:r>
      <w:r>
        <w:rPr>
          <w:rFonts w:hint="eastAsia"/>
          <w:color w:val="auto"/>
          <w:szCs w:val="27"/>
          <w:highlight w:val="none"/>
        </w:rPr>
        <w:t>履约（或质量）保证金</w:t>
      </w:r>
    </w:p>
    <w:p>
      <w:pPr>
        <w:spacing w:line="360" w:lineRule="auto"/>
        <w:ind w:firstLine="420" w:firstLineChars="200"/>
        <w:rPr>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本项目不收取</w:t>
      </w:r>
      <w:r>
        <w:rPr>
          <w:rFonts w:hint="eastAsia"/>
          <w:color w:val="auto"/>
          <w:szCs w:val="27"/>
          <w:highlight w:val="none"/>
        </w:rPr>
        <w:t>履约保证金</w:t>
      </w:r>
      <w:r>
        <w:rPr>
          <w:rFonts w:hint="eastAsia"/>
          <w:color w:val="auto"/>
          <w:highlight w:val="none"/>
        </w:rPr>
        <w:t>。</w:t>
      </w:r>
      <w:r>
        <w:rPr>
          <w:rFonts w:hint="eastAsia"/>
          <w:color w:val="auto"/>
          <w:szCs w:val="27"/>
          <w:highlight w:val="none"/>
        </w:rPr>
        <w:t>确需收取履约保证金的，</w:t>
      </w:r>
      <w:r>
        <w:rPr>
          <w:rFonts w:hint="eastAsia"/>
          <w:color w:val="auto"/>
          <w:highlight w:val="none"/>
        </w:rPr>
        <w:t>甲方不得要求乙方以现款的形式提供。乙方提供的履约保证金按规定格式以银行保函形式提供，与此有关的费用由卖方承担。</w:t>
      </w:r>
    </w:p>
    <w:p>
      <w:pPr>
        <w:spacing w:line="360" w:lineRule="auto"/>
        <w:ind w:firstLine="420" w:firstLineChars="200"/>
        <w:rPr>
          <w:color w:val="auto"/>
          <w:highlight w:val="none"/>
        </w:rPr>
      </w:pPr>
      <w:r>
        <w:rPr>
          <w:rFonts w:hint="eastAsia"/>
          <w:color w:val="auto"/>
          <w:highlight w:val="none"/>
        </w:rPr>
        <w:t>2</w:t>
      </w:r>
      <w:r>
        <w:rPr>
          <w:rFonts w:hint="eastAsia"/>
          <w:color w:val="auto"/>
          <w:szCs w:val="27"/>
          <w:highlight w:val="none"/>
        </w:rPr>
        <w:t>.</w:t>
      </w:r>
      <w:r>
        <w:rPr>
          <w:rFonts w:hint="eastAsia"/>
          <w:color w:val="auto"/>
          <w:highlight w:val="none"/>
        </w:rPr>
        <w:t>若确需质量保证金的，质量保证金不得超过合同总价款的5%。</w:t>
      </w:r>
    </w:p>
    <w:p>
      <w:pPr>
        <w:pStyle w:val="66"/>
        <w:spacing w:line="360" w:lineRule="auto"/>
        <w:ind w:firstLine="420" w:firstLineChars="200"/>
        <w:rPr>
          <w:rFonts w:ascii="Times New Roman" w:hAnsi="Times New Roman"/>
          <w:color w:val="auto"/>
          <w:sz w:val="21"/>
          <w:szCs w:val="24"/>
          <w:highlight w:val="none"/>
        </w:rPr>
      </w:pPr>
      <w:r>
        <w:rPr>
          <w:rFonts w:hint="eastAsia" w:ascii="Times New Roman" w:hAnsi="Times New Roman"/>
          <w:color w:val="auto"/>
          <w:sz w:val="21"/>
          <w:szCs w:val="24"/>
          <w:highlight w:val="none"/>
        </w:rPr>
        <w:t>3.如乙方未能履行其合同规定的任何义务，甲方有权从履约保证金中取得补偿。</w:t>
      </w:r>
    </w:p>
    <w:p>
      <w:pPr>
        <w:spacing w:line="360" w:lineRule="auto"/>
        <w:ind w:firstLine="422" w:firstLineChars="200"/>
        <w:rPr>
          <w:b/>
          <w:color w:val="auto"/>
          <w:highlight w:val="none"/>
        </w:rPr>
      </w:pPr>
      <w:r>
        <w:rPr>
          <w:b/>
          <w:bCs/>
          <w:color w:val="auto"/>
          <w:szCs w:val="27"/>
          <w:highlight w:val="none"/>
        </w:rPr>
        <w:t>第十</w:t>
      </w:r>
      <w:r>
        <w:rPr>
          <w:rFonts w:hint="eastAsia"/>
          <w:b/>
          <w:bCs/>
          <w:color w:val="auto"/>
          <w:szCs w:val="27"/>
          <w:highlight w:val="none"/>
        </w:rPr>
        <w:t>四</w:t>
      </w:r>
      <w:r>
        <w:rPr>
          <w:b/>
          <w:bCs/>
          <w:color w:val="auto"/>
          <w:szCs w:val="27"/>
          <w:highlight w:val="none"/>
        </w:rPr>
        <w:t>条</w:t>
      </w:r>
      <w:r>
        <w:rPr>
          <w:rFonts w:hint="eastAsia"/>
          <w:b/>
          <w:bCs/>
          <w:color w:val="auto"/>
          <w:szCs w:val="27"/>
          <w:highlight w:val="none"/>
        </w:rPr>
        <w:t xml:space="preserve"> </w:t>
      </w:r>
      <w:r>
        <w:rPr>
          <w:rFonts w:hint="eastAsia"/>
          <w:bCs/>
          <w:color w:val="auto"/>
          <w:highlight w:val="none"/>
        </w:rPr>
        <w:t>转让与分包</w:t>
      </w:r>
    </w:p>
    <w:p>
      <w:pPr>
        <w:spacing w:line="360" w:lineRule="auto"/>
        <w:ind w:firstLine="420" w:firstLineChars="200"/>
        <w:rPr>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除甲方事先书面同意外，乙方不得部分转让或全部转让其应履行的合同义务。</w:t>
      </w:r>
    </w:p>
    <w:p>
      <w:pPr>
        <w:spacing w:line="360" w:lineRule="auto"/>
        <w:ind w:firstLine="420" w:firstLineChars="200"/>
        <w:rPr>
          <w:color w:val="auto"/>
          <w:highlight w:val="none"/>
        </w:rPr>
      </w:pPr>
      <w:r>
        <w:rPr>
          <w:rFonts w:hint="eastAsia"/>
          <w:color w:val="auto"/>
          <w:highlight w:val="none"/>
        </w:rPr>
        <w:t>2.合同未约定或者未经采购人同意，供应商需保证不得向他人转让中标项目，也不得将中标项目肢解后分别向他人转让。</w:t>
      </w:r>
    </w:p>
    <w:p>
      <w:pPr>
        <w:spacing w:line="360" w:lineRule="auto"/>
        <w:ind w:firstLine="420" w:firstLineChars="200"/>
        <w:rPr>
          <w:color w:val="auto"/>
          <w:highlight w:val="none"/>
        </w:rPr>
      </w:pPr>
      <w:r>
        <w:rPr>
          <w:color w:val="auto"/>
          <w:highlight w:val="none"/>
        </w:rPr>
        <w:t>3</w:t>
      </w:r>
      <w:r>
        <w:rPr>
          <w:rFonts w:hint="eastAsia"/>
          <w:color w:val="auto"/>
          <w:szCs w:val="27"/>
          <w:highlight w:val="none"/>
        </w:rPr>
        <w:t>.</w:t>
      </w:r>
      <w:r>
        <w:rPr>
          <w:rFonts w:hint="eastAsia"/>
          <w:color w:val="auto"/>
          <w:highlight w:val="none"/>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0" w:firstLineChars="200"/>
        <w:rPr>
          <w:color w:val="auto"/>
          <w:highlight w:val="none"/>
        </w:rPr>
      </w:pPr>
      <w:r>
        <w:rPr>
          <w:color w:val="auto"/>
          <w:highlight w:val="none"/>
        </w:rPr>
        <w:t>4</w:t>
      </w:r>
      <w:r>
        <w:rPr>
          <w:rFonts w:hint="eastAsia"/>
          <w:color w:val="auto"/>
          <w:highlight w:val="none"/>
        </w:rPr>
        <w:t>. 供应商需在响应文件中出具保证书，保证本项目不挂靠、不转包、不违法分包，一旦发现挂靠、转包、违法分包等情形，甲方有权解除合同，且供应商承诺自愿接受甲方的经济处罚及其他处罚。</w:t>
      </w:r>
    </w:p>
    <w:p>
      <w:pPr>
        <w:spacing w:line="360" w:lineRule="auto"/>
        <w:ind w:firstLine="422" w:firstLineChars="200"/>
        <w:rPr>
          <w:b/>
          <w:color w:val="auto"/>
          <w:highlight w:val="none"/>
        </w:rPr>
      </w:pPr>
      <w:r>
        <w:rPr>
          <w:b/>
          <w:bCs/>
          <w:color w:val="auto"/>
          <w:szCs w:val="27"/>
          <w:highlight w:val="none"/>
        </w:rPr>
        <w:t>第十</w:t>
      </w:r>
      <w:r>
        <w:rPr>
          <w:rFonts w:hint="eastAsia"/>
          <w:b/>
          <w:bCs/>
          <w:color w:val="auto"/>
          <w:szCs w:val="27"/>
          <w:highlight w:val="none"/>
        </w:rPr>
        <w:t>五</w:t>
      </w:r>
      <w:r>
        <w:rPr>
          <w:b/>
          <w:bCs/>
          <w:color w:val="auto"/>
          <w:szCs w:val="27"/>
          <w:highlight w:val="none"/>
        </w:rPr>
        <w:t>条</w:t>
      </w:r>
      <w:r>
        <w:rPr>
          <w:rFonts w:hint="eastAsia"/>
          <w:b/>
          <w:bCs/>
          <w:color w:val="auto"/>
          <w:szCs w:val="27"/>
          <w:highlight w:val="none"/>
        </w:rPr>
        <w:t xml:space="preserve"> </w:t>
      </w:r>
      <w:r>
        <w:rPr>
          <w:rFonts w:hint="eastAsia"/>
          <w:bCs/>
          <w:color w:val="auto"/>
          <w:highlight w:val="none"/>
        </w:rPr>
        <w:t>合同文件及资料的使用</w:t>
      </w:r>
    </w:p>
    <w:p>
      <w:pPr>
        <w:spacing w:line="360" w:lineRule="auto"/>
        <w:ind w:left="210" w:leftChars="100" w:firstLine="210" w:firstLineChars="100"/>
        <w:rPr>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乙方在未经甲方同意的情况下，不得将合同、合同中的规定、有关计划、图纸、样本或甲方为上述内容向乙方提供的资料透露给任何人。供应商在响应文件中需对上述单独做出保</w:t>
      </w:r>
      <w:r>
        <w:rPr>
          <w:rFonts w:hint="eastAsia"/>
          <w:color w:val="auto"/>
          <w:sz w:val="2"/>
          <w:szCs w:val="2"/>
          <w:highlight w:val="none"/>
        </w:rPr>
        <w:t>.</w:t>
      </w:r>
      <w:r>
        <w:rPr>
          <w:rFonts w:hint="eastAsia"/>
          <w:color w:val="auto"/>
          <w:highlight w:val="none"/>
        </w:rPr>
        <w:t>证，并附到响应文件中；</w:t>
      </w:r>
    </w:p>
    <w:p>
      <w:pPr>
        <w:spacing w:line="360" w:lineRule="auto"/>
        <w:ind w:firstLine="420" w:firstLineChars="200"/>
        <w:rPr>
          <w:color w:val="auto"/>
          <w:highlight w:val="none"/>
        </w:rPr>
      </w:pPr>
      <w:r>
        <w:rPr>
          <w:rFonts w:hint="eastAsia"/>
          <w:color w:val="auto"/>
          <w:highlight w:val="none"/>
        </w:rPr>
        <w:t>2</w:t>
      </w:r>
      <w:r>
        <w:rPr>
          <w:rFonts w:hint="eastAsia"/>
          <w:color w:val="auto"/>
          <w:szCs w:val="27"/>
          <w:highlight w:val="none"/>
        </w:rPr>
        <w:t>.</w:t>
      </w:r>
      <w:r>
        <w:rPr>
          <w:rFonts w:hint="eastAsia"/>
          <w:color w:val="auto"/>
          <w:highlight w:val="none"/>
        </w:rPr>
        <w:t>除非执行合同需要，在事先未得到甲方同意的情况下，乙方不得使用前款所列的任何文件和资料。</w:t>
      </w:r>
    </w:p>
    <w:p>
      <w:pPr>
        <w:spacing w:line="360" w:lineRule="auto"/>
        <w:ind w:firstLine="422" w:firstLineChars="200"/>
        <w:rPr>
          <w:color w:val="auto"/>
          <w:szCs w:val="27"/>
          <w:highlight w:val="none"/>
        </w:rPr>
      </w:pPr>
      <w:r>
        <w:rPr>
          <w:b/>
          <w:bCs/>
          <w:color w:val="auto"/>
          <w:szCs w:val="27"/>
          <w:highlight w:val="none"/>
        </w:rPr>
        <w:t>第十</w:t>
      </w:r>
      <w:r>
        <w:rPr>
          <w:rFonts w:hint="eastAsia"/>
          <w:b/>
          <w:bCs/>
          <w:color w:val="auto"/>
          <w:szCs w:val="27"/>
          <w:highlight w:val="none"/>
        </w:rPr>
        <w:t>六</w:t>
      </w:r>
      <w:r>
        <w:rPr>
          <w:b/>
          <w:bCs/>
          <w:color w:val="auto"/>
          <w:szCs w:val="27"/>
          <w:highlight w:val="none"/>
        </w:rPr>
        <w:t>条 </w:t>
      </w:r>
      <w:r>
        <w:rPr>
          <w:rFonts w:hint="eastAsia"/>
          <w:color w:val="auto"/>
          <w:szCs w:val="27"/>
          <w:highlight w:val="none"/>
        </w:rPr>
        <w:t>合同纠纷调处</w:t>
      </w:r>
    </w:p>
    <w:p>
      <w:pPr>
        <w:spacing w:line="360" w:lineRule="auto"/>
        <w:ind w:firstLine="420" w:firstLineChars="200"/>
        <w:rPr>
          <w:color w:val="auto"/>
          <w:highlight w:val="none"/>
        </w:rPr>
      </w:pPr>
      <w:r>
        <w:rPr>
          <w:rFonts w:hint="eastAsia"/>
          <w:color w:val="auto"/>
          <w:highlight w:val="none"/>
        </w:rPr>
        <w:t>1</w:t>
      </w:r>
      <w:r>
        <w:rPr>
          <w:rFonts w:hint="eastAsia"/>
          <w:color w:val="auto"/>
          <w:szCs w:val="27"/>
          <w:highlight w:val="none"/>
        </w:rPr>
        <w:t>.</w:t>
      </w:r>
      <w:r>
        <w:rPr>
          <w:color w:val="auto"/>
          <w:szCs w:val="27"/>
          <w:highlight w:val="none"/>
        </w:rPr>
        <w:t>按本合同规定应该偿付的违约金、赔偿金、保管保养费和各种经济损失，应当在明确责任后</w:t>
      </w:r>
      <w:r>
        <w:rPr>
          <w:rFonts w:hint="eastAsia"/>
          <w:color w:val="auto"/>
          <w:szCs w:val="27"/>
          <w:highlight w:val="none"/>
        </w:rPr>
        <w:t>10</w:t>
      </w:r>
      <w:r>
        <w:rPr>
          <w:color w:val="auto"/>
          <w:szCs w:val="27"/>
          <w:highlight w:val="none"/>
        </w:rPr>
        <w:t>天内，按银行规定的结算办法付清，否则按逾期付款处理。但任何一方不得自行扣发货物或扣付货款来充抵。</w:t>
      </w:r>
    </w:p>
    <w:p>
      <w:pPr>
        <w:spacing w:line="360" w:lineRule="auto"/>
        <w:ind w:firstLine="420" w:firstLineChars="200"/>
        <w:rPr>
          <w:color w:val="auto"/>
          <w:szCs w:val="27"/>
          <w:highlight w:val="none"/>
        </w:rPr>
      </w:pPr>
      <w:r>
        <w:rPr>
          <w:rFonts w:hint="eastAsia"/>
          <w:color w:val="auto"/>
          <w:highlight w:val="none"/>
        </w:rPr>
        <w:t>2</w:t>
      </w:r>
      <w:r>
        <w:rPr>
          <w:rFonts w:hint="eastAsia"/>
          <w:color w:val="auto"/>
          <w:szCs w:val="27"/>
          <w:highlight w:val="none"/>
        </w:rPr>
        <w:t>.</w:t>
      </w:r>
      <w:r>
        <w:rPr>
          <w:color w:val="auto"/>
          <w:szCs w:val="27"/>
          <w:highlight w:val="none"/>
        </w:rPr>
        <w:t>本合同如发生纠纷，当事人双方应当及时协商解决，协商不成时，任何一方均可请</w:t>
      </w:r>
      <w:r>
        <w:rPr>
          <w:rFonts w:hint="eastAsia"/>
          <w:color w:val="auto"/>
          <w:szCs w:val="27"/>
          <w:highlight w:val="none"/>
        </w:rPr>
        <w:t>本项目政府采购监督管理部门</w:t>
      </w:r>
      <w:r>
        <w:rPr>
          <w:color w:val="auto"/>
          <w:szCs w:val="27"/>
          <w:highlight w:val="none"/>
        </w:rPr>
        <w:t>调解，调解不成，按以下第（</w:t>
      </w:r>
      <w:r>
        <w:rPr>
          <w:rFonts w:hint="eastAsia"/>
          <w:color w:val="auto"/>
          <w:szCs w:val="27"/>
          <w:highlight w:val="none"/>
        </w:rPr>
        <w:t xml:space="preserve"> </w:t>
      </w:r>
      <w:r>
        <w:rPr>
          <w:color w:val="auto"/>
          <w:szCs w:val="27"/>
          <w:highlight w:val="none"/>
        </w:rPr>
        <w:t>）项方式处理：</w:t>
      </w:r>
      <w:r>
        <w:rPr>
          <w:rFonts w:hint="eastAsia"/>
          <w:color w:val="auto"/>
          <w:szCs w:val="27"/>
          <w:highlight w:val="none"/>
        </w:rPr>
        <w:t>①根据《中华人民共和国仲裁法》的规定向</w:t>
      </w:r>
      <w:r>
        <w:rPr>
          <w:rFonts w:hint="eastAsia"/>
          <w:b/>
          <w:bCs/>
          <w:color w:val="auto"/>
          <w:szCs w:val="27"/>
          <w:highlight w:val="none"/>
          <w:u w:val="single"/>
        </w:rPr>
        <w:t>周口仲裁委员会</w:t>
      </w:r>
      <w:r>
        <w:rPr>
          <w:rFonts w:hint="eastAsia"/>
          <w:color w:val="auto"/>
          <w:szCs w:val="27"/>
          <w:highlight w:val="none"/>
        </w:rPr>
        <w:t>申请仲裁。②</w:t>
      </w:r>
      <w:r>
        <w:rPr>
          <w:color w:val="auto"/>
          <w:szCs w:val="27"/>
          <w:highlight w:val="none"/>
        </w:rPr>
        <w:t>向</w:t>
      </w:r>
      <w:r>
        <w:rPr>
          <w:rFonts w:hint="eastAsia"/>
          <w:color w:val="auto"/>
          <w:highlight w:val="none"/>
        </w:rPr>
        <w:t>合同签订地有级别管辖权的</w:t>
      </w:r>
      <w:r>
        <w:rPr>
          <w:color w:val="auto"/>
          <w:szCs w:val="27"/>
          <w:highlight w:val="none"/>
        </w:rPr>
        <w:t>人民法院起诉。</w:t>
      </w:r>
    </w:p>
    <w:p>
      <w:pPr>
        <w:pStyle w:val="87"/>
        <w:spacing w:beforeLines="0" w:afterLines="0"/>
        <w:ind w:left="0" w:firstLine="420" w:firstLineChars="200"/>
        <w:rPr>
          <w:color w:val="auto"/>
          <w:highlight w:val="none"/>
        </w:rPr>
      </w:pPr>
      <w:r>
        <w:rPr>
          <w:rFonts w:hint="eastAsia"/>
          <w:color w:val="auto"/>
          <w:szCs w:val="27"/>
          <w:highlight w:val="none"/>
        </w:rPr>
        <w:t>3、甲、乙双方均有权利向本项目具有监管职能的政府采购监督管理部门举报反映对方在合同履约中的违法违纪行为。</w:t>
      </w:r>
    </w:p>
    <w:p>
      <w:pPr>
        <w:spacing w:line="360" w:lineRule="auto"/>
        <w:ind w:firstLine="422" w:firstLineChars="200"/>
        <w:rPr>
          <w:color w:val="auto"/>
          <w:szCs w:val="27"/>
          <w:highlight w:val="none"/>
        </w:rPr>
      </w:pPr>
      <w:r>
        <w:rPr>
          <w:rFonts w:hint="eastAsia"/>
          <w:b/>
          <w:bCs/>
          <w:color w:val="auto"/>
          <w:szCs w:val="27"/>
          <w:highlight w:val="none"/>
        </w:rPr>
        <w:t xml:space="preserve">第十七条  </w:t>
      </w:r>
      <w:r>
        <w:rPr>
          <w:rFonts w:hint="eastAsia"/>
          <w:color w:val="auto"/>
          <w:szCs w:val="27"/>
          <w:highlight w:val="none"/>
        </w:rPr>
        <w:t>下列关于周口市公共资源交易中心政府采购代理机构名称</w:t>
      </w:r>
      <w:r>
        <w:rPr>
          <w:rFonts w:hint="eastAsia"/>
          <w:color w:val="auto"/>
          <w:szCs w:val="27"/>
          <w:highlight w:val="none"/>
          <w:u w:val="single"/>
        </w:rPr>
        <w:t>某项目（项目编号：某编号）</w:t>
      </w:r>
      <w:r>
        <w:rPr>
          <w:rFonts w:hint="eastAsia"/>
          <w:color w:val="auto"/>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rPr>
          <w:color w:val="auto"/>
          <w:highlight w:val="none"/>
        </w:rPr>
      </w:pPr>
      <w:r>
        <w:rPr>
          <w:rFonts w:hint="eastAsia"/>
          <w:color w:val="auto"/>
          <w:szCs w:val="27"/>
          <w:highlight w:val="none"/>
        </w:rPr>
        <w:t xml:space="preserve">    </w:t>
      </w:r>
      <w:r>
        <w:rPr>
          <w:rFonts w:hint="eastAsia"/>
          <w:color w:val="auto"/>
          <w:highlight w:val="none"/>
        </w:rPr>
        <w:t>本合同一式</w:t>
      </w:r>
      <w:r>
        <w:rPr>
          <w:rFonts w:hint="eastAsia"/>
          <w:color w:val="auto"/>
          <w:highlight w:val="none"/>
          <w:u w:val="single"/>
        </w:rPr>
        <w:t xml:space="preserve">   </w:t>
      </w:r>
      <w:r>
        <w:rPr>
          <w:rFonts w:hint="eastAsia"/>
          <w:color w:val="auto"/>
          <w:highlight w:val="none"/>
        </w:rPr>
        <w:t>份，甲乙双方各执</w:t>
      </w:r>
      <w:r>
        <w:rPr>
          <w:rFonts w:hint="eastAsia"/>
          <w:color w:val="auto"/>
          <w:highlight w:val="none"/>
          <w:u w:val="single"/>
        </w:rPr>
        <w:t xml:space="preserve">   </w:t>
      </w:r>
      <w:r>
        <w:rPr>
          <w:rFonts w:hint="eastAsia"/>
          <w:color w:val="auto"/>
          <w:highlight w:val="none"/>
        </w:rPr>
        <w:t>份，交周口市公共资源交易中心政府采购中心审核备案后，采购中心留存</w:t>
      </w:r>
      <w:r>
        <w:rPr>
          <w:rFonts w:hint="eastAsia"/>
          <w:color w:val="auto"/>
          <w:highlight w:val="none"/>
          <w:u w:val="single"/>
        </w:rPr>
        <w:t xml:space="preserve">   </w:t>
      </w:r>
      <w:r>
        <w:rPr>
          <w:rFonts w:hint="eastAsia"/>
          <w:color w:val="auto"/>
          <w:highlight w:val="none"/>
        </w:rPr>
        <w:t>份，自双方当事人签字盖章之日起生效。</w:t>
      </w:r>
    </w:p>
    <w:p>
      <w:pPr>
        <w:pStyle w:val="2"/>
        <w:ind w:firstLine="210"/>
        <w:rPr>
          <w:color w:val="auto"/>
          <w:highlight w:val="none"/>
        </w:rPr>
      </w:pPr>
    </w:p>
    <w:p>
      <w:pPr>
        <w:pStyle w:val="2"/>
        <w:ind w:firstLine="210"/>
        <w:rPr>
          <w:color w:val="auto"/>
          <w:highlight w:val="none"/>
        </w:rPr>
      </w:pPr>
    </w:p>
    <w:p>
      <w:pPr>
        <w:spacing w:line="360" w:lineRule="auto"/>
        <w:ind w:firstLine="420" w:firstLineChars="200"/>
        <w:rPr>
          <w:color w:val="auto"/>
          <w:szCs w:val="27"/>
          <w:highlight w:val="none"/>
        </w:rPr>
      </w:pPr>
    </w:p>
    <w:p>
      <w:pPr>
        <w:spacing w:line="360" w:lineRule="auto"/>
        <w:ind w:firstLine="420" w:firstLineChars="200"/>
        <w:rPr>
          <w:color w:val="auto"/>
          <w:szCs w:val="27"/>
          <w:highlight w:val="none"/>
        </w:rPr>
      </w:pPr>
    </w:p>
    <w:p>
      <w:pPr>
        <w:spacing w:line="360" w:lineRule="auto"/>
        <w:ind w:firstLine="420" w:firstLineChars="200"/>
        <w:rPr>
          <w:color w:val="auto"/>
          <w:szCs w:val="27"/>
          <w:highlight w:val="none"/>
        </w:rPr>
      </w:pPr>
      <w:r>
        <w:rPr>
          <w:rFonts w:hint="eastAsia"/>
          <w:color w:val="auto"/>
          <w:szCs w:val="27"/>
          <w:highlight w:val="none"/>
        </w:rPr>
        <w:t>采购人</w:t>
      </w:r>
      <w:r>
        <w:rPr>
          <w:color w:val="auto"/>
          <w:szCs w:val="27"/>
          <w:highlight w:val="none"/>
        </w:rPr>
        <w:t>（甲方）：</w:t>
      </w:r>
      <w:r>
        <w:rPr>
          <w:rFonts w:hint="eastAsia"/>
          <w:color w:val="auto"/>
          <w:szCs w:val="27"/>
          <w:highlight w:val="none"/>
        </w:rPr>
        <w:t xml:space="preserve">    </w:t>
      </w:r>
      <w:r>
        <w:rPr>
          <w:color w:val="auto"/>
          <w:szCs w:val="27"/>
          <w:highlight w:val="none"/>
        </w:rPr>
        <w:t>（公章）</w:t>
      </w:r>
      <w:r>
        <w:rPr>
          <w:rFonts w:hint="eastAsia"/>
          <w:color w:val="auto"/>
          <w:szCs w:val="27"/>
          <w:highlight w:val="none"/>
        </w:rPr>
        <w:t xml:space="preserve">        </w:t>
      </w:r>
      <w:r>
        <w:rPr>
          <w:color w:val="auto"/>
          <w:szCs w:val="27"/>
          <w:highlight w:val="none"/>
        </w:rPr>
        <w:t> </w:t>
      </w:r>
      <w:r>
        <w:rPr>
          <w:rFonts w:hint="eastAsia"/>
          <w:color w:val="auto"/>
          <w:szCs w:val="27"/>
          <w:highlight w:val="none"/>
        </w:rPr>
        <w:t xml:space="preserve">  </w:t>
      </w:r>
      <w:r>
        <w:rPr>
          <w:color w:val="auto"/>
          <w:szCs w:val="27"/>
          <w:highlight w:val="none"/>
        </w:rPr>
        <w:t>供货</w:t>
      </w:r>
      <w:r>
        <w:rPr>
          <w:rFonts w:hint="eastAsia"/>
          <w:color w:val="auto"/>
          <w:szCs w:val="27"/>
          <w:highlight w:val="none"/>
        </w:rPr>
        <w:t>人</w:t>
      </w:r>
      <w:r>
        <w:rPr>
          <w:color w:val="auto"/>
          <w:szCs w:val="27"/>
          <w:highlight w:val="none"/>
        </w:rPr>
        <w:t>（乙方）：</w:t>
      </w:r>
      <w:r>
        <w:rPr>
          <w:rFonts w:hint="eastAsia"/>
          <w:color w:val="auto"/>
          <w:szCs w:val="27"/>
          <w:highlight w:val="none"/>
        </w:rPr>
        <w:t xml:space="preserve">     </w:t>
      </w:r>
      <w:r>
        <w:rPr>
          <w:color w:val="auto"/>
          <w:szCs w:val="27"/>
          <w:highlight w:val="none"/>
        </w:rPr>
        <w:t>（公章）</w:t>
      </w:r>
      <w:r>
        <w:rPr>
          <w:rFonts w:hint="eastAsia"/>
          <w:color w:val="auto"/>
          <w:szCs w:val="27"/>
          <w:highlight w:val="none"/>
        </w:rPr>
        <w:t xml:space="preserve">  </w:t>
      </w:r>
    </w:p>
    <w:p>
      <w:pPr>
        <w:spacing w:line="360" w:lineRule="auto"/>
        <w:ind w:firstLine="420" w:firstLineChars="200"/>
        <w:rPr>
          <w:color w:val="auto"/>
          <w:highlight w:val="none"/>
        </w:rPr>
      </w:pPr>
      <w:r>
        <w:rPr>
          <w:rFonts w:hint="eastAsia"/>
          <w:color w:val="auto"/>
          <w:szCs w:val="27"/>
          <w:highlight w:val="none"/>
        </w:rPr>
        <w:t xml:space="preserve">地址：                               </w:t>
      </w:r>
      <w:r>
        <w:rPr>
          <w:color w:val="auto"/>
          <w:szCs w:val="27"/>
          <w:highlight w:val="none"/>
        </w:rPr>
        <w:t>地址：</w:t>
      </w:r>
    </w:p>
    <w:p>
      <w:pPr>
        <w:spacing w:line="360" w:lineRule="auto"/>
        <w:ind w:firstLine="420" w:firstLineChars="200"/>
        <w:rPr>
          <w:color w:val="auto"/>
          <w:szCs w:val="27"/>
          <w:highlight w:val="none"/>
        </w:rPr>
      </w:pPr>
      <w:r>
        <w:rPr>
          <w:color w:val="auto"/>
          <w:szCs w:val="27"/>
          <w:highlight w:val="none"/>
        </w:rPr>
        <w:t>法定代表人：</w:t>
      </w:r>
      <w:r>
        <w:rPr>
          <w:rFonts w:hint="eastAsia"/>
          <w:color w:val="auto"/>
          <w:szCs w:val="27"/>
          <w:highlight w:val="none"/>
        </w:rPr>
        <w:t xml:space="preserve">                         </w:t>
      </w:r>
      <w:r>
        <w:rPr>
          <w:color w:val="auto"/>
          <w:szCs w:val="27"/>
          <w:highlight w:val="none"/>
        </w:rPr>
        <w:t>法定代表人：</w:t>
      </w:r>
    </w:p>
    <w:p>
      <w:pPr>
        <w:spacing w:line="360" w:lineRule="auto"/>
        <w:ind w:firstLine="420" w:firstLineChars="200"/>
        <w:rPr>
          <w:color w:val="auto"/>
          <w:highlight w:val="none"/>
          <w:u w:val="single"/>
        </w:rPr>
      </w:pPr>
      <w:r>
        <w:rPr>
          <w:rFonts w:hint="eastAsia"/>
          <w:color w:val="auto"/>
          <w:szCs w:val="27"/>
          <w:highlight w:val="none"/>
        </w:rPr>
        <w:t>委托代理人：                         委托代理人：</w:t>
      </w:r>
    </w:p>
    <w:p>
      <w:pPr>
        <w:spacing w:line="360" w:lineRule="auto"/>
        <w:ind w:firstLine="420" w:firstLineChars="200"/>
        <w:rPr>
          <w:color w:val="auto"/>
          <w:highlight w:val="none"/>
        </w:rPr>
      </w:pPr>
      <w:r>
        <w:rPr>
          <w:rFonts w:hint="eastAsia"/>
          <w:color w:val="auto"/>
          <w:highlight w:val="none"/>
        </w:rPr>
        <w:t>电话：                               电话：</w:t>
      </w:r>
    </w:p>
    <w:p>
      <w:pPr>
        <w:spacing w:line="360" w:lineRule="auto"/>
        <w:ind w:firstLine="420" w:firstLineChars="200"/>
        <w:rPr>
          <w:color w:val="auto"/>
          <w:szCs w:val="27"/>
          <w:highlight w:val="none"/>
        </w:rPr>
      </w:pPr>
      <w:r>
        <w:rPr>
          <w:color w:val="auto"/>
          <w:szCs w:val="27"/>
          <w:highlight w:val="none"/>
        </w:rPr>
        <w:t>开户银行：</w:t>
      </w:r>
      <w:r>
        <w:rPr>
          <w:rFonts w:hint="eastAsia"/>
          <w:color w:val="auto"/>
          <w:szCs w:val="27"/>
          <w:highlight w:val="none"/>
        </w:rPr>
        <w:t xml:space="preserve">                           </w:t>
      </w:r>
      <w:r>
        <w:rPr>
          <w:color w:val="auto"/>
          <w:szCs w:val="27"/>
          <w:highlight w:val="none"/>
        </w:rPr>
        <w:t>开户银行：</w:t>
      </w:r>
    </w:p>
    <w:p>
      <w:pPr>
        <w:spacing w:line="360" w:lineRule="auto"/>
        <w:ind w:firstLine="420" w:firstLineChars="200"/>
        <w:rPr>
          <w:color w:val="auto"/>
          <w:highlight w:val="none"/>
        </w:rPr>
      </w:pPr>
      <w:r>
        <w:rPr>
          <w:rFonts w:hint="eastAsia"/>
          <w:color w:val="auto"/>
          <w:szCs w:val="27"/>
          <w:highlight w:val="none"/>
        </w:rPr>
        <w:t>账号</w:t>
      </w:r>
      <w:r>
        <w:rPr>
          <w:color w:val="auto"/>
          <w:szCs w:val="27"/>
          <w:highlight w:val="none"/>
        </w:rPr>
        <w:t>：</w:t>
      </w:r>
      <w:r>
        <w:rPr>
          <w:rFonts w:hint="eastAsia"/>
          <w:color w:val="auto"/>
          <w:szCs w:val="27"/>
          <w:highlight w:val="none"/>
        </w:rPr>
        <w:t xml:space="preserve">                               账号</w:t>
      </w:r>
      <w:r>
        <w:rPr>
          <w:color w:val="auto"/>
          <w:szCs w:val="27"/>
          <w:highlight w:val="none"/>
        </w:rPr>
        <w:t>：</w:t>
      </w:r>
    </w:p>
    <w:p>
      <w:pPr>
        <w:spacing w:line="640" w:lineRule="exact"/>
        <w:ind w:firstLine="1575" w:firstLineChars="750"/>
        <w:rPr>
          <w:color w:val="auto"/>
          <w:szCs w:val="27"/>
          <w:highlight w:val="none"/>
          <w:u w:val="single"/>
        </w:rPr>
      </w:pPr>
    </w:p>
    <w:p>
      <w:pPr>
        <w:spacing w:line="500" w:lineRule="exact"/>
        <w:rPr>
          <w:color w:val="auto"/>
          <w:szCs w:val="27"/>
          <w:highlight w:val="none"/>
        </w:rPr>
      </w:pPr>
      <w:r>
        <w:rPr>
          <w:color w:val="auto"/>
          <w:szCs w:val="27"/>
          <w:highlight w:val="none"/>
          <w:u w:val="single"/>
        </w:rPr>
        <w:t>   </w:t>
      </w:r>
      <w:r>
        <w:rPr>
          <w:rFonts w:hint="eastAsia"/>
          <w:color w:val="auto"/>
          <w:szCs w:val="27"/>
          <w:highlight w:val="none"/>
          <w:u w:val="single"/>
        </w:rPr>
        <w:t xml:space="preserve">   </w:t>
      </w:r>
      <w:r>
        <w:rPr>
          <w:color w:val="auto"/>
          <w:szCs w:val="27"/>
          <w:highlight w:val="none"/>
        </w:rPr>
        <w:t>年</w:t>
      </w:r>
      <w:r>
        <w:rPr>
          <w:color w:val="auto"/>
          <w:szCs w:val="27"/>
          <w:highlight w:val="none"/>
          <w:u w:val="single"/>
        </w:rPr>
        <w:t xml:space="preserve">      </w:t>
      </w:r>
      <w:r>
        <w:rPr>
          <w:color w:val="auto"/>
          <w:szCs w:val="27"/>
          <w:highlight w:val="none"/>
        </w:rPr>
        <w:t>月</w:t>
      </w:r>
      <w:r>
        <w:rPr>
          <w:color w:val="auto"/>
          <w:szCs w:val="27"/>
          <w:highlight w:val="none"/>
          <w:u w:val="single"/>
        </w:rPr>
        <w:t xml:space="preserve">      </w:t>
      </w:r>
      <w:r>
        <w:rPr>
          <w:color w:val="auto"/>
          <w:szCs w:val="27"/>
          <w:highlight w:val="none"/>
        </w:rPr>
        <w:t>日</w:t>
      </w:r>
      <w:r>
        <w:rPr>
          <w:rFonts w:hint="eastAsia"/>
          <w:color w:val="auto"/>
          <w:szCs w:val="27"/>
          <w:highlight w:val="none"/>
        </w:rPr>
        <w:t xml:space="preserve">                        </w:t>
      </w:r>
      <w:r>
        <w:rPr>
          <w:color w:val="auto"/>
          <w:szCs w:val="27"/>
          <w:highlight w:val="none"/>
          <w:u w:val="single"/>
        </w:rPr>
        <w:t xml:space="preserve">    </w:t>
      </w:r>
      <w:r>
        <w:rPr>
          <w:rFonts w:hint="eastAsia"/>
          <w:color w:val="auto"/>
          <w:szCs w:val="27"/>
          <w:highlight w:val="none"/>
          <w:u w:val="single"/>
        </w:rPr>
        <w:t xml:space="preserve">    </w:t>
      </w:r>
      <w:r>
        <w:rPr>
          <w:color w:val="auto"/>
          <w:szCs w:val="27"/>
          <w:highlight w:val="none"/>
        </w:rPr>
        <w:t>年</w:t>
      </w:r>
      <w:r>
        <w:rPr>
          <w:color w:val="auto"/>
          <w:szCs w:val="27"/>
          <w:highlight w:val="none"/>
          <w:u w:val="single"/>
        </w:rPr>
        <w:t xml:space="preserve">      </w:t>
      </w:r>
      <w:r>
        <w:rPr>
          <w:color w:val="auto"/>
          <w:szCs w:val="27"/>
          <w:highlight w:val="none"/>
        </w:rPr>
        <w:t>月</w:t>
      </w:r>
      <w:r>
        <w:rPr>
          <w:color w:val="auto"/>
          <w:szCs w:val="27"/>
          <w:highlight w:val="none"/>
          <w:u w:val="single"/>
        </w:rPr>
        <w:t xml:space="preserve">     </w:t>
      </w:r>
      <w:r>
        <w:rPr>
          <w:color w:val="auto"/>
          <w:szCs w:val="27"/>
          <w:highlight w:val="none"/>
        </w:rPr>
        <w:t>日</w:t>
      </w:r>
    </w:p>
    <w:p>
      <w:pPr>
        <w:pStyle w:val="2"/>
        <w:ind w:firstLine="321"/>
        <w:jc w:val="center"/>
        <w:rPr>
          <w:b/>
          <w:color w:val="auto"/>
          <w:sz w:val="32"/>
          <w:szCs w:val="32"/>
          <w:highlight w:val="none"/>
        </w:rPr>
      </w:pPr>
    </w:p>
    <w:p>
      <w:pPr>
        <w:pStyle w:val="2"/>
        <w:ind w:firstLine="321"/>
        <w:jc w:val="center"/>
        <w:rPr>
          <w:b/>
          <w:color w:val="auto"/>
          <w:sz w:val="32"/>
          <w:szCs w:val="32"/>
          <w:highlight w:val="none"/>
        </w:rPr>
      </w:pPr>
    </w:p>
    <w:p>
      <w:pPr>
        <w:pStyle w:val="2"/>
        <w:ind w:firstLine="321"/>
        <w:jc w:val="center"/>
        <w:rPr>
          <w:b/>
          <w:color w:val="auto"/>
          <w:sz w:val="32"/>
          <w:szCs w:val="32"/>
          <w:highlight w:val="none"/>
        </w:rPr>
      </w:pPr>
    </w:p>
    <w:p>
      <w:pPr>
        <w:pStyle w:val="2"/>
        <w:ind w:firstLine="321"/>
        <w:jc w:val="center"/>
        <w:rPr>
          <w:b/>
          <w:color w:val="auto"/>
          <w:sz w:val="32"/>
          <w:szCs w:val="32"/>
          <w:highlight w:val="none"/>
        </w:rPr>
      </w:pPr>
    </w:p>
    <w:p>
      <w:pPr>
        <w:pStyle w:val="2"/>
        <w:ind w:firstLine="321"/>
        <w:jc w:val="center"/>
        <w:rPr>
          <w:b/>
          <w:color w:val="auto"/>
          <w:sz w:val="32"/>
          <w:szCs w:val="32"/>
          <w:highlight w:val="none"/>
        </w:rPr>
      </w:pPr>
    </w:p>
    <w:p>
      <w:pPr>
        <w:widowControl/>
        <w:jc w:val="left"/>
        <w:rPr>
          <w:b/>
          <w:color w:val="auto"/>
          <w:sz w:val="32"/>
          <w:szCs w:val="32"/>
          <w:highlight w:val="none"/>
        </w:rPr>
      </w:pPr>
    </w:p>
    <w:p>
      <w:pPr>
        <w:pStyle w:val="2"/>
        <w:ind w:firstLine="321"/>
        <w:jc w:val="center"/>
        <w:rPr>
          <w:b/>
          <w:color w:val="auto"/>
          <w:sz w:val="32"/>
          <w:szCs w:val="32"/>
          <w:highlight w:val="none"/>
        </w:rPr>
      </w:pPr>
    </w:p>
    <w:p>
      <w:pPr>
        <w:pStyle w:val="2"/>
        <w:ind w:firstLine="321"/>
        <w:jc w:val="center"/>
        <w:rPr>
          <w:b/>
          <w:color w:val="auto"/>
          <w:sz w:val="32"/>
          <w:szCs w:val="32"/>
          <w:highlight w:val="none"/>
        </w:rPr>
      </w:pPr>
      <w:r>
        <w:rPr>
          <w:rFonts w:hint="eastAsia"/>
          <w:b/>
          <w:color w:val="auto"/>
          <w:sz w:val="32"/>
          <w:szCs w:val="32"/>
          <w:highlight w:val="none"/>
        </w:rPr>
        <w:t>周口市政府采购合同融资政策告知函</w:t>
      </w:r>
    </w:p>
    <w:p>
      <w:pPr>
        <w:pStyle w:val="2"/>
        <w:ind w:firstLine="240"/>
        <w:rPr>
          <w:rFonts w:asciiTheme="minorEastAsia" w:hAnsiTheme="minorEastAsia" w:eastAsiaTheme="minorEastAsia"/>
          <w:color w:val="auto"/>
          <w:sz w:val="24"/>
          <w:highlight w:val="none"/>
        </w:rPr>
      </w:pPr>
    </w:p>
    <w:p>
      <w:pPr>
        <w:pStyle w:val="2"/>
        <w:ind w:firstLine="240"/>
        <w:rPr>
          <w:rFonts w:asciiTheme="minorEastAsia" w:hAnsiTheme="minorEastAsia" w:eastAsiaTheme="minorEastAsia"/>
          <w:color w:val="auto"/>
          <w:sz w:val="24"/>
          <w:highlight w:val="none"/>
        </w:rPr>
      </w:pPr>
    </w:p>
    <w:p>
      <w:pPr>
        <w:pStyle w:val="2"/>
        <w:ind w:firstLine="240"/>
        <w:rPr>
          <w:rFonts w:asciiTheme="minorEastAsia" w:hAnsiTheme="minorEastAsia" w:eastAsiaTheme="minorEastAsia"/>
          <w:color w:val="auto"/>
          <w:sz w:val="24"/>
          <w:highlight w:val="none"/>
        </w:rPr>
      </w:pPr>
    </w:p>
    <w:p>
      <w:pPr>
        <w:pStyle w:val="2"/>
        <w:ind w:firstLine="24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各供应商：</w:t>
      </w:r>
    </w:p>
    <w:p>
      <w:pPr>
        <w:pStyle w:val="2"/>
        <w:ind w:firstLine="24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欢迎贵公司参与周口市政府采购活动！</w:t>
      </w:r>
    </w:p>
    <w:p>
      <w:pPr>
        <w:pStyle w:val="2"/>
        <w:ind w:firstLine="24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2"/>
        <w:ind w:firstLine="24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贷款渠道和提供贷款的金融机构，可在河南省政府采购网“河南省政府采购合同融资平台”查询联系。</w:t>
      </w:r>
    </w:p>
    <w:p>
      <w:pPr>
        <w:pStyle w:val="2"/>
        <w:ind w:firstLine="210"/>
        <w:rPr>
          <w:color w:val="auto"/>
          <w:highlight w:val="none"/>
        </w:rPr>
      </w:pPr>
    </w:p>
    <w:sectPr>
      <w:pgSz w:w="11907" w:h="16840"/>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21</w:t>
    </w:r>
    <w:r>
      <w:rPr>
        <w:rFonts w:ascii="宋体" w:hAnsi="宋体"/>
        <w:kern w:val="0"/>
        <w:sz w:val="21"/>
        <w:szCs w:val="21"/>
      </w:rPr>
      <w:fldChar w:fldCharType="end"/>
    </w:r>
    <w:r>
      <w:rPr>
        <w:rFonts w:hint="eastAsia" w:ascii="宋体" w:hAnsi="宋体"/>
        <w:kern w:val="0"/>
        <w:sz w:val="21"/>
        <w:szCs w:val="21"/>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0"/>
    <w:multiLevelType w:val="multilevel"/>
    <w:tmpl w:val="00000010"/>
    <w:lvl w:ilvl="0" w:tentative="0">
      <w:start w:val="6"/>
      <w:numFmt w:val="japaneseCounting"/>
      <w:lvlText w:val="第%1条"/>
      <w:lvlJc w:val="left"/>
      <w:pPr>
        <w:tabs>
          <w:tab w:val="left" w:pos="1125"/>
        </w:tabs>
        <w:ind w:left="1125" w:hanging="1125"/>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058BAAF"/>
    <w:multiLevelType w:val="singleLevel"/>
    <w:tmpl w:val="6058BAAF"/>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gutterAtTop/>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OTQ5NGFmNGFjMTAwMjZiODlhMzA0ZTU0NWNjMTYifQ=="/>
  </w:docVars>
  <w:rsids>
    <w:rsidRoot w:val="00172A27"/>
    <w:rsid w:val="00000EB7"/>
    <w:rsid w:val="00002323"/>
    <w:rsid w:val="00003AB0"/>
    <w:rsid w:val="000057A5"/>
    <w:rsid w:val="00005910"/>
    <w:rsid w:val="00006828"/>
    <w:rsid w:val="000069FA"/>
    <w:rsid w:val="00007D9E"/>
    <w:rsid w:val="000102C8"/>
    <w:rsid w:val="00010D52"/>
    <w:rsid w:val="00011475"/>
    <w:rsid w:val="00012171"/>
    <w:rsid w:val="0001254D"/>
    <w:rsid w:val="000129DA"/>
    <w:rsid w:val="00013396"/>
    <w:rsid w:val="00013D3C"/>
    <w:rsid w:val="00014E2D"/>
    <w:rsid w:val="00014E7F"/>
    <w:rsid w:val="00016441"/>
    <w:rsid w:val="00017A2E"/>
    <w:rsid w:val="0002042F"/>
    <w:rsid w:val="00020B03"/>
    <w:rsid w:val="000213BA"/>
    <w:rsid w:val="00023703"/>
    <w:rsid w:val="00024C10"/>
    <w:rsid w:val="00025545"/>
    <w:rsid w:val="00026209"/>
    <w:rsid w:val="0002651B"/>
    <w:rsid w:val="00027733"/>
    <w:rsid w:val="0003241B"/>
    <w:rsid w:val="00032F52"/>
    <w:rsid w:val="00035AB6"/>
    <w:rsid w:val="00036643"/>
    <w:rsid w:val="000403D0"/>
    <w:rsid w:val="0004275F"/>
    <w:rsid w:val="000429AC"/>
    <w:rsid w:val="000434FD"/>
    <w:rsid w:val="00043AD4"/>
    <w:rsid w:val="00044200"/>
    <w:rsid w:val="00044689"/>
    <w:rsid w:val="000449D3"/>
    <w:rsid w:val="00045FE3"/>
    <w:rsid w:val="00047222"/>
    <w:rsid w:val="00050196"/>
    <w:rsid w:val="000511E4"/>
    <w:rsid w:val="00052290"/>
    <w:rsid w:val="00052DCC"/>
    <w:rsid w:val="0005331C"/>
    <w:rsid w:val="0005462A"/>
    <w:rsid w:val="00055D6B"/>
    <w:rsid w:val="00057BB8"/>
    <w:rsid w:val="00061624"/>
    <w:rsid w:val="00061977"/>
    <w:rsid w:val="00062D33"/>
    <w:rsid w:val="000641DF"/>
    <w:rsid w:val="00064DFD"/>
    <w:rsid w:val="000652A5"/>
    <w:rsid w:val="00067238"/>
    <w:rsid w:val="0006738C"/>
    <w:rsid w:val="0007137E"/>
    <w:rsid w:val="00071917"/>
    <w:rsid w:val="00072398"/>
    <w:rsid w:val="0007257F"/>
    <w:rsid w:val="0007379A"/>
    <w:rsid w:val="00074405"/>
    <w:rsid w:val="000744B7"/>
    <w:rsid w:val="00075531"/>
    <w:rsid w:val="00077015"/>
    <w:rsid w:val="000776FB"/>
    <w:rsid w:val="00077F6E"/>
    <w:rsid w:val="00080A6C"/>
    <w:rsid w:val="0008103E"/>
    <w:rsid w:val="000829BC"/>
    <w:rsid w:val="00082C31"/>
    <w:rsid w:val="00083C7A"/>
    <w:rsid w:val="00084071"/>
    <w:rsid w:val="000843D1"/>
    <w:rsid w:val="00084F8A"/>
    <w:rsid w:val="00086641"/>
    <w:rsid w:val="00086B9C"/>
    <w:rsid w:val="00087155"/>
    <w:rsid w:val="00090E0C"/>
    <w:rsid w:val="0009110C"/>
    <w:rsid w:val="00091B49"/>
    <w:rsid w:val="000928CD"/>
    <w:rsid w:val="00093247"/>
    <w:rsid w:val="00094045"/>
    <w:rsid w:val="0009474A"/>
    <w:rsid w:val="00094B99"/>
    <w:rsid w:val="00094BB5"/>
    <w:rsid w:val="00095756"/>
    <w:rsid w:val="000969F3"/>
    <w:rsid w:val="00097552"/>
    <w:rsid w:val="000A0CB7"/>
    <w:rsid w:val="000A1D2B"/>
    <w:rsid w:val="000A231E"/>
    <w:rsid w:val="000A26CA"/>
    <w:rsid w:val="000A2A9F"/>
    <w:rsid w:val="000A2D18"/>
    <w:rsid w:val="000A33C3"/>
    <w:rsid w:val="000A3E3F"/>
    <w:rsid w:val="000A44B1"/>
    <w:rsid w:val="000A5315"/>
    <w:rsid w:val="000A5411"/>
    <w:rsid w:val="000A7C70"/>
    <w:rsid w:val="000B1694"/>
    <w:rsid w:val="000B17C9"/>
    <w:rsid w:val="000B3B85"/>
    <w:rsid w:val="000B4F4A"/>
    <w:rsid w:val="000B57B4"/>
    <w:rsid w:val="000B7098"/>
    <w:rsid w:val="000B7947"/>
    <w:rsid w:val="000C0E0E"/>
    <w:rsid w:val="000C298C"/>
    <w:rsid w:val="000C2D51"/>
    <w:rsid w:val="000C442C"/>
    <w:rsid w:val="000C460A"/>
    <w:rsid w:val="000C5B74"/>
    <w:rsid w:val="000C6C08"/>
    <w:rsid w:val="000C6D74"/>
    <w:rsid w:val="000C765E"/>
    <w:rsid w:val="000C7C29"/>
    <w:rsid w:val="000D1060"/>
    <w:rsid w:val="000D13CD"/>
    <w:rsid w:val="000D1D6C"/>
    <w:rsid w:val="000D2361"/>
    <w:rsid w:val="000D2FDB"/>
    <w:rsid w:val="000D325D"/>
    <w:rsid w:val="000D49C7"/>
    <w:rsid w:val="000D4C25"/>
    <w:rsid w:val="000D4D42"/>
    <w:rsid w:val="000D5EE1"/>
    <w:rsid w:val="000D60F2"/>
    <w:rsid w:val="000D7496"/>
    <w:rsid w:val="000E0258"/>
    <w:rsid w:val="000E1750"/>
    <w:rsid w:val="000E4D07"/>
    <w:rsid w:val="000E5819"/>
    <w:rsid w:val="000E5969"/>
    <w:rsid w:val="000E60A6"/>
    <w:rsid w:val="000E6816"/>
    <w:rsid w:val="000E7822"/>
    <w:rsid w:val="000F00E0"/>
    <w:rsid w:val="000F0E73"/>
    <w:rsid w:val="000F0F15"/>
    <w:rsid w:val="000F1943"/>
    <w:rsid w:val="000F24C7"/>
    <w:rsid w:val="000F4F23"/>
    <w:rsid w:val="000F51D6"/>
    <w:rsid w:val="000F55F1"/>
    <w:rsid w:val="000F6218"/>
    <w:rsid w:val="000F68CA"/>
    <w:rsid w:val="000F7018"/>
    <w:rsid w:val="000F7A85"/>
    <w:rsid w:val="00101C3F"/>
    <w:rsid w:val="00102082"/>
    <w:rsid w:val="00102455"/>
    <w:rsid w:val="001027A5"/>
    <w:rsid w:val="0010303B"/>
    <w:rsid w:val="00103337"/>
    <w:rsid w:val="00103447"/>
    <w:rsid w:val="00103779"/>
    <w:rsid w:val="00103C3B"/>
    <w:rsid w:val="00104B54"/>
    <w:rsid w:val="00105951"/>
    <w:rsid w:val="00105F99"/>
    <w:rsid w:val="0010633B"/>
    <w:rsid w:val="00106408"/>
    <w:rsid w:val="00106600"/>
    <w:rsid w:val="00106E9D"/>
    <w:rsid w:val="0010781E"/>
    <w:rsid w:val="00110380"/>
    <w:rsid w:val="00110C35"/>
    <w:rsid w:val="00110FD6"/>
    <w:rsid w:val="00111AA5"/>
    <w:rsid w:val="00112A3E"/>
    <w:rsid w:val="001130C7"/>
    <w:rsid w:val="00114EC3"/>
    <w:rsid w:val="001173AD"/>
    <w:rsid w:val="0011768E"/>
    <w:rsid w:val="00117B36"/>
    <w:rsid w:val="00117EBB"/>
    <w:rsid w:val="00120244"/>
    <w:rsid w:val="00121323"/>
    <w:rsid w:val="001213D7"/>
    <w:rsid w:val="00123AA2"/>
    <w:rsid w:val="001244E0"/>
    <w:rsid w:val="00124B87"/>
    <w:rsid w:val="00124D84"/>
    <w:rsid w:val="00125FD9"/>
    <w:rsid w:val="0012672C"/>
    <w:rsid w:val="00126C34"/>
    <w:rsid w:val="00127FA9"/>
    <w:rsid w:val="001302F5"/>
    <w:rsid w:val="00131466"/>
    <w:rsid w:val="00132DF3"/>
    <w:rsid w:val="001337D6"/>
    <w:rsid w:val="0013390D"/>
    <w:rsid w:val="0013498A"/>
    <w:rsid w:val="0013503B"/>
    <w:rsid w:val="00135917"/>
    <w:rsid w:val="00136327"/>
    <w:rsid w:val="00136718"/>
    <w:rsid w:val="00136CB0"/>
    <w:rsid w:val="0013780B"/>
    <w:rsid w:val="0014048D"/>
    <w:rsid w:val="001404FA"/>
    <w:rsid w:val="00140905"/>
    <w:rsid w:val="00140ECB"/>
    <w:rsid w:val="00141139"/>
    <w:rsid w:val="00141B67"/>
    <w:rsid w:val="00144E58"/>
    <w:rsid w:val="00145ECA"/>
    <w:rsid w:val="00146C5A"/>
    <w:rsid w:val="00147568"/>
    <w:rsid w:val="00147ED9"/>
    <w:rsid w:val="001525E5"/>
    <w:rsid w:val="0015314C"/>
    <w:rsid w:val="0015434E"/>
    <w:rsid w:val="001546C4"/>
    <w:rsid w:val="00156412"/>
    <w:rsid w:val="001569DA"/>
    <w:rsid w:val="00156E7B"/>
    <w:rsid w:val="00157047"/>
    <w:rsid w:val="00160608"/>
    <w:rsid w:val="00161451"/>
    <w:rsid w:val="00162B30"/>
    <w:rsid w:val="001630B6"/>
    <w:rsid w:val="00163308"/>
    <w:rsid w:val="00163EAD"/>
    <w:rsid w:val="00163FD1"/>
    <w:rsid w:val="0016432E"/>
    <w:rsid w:val="00164C38"/>
    <w:rsid w:val="001670CA"/>
    <w:rsid w:val="00167CD0"/>
    <w:rsid w:val="00167DAD"/>
    <w:rsid w:val="001703FA"/>
    <w:rsid w:val="001704BB"/>
    <w:rsid w:val="00170FFC"/>
    <w:rsid w:val="00171713"/>
    <w:rsid w:val="00172A27"/>
    <w:rsid w:val="0017300F"/>
    <w:rsid w:val="001733A7"/>
    <w:rsid w:val="001738F8"/>
    <w:rsid w:val="0017401C"/>
    <w:rsid w:val="001740C8"/>
    <w:rsid w:val="001741A6"/>
    <w:rsid w:val="0017512B"/>
    <w:rsid w:val="00175347"/>
    <w:rsid w:val="00175780"/>
    <w:rsid w:val="00175F62"/>
    <w:rsid w:val="00176007"/>
    <w:rsid w:val="001776FA"/>
    <w:rsid w:val="0017775C"/>
    <w:rsid w:val="0017782C"/>
    <w:rsid w:val="0018079E"/>
    <w:rsid w:val="0018252D"/>
    <w:rsid w:val="0018285E"/>
    <w:rsid w:val="00186974"/>
    <w:rsid w:val="00186EE6"/>
    <w:rsid w:val="0018787D"/>
    <w:rsid w:val="00191161"/>
    <w:rsid w:val="00191897"/>
    <w:rsid w:val="0019192D"/>
    <w:rsid w:val="00192403"/>
    <w:rsid w:val="00192751"/>
    <w:rsid w:val="001927CA"/>
    <w:rsid w:val="00192DAC"/>
    <w:rsid w:val="00193545"/>
    <w:rsid w:val="00195842"/>
    <w:rsid w:val="00195D4F"/>
    <w:rsid w:val="0019679A"/>
    <w:rsid w:val="00196EC8"/>
    <w:rsid w:val="001A0695"/>
    <w:rsid w:val="001A0D85"/>
    <w:rsid w:val="001A118F"/>
    <w:rsid w:val="001A1B33"/>
    <w:rsid w:val="001A253E"/>
    <w:rsid w:val="001A26F3"/>
    <w:rsid w:val="001A346F"/>
    <w:rsid w:val="001A35E9"/>
    <w:rsid w:val="001A4164"/>
    <w:rsid w:val="001A4EBC"/>
    <w:rsid w:val="001A51B3"/>
    <w:rsid w:val="001A58C7"/>
    <w:rsid w:val="001A59B6"/>
    <w:rsid w:val="001A5BD3"/>
    <w:rsid w:val="001A791D"/>
    <w:rsid w:val="001B0365"/>
    <w:rsid w:val="001B0761"/>
    <w:rsid w:val="001B0D77"/>
    <w:rsid w:val="001B1533"/>
    <w:rsid w:val="001B1E06"/>
    <w:rsid w:val="001B2514"/>
    <w:rsid w:val="001B294B"/>
    <w:rsid w:val="001B3CDA"/>
    <w:rsid w:val="001B3EBF"/>
    <w:rsid w:val="001B45DF"/>
    <w:rsid w:val="001B4FAB"/>
    <w:rsid w:val="001B576E"/>
    <w:rsid w:val="001B5FA9"/>
    <w:rsid w:val="001B78E8"/>
    <w:rsid w:val="001B7F67"/>
    <w:rsid w:val="001C04BF"/>
    <w:rsid w:val="001C0626"/>
    <w:rsid w:val="001C11D6"/>
    <w:rsid w:val="001C122F"/>
    <w:rsid w:val="001C2A62"/>
    <w:rsid w:val="001C2DF5"/>
    <w:rsid w:val="001C4519"/>
    <w:rsid w:val="001C47B0"/>
    <w:rsid w:val="001C5B45"/>
    <w:rsid w:val="001C5C13"/>
    <w:rsid w:val="001C621E"/>
    <w:rsid w:val="001C6F62"/>
    <w:rsid w:val="001D1CAD"/>
    <w:rsid w:val="001D26DC"/>
    <w:rsid w:val="001D322A"/>
    <w:rsid w:val="001D40E8"/>
    <w:rsid w:val="001D45CF"/>
    <w:rsid w:val="001D4FC4"/>
    <w:rsid w:val="001D57E1"/>
    <w:rsid w:val="001D746E"/>
    <w:rsid w:val="001D7724"/>
    <w:rsid w:val="001D7BCE"/>
    <w:rsid w:val="001E027F"/>
    <w:rsid w:val="001E07C3"/>
    <w:rsid w:val="001E0ACA"/>
    <w:rsid w:val="001E0CA7"/>
    <w:rsid w:val="001E1B65"/>
    <w:rsid w:val="001E54A8"/>
    <w:rsid w:val="001F0E63"/>
    <w:rsid w:val="001F1738"/>
    <w:rsid w:val="001F19A1"/>
    <w:rsid w:val="001F32D5"/>
    <w:rsid w:val="001F441B"/>
    <w:rsid w:val="001F460B"/>
    <w:rsid w:val="001F481F"/>
    <w:rsid w:val="001F710B"/>
    <w:rsid w:val="00200168"/>
    <w:rsid w:val="00200E6D"/>
    <w:rsid w:val="00201621"/>
    <w:rsid w:val="002025C2"/>
    <w:rsid w:val="00202720"/>
    <w:rsid w:val="00202F8D"/>
    <w:rsid w:val="00203277"/>
    <w:rsid w:val="002047D3"/>
    <w:rsid w:val="002060E4"/>
    <w:rsid w:val="002065C5"/>
    <w:rsid w:val="00206BB5"/>
    <w:rsid w:val="00206F03"/>
    <w:rsid w:val="00206FF6"/>
    <w:rsid w:val="00207987"/>
    <w:rsid w:val="00207F9A"/>
    <w:rsid w:val="0021150C"/>
    <w:rsid w:val="00211CBD"/>
    <w:rsid w:val="00212001"/>
    <w:rsid w:val="0021391C"/>
    <w:rsid w:val="00213E36"/>
    <w:rsid w:val="00214F80"/>
    <w:rsid w:val="002156E9"/>
    <w:rsid w:val="00215B35"/>
    <w:rsid w:val="00216B24"/>
    <w:rsid w:val="002176AB"/>
    <w:rsid w:val="00217B24"/>
    <w:rsid w:val="0022038E"/>
    <w:rsid w:val="002203FD"/>
    <w:rsid w:val="0022145E"/>
    <w:rsid w:val="00222577"/>
    <w:rsid w:val="002227B7"/>
    <w:rsid w:val="00222B7A"/>
    <w:rsid w:val="00223F50"/>
    <w:rsid w:val="00224159"/>
    <w:rsid w:val="00224548"/>
    <w:rsid w:val="0022462D"/>
    <w:rsid w:val="00224F94"/>
    <w:rsid w:val="00226406"/>
    <w:rsid w:val="00226A77"/>
    <w:rsid w:val="00227D38"/>
    <w:rsid w:val="002322EE"/>
    <w:rsid w:val="00234904"/>
    <w:rsid w:val="00235CDF"/>
    <w:rsid w:val="00241797"/>
    <w:rsid w:val="002420AD"/>
    <w:rsid w:val="00242376"/>
    <w:rsid w:val="002423D6"/>
    <w:rsid w:val="00243E83"/>
    <w:rsid w:val="00246082"/>
    <w:rsid w:val="0024724F"/>
    <w:rsid w:val="002475B8"/>
    <w:rsid w:val="00247A19"/>
    <w:rsid w:val="00247F41"/>
    <w:rsid w:val="00251AE3"/>
    <w:rsid w:val="00252FE5"/>
    <w:rsid w:val="0025380B"/>
    <w:rsid w:val="002547E2"/>
    <w:rsid w:val="002549CC"/>
    <w:rsid w:val="00255423"/>
    <w:rsid w:val="00255D2F"/>
    <w:rsid w:val="002565A3"/>
    <w:rsid w:val="00260B6C"/>
    <w:rsid w:val="00263E02"/>
    <w:rsid w:val="00263E76"/>
    <w:rsid w:val="00263FDA"/>
    <w:rsid w:val="002644C7"/>
    <w:rsid w:val="0026483A"/>
    <w:rsid w:val="002648C0"/>
    <w:rsid w:val="0026525F"/>
    <w:rsid w:val="00265A67"/>
    <w:rsid w:val="00265B18"/>
    <w:rsid w:val="0026697A"/>
    <w:rsid w:val="00266B35"/>
    <w:rsid w:val="00266CC9"/>
    <w:rsid w:val="00267C47"/>
    <w:rsid w:val="00267DE1"/>
    <w:rsid w:val="00270508"/>
    <w:rsid w:val="0027093F"/>
    <w:rsid w:val="00270AB4"/>
    <w:rsid w:val="00272183"/>
    <w:rsid w:val="002748BF"/>
    <w:rsid w:val="00274D28"/>
    <w:rsid w:val="00274D7C"/>
    <w:rsid w:val="00276AA6"/>
    <w:rsid w:val="0028005B"/>
    <w:rsid w:val="0028023E"/>
    <w:rsid w:val="00280A38"/>
    <w:rsid w:val="00280C99"/>
    <w:rsid w:val="00281BC9"/>
    <w:rsid w:val="002831D7"/>
    <w:rsid w:val="00283C4F"/>
    <w:rsid w:val="00284D30"/>
    <w:rsid w:val="002853DA"/>
    <w:rsid w:val="00285690"/>
    <w:rsid w:val="00286955"/>
    <w:rsid w:val="00286BE4"/>
    <w:rsid w:val="002901B9"/>
    <w:rsid w:val="00290A1C"/>
    <w:rsid w:val="00291D87"/>
    <w:rsid w:val="00292971"/>
    <w:rsid w:val="00294390"/>
    <w:rsid w:val="0029582F"/>
    <w:rsid w:val="002A0085"/>
    <w:rsid w:val="002A134F"/>
    <w:rsid w:val="002A1AD7"/>
    <w:rsid w:val="002A24E8"/>
    <w:rsid w:val="002A2BBA"/>
    <w:rsid w:val="002A2FB3"/>
    <w:rsid w:val="002A33CC"/>
    <w:rsid w:val="002A54DA"/>
    <w:rsid w:val="002A6593"/>
    <w:rsid w:val="002A6814"/>
    <w:rsid w:val="002A6941"/>
    <w:rsid w:val="002A76CD"/>
    <w:rsid w:val="002B1734"/>
    <w:rsid w:val="002B29FD"/>
    <w:rsid w:val="002B3648"/>
    <w:rsid w:val="002B4CF0"/>
    <w:rsid w:val="002B5051"/>
    <w:rsid w:val="002B5F22"/>
    <w:rsid w:val="002B7671"/>
    <w:rsid w:val="002B7AB2"/>
    <w:rsid w:val="002C00CD"/>
    <w:rsid w:val="002C02B2"/>
    <w:rsid w:val="002C1C98"/>
    <w:rsid w:val="002C1F1C"/>
    <w:rsid w:val="002C24BA"/>
    <w:rsid w:val="002C440E"/>
    <w:rsid w:val="002C4B35"/>
    <w:rsid w:val="002C4F97"/>
    <w:rsid w:val="002C619D"/>
    <w:rsid w:val="002C61AC"/>
    <w:rsid w:val="002C650A"/>
    <w:rsid w:val="002C770B"/>
    <w:rsid w:val="002D05B1"/>
    <w:rsid w:val="002D0B7A"/>
    <w:rsid w:val="002D0F9D"/>
    <w:rsid w:val="002D19AA"/>
    <w:rsid w:val="002D2480"/>
    <w:rsid w:val="002D2A87"/>
    <w:rsid w:val="002D2DA6"/>
    <w:rsid w:val="002D36E2"/>
    <w:rsid w:val="002D6658"/>
    <w:rsid w:val="002D6811"/>
    <w:rsid w:val="002D7267"/>
    <w:rsid w:val="002D7BB8"/>
    <w:rsid w:val="002D7ED7"/>
    <w:rsid w:val="002E09C7"/>
    <w:rsid w:val="002E0A9B"/>
    <w:rsid w:val="002E31C3"/>
    <w:rsid w:val="002E3325"/>
    <w:rsid w:val="002E6A0A"/>
    <w:rsid w:val="002E7391"/>
    <w:rsid w:val="002F0332"/>
    <w:rsid w:val="002F0C14"/>
    <w:rsid w:val="002F11B3"/>
    <w:rsid w:val="002F1923"/>
    <w:rsid w:val="002F211B"/>
    <w:rsid w:val="002F3064"/>
    <w:rsid w:val="002F47C6"/>
    <w:rsid w:val="002F4F85"/>
    <w:rsid w:val="002F602D"/>
    <w:rsid w:val="002F7874"/>
    <w:rsid w:val="00300406"/>
    <w:rsid w:val="00300B7E"/>
    <w:rsid w:val="00300BC8"/>
    <w:rsid w:val="003014E9"/>
    <w:rsid w:val="00301724"/>
    <w:rsid w:val="003043C1"/>
    <w:rsid w:val="00304C09"/>
    <w:rsid w:val="00304CCC"/>
    <w:rsid w:val="00305262"/>
    <w:rsid w:val="00305592"/>
    <w:rsid w:val="003061CA"/>
    <w:rsid w:val="003065B6"/>
    <w:rsid w:val="003068F4"/>
    <w:rsid w:val="00307526"/>
    <w:rsid w:val="00310CDB"/>
    <w:rsid w:val="003126C0"/>
    <w:rsid w:val="00312DBE"/>
    <w:rsid w:val="0031419D"/>
    <w:rsid w:val="00314936"/>
    <w:rsid w:val="0031498D"/>
    <w:rsid w:val="00314DCF"/>
    <w:rsid w:val="00315AD3"/>
    <w:rsid w:val="003161C5"/>
    <w:rsid w:val="00317722"/>
    <w:rsid w:val="00317B9B"/>
    <w:rsid w:val="00317D0A"/>
    <w:rsid w:val="00321B4E"/>
    <w:rsid w:val="00322B91"/>
    <w:rsid w:val="00322F75"/>
    <w:rsid w:val="0032356A"/>
    <w:rsid w:val="0032436B"/>
    <w:rsid w:val="0032610E"/>
    <w:rsid w:val="00327678"/>
    <w:rsid w:val="003278AE"/>
    <w:rsid w:val="00327B1D"/>
    <w:rsid w:val="00331DE1"/>
    <w:rsid w:val="00331FBB"/>
    <w:rsid w:val="00332753"/>
    <w:rsid w:val="00332C49"/>
    <w:rsid w:val="00333902"/>
    <w:rsid w:val="003345B7"/>
    <w:rsid w:val="00336C0C"/>
    <w:rsid w:val="003370FE"/>
    <w:rsid w:val="0033712B"/>
    <w:rsid w:val="0034071F"/>
    <w:rsid w:val="00341B57"/>
    <w:rsid w:val="00341B8F"/>
    <w:rsid w:val="00341D2E"/>
    <w:rsid w:val="0034239E"/>
    <w:rsid w:val="00342B36"/>
    <w:rsid w:val="00342B7F"/>
    <w:rsid w:val="003450FA"/>
    <w:rsid w:val="003459C2"/>
    <w:rsid w:val="0034633D"/>
    <w:rsid w:val="00347F63"/>
    <w:rsid w:val="00351FAF"/>
    <w:rsid w:val="00351FED"/>
    <w:rsid w:val="00352E0F"/>
    <w:rsid w:val="00354739"/>
    <w:rsid w:val="0035475C"/>
    <w:rsid w:val="003559C8"/>
    <w:rsid w:val="00360DF2"/>
    <w:rsid w:val="003619EB"/>
    <w:rsid w:val="00363E2E"/>
    <w:rsid w:val="00365D85"/>
    <w:rsid w:val="00365FC3"/>
    <w:rsid w:val="0036629C"/>
    <w:rsid w:val="003664D0"/>
    <w:rsid w:val="00366828"/>
    <w:rsid w:val="00367065"/>
    <w:rsid w:val="00367283"/>
    <w:rsid w:val="00367911"/>
    <w:rsid w:val="00370A87"/>
    <w:rsid w:val="00370D55"/>
    <w:rsid w:val="003713F7"/>
    <w:rsid w:val="00372A0C"/>
    <w:rsid w:val="00373EE3"/>
    <w:rsid w:val="0037671E"/>
    <w:rsid w:val="00376C73"/>
    <w:rsid w:val="003775A6"/>
    <w:rsid w:val="00377A72"/>
    <w:rsid w:val="0038049A"/>
    <w:rsid w:val="0038130A"/>
    <w:rsid w:val="00381FD5"/>
    <w:rsid w:val="0038214C"/>
    <w:rsid w:val="003830A7"/>
    <w:rsid w:val="00384F1C"/>
    <w:rsid w:val="003851D6"/>
    <w:rsid w:val="00386520"/>
    <w:rsid w:val="00386BEE"/>
    <w:rsid w:val="00387478"/>
    <w:rsid w:val="00391630"/>
    <w:rsid w:val="00392212"/>
    <w:rsid w:val="00393150"/>
    <w:rsid w:val="00397A34"/>
    <w:rsid w:val="003A2150"/>
    <w:rsid w:val="003A24A6"/>
    <w:rsid w:val="003A3D7E"/>
    <w:rsid w:val="003A3E54"/>
    <w:rsid w:val="003A4251"/>
    <w:rsid w:val="003A4ABC"/>
    <w:rsid w:val="003A65E2"/>
    <w:rsid w:val="003A6696"/>
    <w:rsid w:val="003A66D4"/>
    <w:rsid w:val="003A707E"/>
    <w:rsid w:val="003A76EE"/>
    <w:rsid w:val="003B004A"/>
    <w:rsid w:val="003B20AE"/>
    <w:rsid w:val="003B2484"/>
    <w:rsid w:val="003B2C4C"/>
    <w:rsid w:val="003B44DF"/>
    <w:rsid w:val="003B488B"/>
    <w:rsid w:val="003B61DE"/>
    <w:rsid w:val="003B65B9"/>
    <w:rsid w:val="003C0583"/>
    <w:rsid w:val="003C21D6"/>
    <w:rsid w:val="003C21FF"/>
    <w:rsid w:val="003C2718"/>
    <w:rsid w:val="003C2A5C"/>
    <w:rsid w:val="003C2F81"/>
    <w:rsid w:val="003C34DF"/>
    <w:rsid w:val="003C3586"/>
    <w:rsid w:val="003C383E"/>
    <w:rsid w:val="003C3A2C"/>
    <w:rsid w:val="003C3BE4"/>
    <w:rsid w:val="003C3FB4"/>
    <w:rsid w:val="003C4372"/>
    <w:rsid w:val="003C5B13"/>
    <w:rsid w:val="003C63CF"/>
    <w:rsid w:val="003C6756"/>
    <w:rsid w:val="003C6971"/>
    <w:rsid w:val="003D06A4"/>
    <w:rsid w:val="003D37C6"/>
    <w:rsid w:val="003D68C0"/>
    <w:rsid w:val="003D7330"/>
    <w:rsid w:val="003D7A3B"/>
    <w:rsid w:val="003E1033"/>
    <w:rsid w:val="003E1822"/>
    <w:rsid w:val="003E18C6"/>
    <w:rsid w:val="003E1B42"/>
    <w:rsid w:val="003E1BF3"/>
    <w:rsid w:val="003E310B"/>
    <w:rsid w:val="003E5E6C"/>
    <w:rsid w:val="003E7C31"/>
    <w:rsid w:val="003E7C35"/>
    <w:rsid w:val="003E7D63"/>
    <w:rsid w:val="003F015B"/>
    <w:rsid w:val="003F0BE5"/>
    <w:rsid w:val="003F0E5D"/>
    <w:rsid w:val="003F1261"/>
    <w:rsid w:val="003F15A2"/>
    <w:rsid w:val="003F2257"/>
    <w:rsid w:val="003F264C"/>
    <w:rsid w:val="003F2835"/>
    <w:rsid w:val="003F540F"/>
    <w:rsid w:val="003F5F25"/>
    <w:rsid w:val="003F72B0"/>
    <w:rsid w:val="004036D8"/>
    <w:rsid w:val="004040F1"/>
    <w:rsid w:val="004045CB"/>
    <w:rsid w:val="0040510F"/>
    <w:rsid w:val="00405CF2"/>
    <w:rsid w:val="00406454"/>
    <w:rsid w:val="004065A8"/>
    <w:rsid w:val="004074DF"/>
    <w:rsid w:val="00407972"/>
    <w:rsid w:val="00410BEE"/>
    <w:rsid w:val="0041145A"/>
    <w:rsid w:val="00412000"/>
    <w:rsid w:val="00412671"/>
    <w:rsid w:val="00412743"/>
    <w:rsid w:val="00412D53"/>
    <w:rsid w:val="00413502"/>
    <w:rsid w:val="004144EF"/>
    <w:rsid w:val="00415E9C"/>
    <w:rsid w:val="00416396"/>
    <w:rsid w:val="00417D8B"/>
    <w:rsid w:val="00420E15"/>
    <w:rsid w:val="00421E87"/>
    <w:rsid w:val="00422C16"/>
    <w:rsid w:val="004230E8"/>
    <w:rsid w:val="00423DE4"/>
    <w:rsid w:val="00424F11"/>
    <w:rsid w:val="004276DE"/>
    <w:rsid w:val="0042778A"/>
    <w:rsid w:val="00427AF9"/>
    <w:rsid w:val="00427E1C"/>
    <w:rsid w:val="00430DCA"/>
    <w:rsid w:val="00431D23"/>
    <w:rsid w:val="00433673"/>
    <w:rsid w:val="00433E18"/>
    <w:rsid w:val="0043473A"/>
    <w:rsid w:val="00435D6F"/>
    <w:rsid w:val="00436E32"/>
    <w:rsid w:val="004374A1"/>
    <w:rsid w:val="00440598"/>
    <w:rsid w:val="00442F68"/>
    <w:rsid w:val="0044353A"/>
    <w:rsid w:val="004438D9"/>
    <w:rsid w:val="004441AE"/>
    <w:rsid w:val="00444F80"/>
    <w:rsid w:val="00445199"/>
    <w:rsid w:val="00446B65"/>
    <w:rsid w:val="004473E3"/>
    <w:rsid w:val="00447D3A"/>
    <w:rsid w:val="004500F3"/>
    <w:rsid w:val="00450EFF"/>
    <w:rsid w:val="00451260"/>
    <w:rsid w:val="00451D72"/>
    <w:rsid w:val="00453CB7"/>
    <w:rsid w:val="00453D9A"/>
    <w:rsid w:val="004546C0"/>
    <w:rsid w:val="0045543E"/>
    <w:rsid w:val="0045657B"/>
    <w:rsid w:val="0045752D"/>
    <w:rsid w:val="0045765D"/>
    <w:rsid w:val="00460706"/>
    <w:rsid w:val="004654D6"/>
    <w:rsid w:val="0046574D"/>
    <w:rsid w:val="00465E1E"/>
    <w:rsid w:val="00467755"/>
    <w:rsid w:val="00467BD4"/>
    <w:rsid w:val="00467C43"/>
    <w:rsid w:val="00470E9D"/>
    <w:rsid w:val="00470F46"/>
    <w:rsid w:val="004716C0"/>
    <w:rsid w:val="0047333E"/>
    <w:rsid w:val="004735CB"/>
    <w:rsid w:val="00473D64"/>
    <w:rsid w:val="00473FCD"/>
    <w:rsid w:val="00474197"/>
    <w:rsid w:val="004742A0"/>
    <w:rsid w:val="00475851"/>
    <w:rsid w:val="00477205"/>
    <w:rsid w:val="00477545"/>
    <w:rsid w:val="00480775"/>
    <w:rsid w:val="00480D31"/>
    <w:rsid w:val="004814D5"/>
    <w:rsid w:val="00484AFD"/>
    <w:rsid w:val="00484B9E"/>
    <w:rsid w:val="00486AB4"/>
    <w:rsid w:val="00486CB3"/>
    <w:rsid w:val="00487991"/>
    <w:rsid w:val="004903DF"/>
    <w:rsid w:val="00492A0C"/>
    <w:rsid w:val="00492FEC"/>
    <w:rsid w:val="00493A17"/>
    <w:rsid w:val="00493EBA"/>
    <w:rsid w:val="00494A69"/>
    <w:rsid w:val="00495DFE"/>
    <w:rsid w:val="004961D0"/>
    <w:rsid w:val="00497247"/>
    <w:rsid w:val="004973CC"/>
    <w:rsid w:val="004976F8"/>
    <w:rsid w:val="004A1852"/>
    <w:rsid w:val="004A26FF"/>
    <w:rsid w:val="004A2891"/>
    <w:rsid w:val="004A2E6F"/>
    <w:rsid w:val="004A35A6"/>
    <w:rsid w:val="004A3AB4"/>
    <w:rsid w:val="004A4546"/>
    <w:rsid w:val="004A4A75"/>
    <w:rsid w:val="004A6150"/>
    <w:rsid w:val="004A669D"/>
    <w:rsid w:val="004A74AA"/>
    <w:rsid w:val="004A7C5D"/>
    <w:rsid w:val="004B0282"/>
    <w:rsid w:val="004B13E1"/>
    <w:rsid w:val="004B253B"/>
    <w:rsid w:val="004B26B2"/>
    <w:rsid w:val="004B4681"/>
    <w:rsid w:val="004B5931"/>
    <w:rsid w:val="004B5F09"/>
    <w:rsid w:val="004B5FC2"/>
    <w:rsid w:val="004B6352"/>
    <w:rsid w:val="004B7594"/>
    <w:rsid w:val="004C1899"/>
    <w:rsid w:val="004C2474"/>
    <w:rsid w:val="004C3AD3"/>
    <w:rsid w:val="004C4124"/>
    <w:rsid w:val="004C4A46"/>
    <w:rsid w:val="004C5947"/>
    <w:rsid w:val="004C5F7C"/>
    <w:rsid w:val="004C62EA"/>
    <w:rsid w:val="004C730C"/>
    <w:rsid w:val="004D0002"/>
    <w:rsid w:val="004D05B0"/>
    <w:rsid w:val="004D2FDE"/>
    <w:rsid w:val="004D4104"/>
    <w:rsid w:val="004D5000"/>
    <w:rsid w:val="004D5CC1"/>
    <w:rsid w:val="004D63CD"/>
    <w:rsid w:val="004D6DFD"/>
    <w:rsid w:val="004E01F6"/>
    <w:rsid w:val="004E0E11"/>
    <w:rsid w:val="004E1198"/>
    <w:rsid w:val="004E29E2"/>
    <w:rsid w:val="004E3C63"/>
    <w:rsid w:val="004E4B47"/>
    <w:rsid w:val="004E51BA"/>
    <w:rsid w:val="004E6ED2"/>
    <w:rsid w:val="004E7287"/>
    <w:rsid w:val="004F28B4"/>
    <w:rsid w:val="004F2A63"/>
    <w:rsid w:val="004F400C"/>
    <w:rsid w:val="004F4EAF"/>
    <w:rsid w:val="004F613D"/>
    <w:rsid w:val="00500B03"/>
    <w:rsid w:val="00500BF1"/>
    <w:rsid w:val="00501943"/>
    <w:rsid w:val="00502DBB"/>
    <w:rsid w:val="005034B0"/>
    <w:rsid w:val="00503FE1"/>
    <w:rsid w:val="005051A9"/>
    <w:rsid w:val="0050669F"/>
    <w:rsid w:val="005073F3"/>
    <w:rsid w:val="00510C03"/>
    <w:rsid w:val="005114AC"/>
    <w:rsid w:val="0051157A"/>
    <w:rsid w:val="00512825"/>
    <w:rsid w:val="00513655"/>
    <w:rsid w:val="00513CF1"/>
    <w:rsid w:val="005144C3"/>
    <w:rsid w:val="005147AD"/>
    <w:rsid w:val="00516A6A"/>
    <w:rsid w:val="00516A87"/>
    <w:rsid w:val="00516EDB"/>
    <w:rsid w:val="00517ADC"/>
    <w:rsid w:val="00520169"/>
    <w:rsid w:val="0052061D"/>
    <w:rsid w:val="00520620"/>
    <w:rsid w:val="005213A5"/>
    <w:rsid w:val="005214B0"/>
    <w:rsid w:val="00522B57"/>
    <w:rsid w:val="00522CAA"/>
    <w:rsid w:val="00523491"/>
    <w:rsid w:val="00523E46"/>
    <w:rsid w:val="00524E38"/>
    <w:rsid w:val="00525660"/>
    <w:rsid w:val="00526086"/>
    <w:rsid w:val="005269CB"/>
    <w:rsid w:val="00527AE1"/>
    <w:rsid w:val="005301E0"/>
    <w:rsid w:val="0053098E"/>
    <w:rsid w:val="00530BAD"/>
    <w:rsid w:val="00531A26"/>
    <w:rsid w:val="005335F4"/>
    <w:rsid w:val="00534938"/>
    <w:rsid w:val="00534BF6"/>
    <w:rsid w:val="00536095"/>
    <w:rsid w:val="00537835"/>
    <w:rsid w:val="00537B61"/>
    <w:rsid w:val="00537C26"/>
    <w:rsid w:val="00537D37"/>
    <w:rsid w:val="00542750"/>
    <w:rsid w:val="005429D6"/>
    <w:rsid w:val="00542A27"/>
    <w:rsid w:val="005432D8"/>
    <w:rsid w:val="00544368"/>
    <w:rsid w:val="0054512F"/>
    <w:rsid w:val="00546C19"/>
    <w:rsid w:val="005474DF"/>
    <w:rsid w:val="0055050C"/>
    <w:rsid w:val="005507A4"/>
    <w:rsid w:val="00551457"/>
    <w:rsid w:val="005515D4"/>
    <w:rsid w:val="00553373"/>
    <w:rsid w:val="00555109"/>
    <w:rsid w:val="00555E70"/>
    <w:rsid w:val="00556822"/>
    <w:rsid w:val="00556F95"/>
    <w:rsid w:val="005572B7"/>
    <w:rsid w:val="00557571"/>
    <w:rsid w:val="00557FF9"/>
    <w:rsid w:val="00560D7B"/>
    <w:rsid w:val="0056136E"/>
    <w:rsid w:val="0056175C"/>
    <w:rsid w:val="00563EE7"/>
    <w:rsid w:val="005644F2"/>
    <w:rsid w:val="005645A9"/>
    <w:rsid w:val="00567AAA"/>
    <w:rsid w:val="00570246"/>
    <w:rsid w:val="00570825"/>
    <w:rsid w:val="005745F5"/>
    <w:rsid w:val="00575B7A"/>
    <w:rsid w:val="00575CC6"/>
    <w:rsid w:val="00576301"/>
    <w:rsid w:val="00581D00"/>
    <w:rsid w:val="00584386"/>
    <w:rsid w:val="00586720"/>
    <w:rsid w:val="0058696C"/>
    <w:rsid w:val="005874CB"/>
    <w:rsid w:val="00587792"/>
    <w:rsid w:val="00590F50"/>
    <w:rsid w:val="00593B1C"/>
    <w:rsid w:val="00593F39"/>
    <w:rsid w:val="00594ED5"/>
    <w:rsid w:val="00595E4A"/>
    <w:rsid w:val="00595F5E"/>
    <w:rsid w:val="005963D6"/>
    <w:rsid w:val="005972C7"/>
    <w:rsid w:val="00597654"/>
    <w:rsid w:val="0059785B"/>
    <w:rsid w:val="005A0AEF"/>
    <w:rsid w:val="005A1487"/>
    <w:rsid w:val="005A2542"/>
    <w:rsid w:val="005A4E29"/>
    <w:rsid w:val="005A52CA"/>
    <w:rsid w:val="005A5803"/>
    <w:rsid w:val="005A5948"/>
    <w:rsid w:val="005A60F7"/>
    <w:rsid w:val="005A6A9B"/>
    <w:rsid w:val="005B0990"/>
    <w:rsid w:val="005B1C8A"/>
    <w:rsid w:val="005B3A63"/>
    <w:rsid w:val="005B446D"/>
    <w:rsid w:val="005B6878"/>
    <w:rsid w:val="005B6B62"/>
    <w:rsid w:val="005B7620"/>
    <w:rsid w:val="005B77B1"/>
    <w:rsid w:val="005C1949"/>
    <w:rsid w:val="005C2263"/>
    <w:rsid w:val="005C2848"/>
    <w:rsid w:val="005C3659"/>
    <w:rsid w:val="005C3DAA"/>
    <w:rsid w:val="005C41BC"/>
    <w:rsid w:val="005C4554"/>
    <w:rsid w:val="005C627C"/>
    <w:rsid w:val="005C6D02"/>
    <w:rsid w:val="005D0239"/>
    <w:rsid w:val="005D1920"/>
    <w:rsid w:val="005D1CE5"/>
    <w:rsid w:val="005D40FE"/>
    <w:rsid w:val="005D4629"/>
    <w:rsid w:val="005D69B1"/>
    <w:rsid w:val="005D6ACD"/>
    <w:rsid w:val="005D6EEE"/>
    <w:rsid w:val="005D71B0"/>
    <w:rsid w:val="005D740B"/>
    <w:rsid w:val="005E0004"/>
    <w:rsid w:val="005E039B"/>
    <w:rsid w:val="005E260C"/>
    <w:rsid w:val="005E29E3"/>
    <w:rsid w:val="005E3056"/>
    <w:rsid w:val="005E3626"/>
    <w:rsid w:val="005E3D3B"/>
    <w:rsid w:val="005E41F2"/>
    <w:rsid w:val="005E43B1"/>
    <w:rsid w:val="005E69D1"/>
    <w:rsid w:val="005F10C5"/>
    <w:rsid w:val="005F1885"/>
    <w:rsid w:val="005F23F4"/>
    <w:rsid w:val="005F4BF2"/>
    <w:rsid w:val="005F4D02"/>
    <w:rsid w:val="005F4DA2"/>
    <w:rsid w:val="005F5CB4"/>
    <w:rsid w:val="005F746D"/>
    <w:rsid w:val="005F7EDB"/>
    <w:rsid w:val="00600569"/>
    <w:rsid w:val="006013C1"/>
    <w:rsid w:val="006018C3"/>
    <w:rsid w:val="00601BF7"/>
    <w:rsid w:val="00601C4F"/>
    <w:rsid w:val="00602562"/>
    <w:rsid w:val="00603609"/>
    <w:rsid w:val="006038F6"/>
    <w:rsid w:val="00603F40"/>
    <w:rsid w:val="0060445D"/>
    <w:rsid w:val="006066CF"/>
    <w:rsid w:val="00607105"/>
    <w:rsid w:val="00607654"/>
    <w:rsid w:val="006113CF"/>
    <w:rsid w:val="006117AE"/>
    <w:rsid w:val="00611B6F"/>
    <w:rsid w:val="0061425B"/>
    <w:rsid w:val="0061487E"/>
    <w:rsid w:val="00614A0B"/>
    <w:rsid w:val="00615220"/>
    <w:rsid w:val="006158DC"/>
    <w:rsid w:val="0061645A"/>
    <w:rsid w:val="0061698D"/>
    <w:rsid w:val="00616B88"/>
    <w:rsid w:val="00616C18"/>
    <w:rsid w:val="0061758F"/>
    <w:rsid w:val="0062126D"/>
    <w:rsid w:val="0062160D"/>
    <w:rsid w:val="006227BE"/>
    <w:rsid w:val="00624813"/>
    <w:rsid w:val="00625F0C"/>
    <w:rsid w:val="00626347"/>
    <w:rsid w:val="006263CB"/>
    <w:rsid w:val="0062676D"/>
    <w:rsid w:val="00626954"/>
    <w:rsid w:val="00627029"/>
    <w:rsid w:val="006270B8"/>
    <w:rsid w:val="0062777F"/>
    <w:rsid w:val="0063018F"/>
    <w:rsid w:val="00630E74"/>
    <w:rsid w:val="006314C8"/>
    <w:rsid w:val="00632564"/>
    <w:rsid w:val="00632783"/>
    <w:rsid w:val="0063291E"/>
    <w:rsid w:val="00632A25"/>
    <w:rsid w:val="00632B0E"/>
    <w:rsid w:val="006362B0"/>
    <w:rsid w:val="006400EA"/>
    <w:rsid w:val="006421A5"/>
    <w:rsid w:val="0064471A"/>
    <w:rsid w:val="0064576F"/>
    <w:rsid w:val="00647C78"/>
    <w:rsid w:val="0065052D"/>
    <w:rsid w:val="00650ECD"/>
    <w:rsid w:val="00653440"/>
    <w:rsid w:val="006547BF"/>
    <w:rsid w:val="00657245"/>
    <w:rsid w:val="00657260"/>
    <w:rsid w:val="0065732D"/>
    <w:rsid w:val="00660FDD"/>
    <w:rsid w:val="00662431"/>
    <w:rsid w:val="00662678"/>
    <w:rsid w:val="00662A13"/>
    <w:rsid w:val="00663009"/>
    <w:rsid w:val="00663D4C"/>
    <w:rsid w:val="00664066"/>
    <w:rsid w:val="00664807"/>
    <w:rsid w:val="00665625"/>
    <w:rsid w:val="00665B8B"/>
    <w:rsid w:val="00665D29"/>
    <w:rsid w:val="006662EA"/>
    <w:rsid w:val="00666A24"/>
    <w:rsid w:val="006679CB"/>
    <w:rsid w:val="00671252"/>
    <w:rsid w:val="006717C0"/>
    <w:rsid w:val="00671AB9"/>
    <w:rsid w:val="00671CF7"/>
    <w:rsid w:val="0067250A"/>
    <w:rsid w:val="00672610"/>
    <w:rsid w:val="00674BCB"/>
    <w:rsid w:val="00674DB2"/>
    <w:rsid w:val="00677706"/>
    <w:rsid w:val="0067790A"/>
    <w:rsid w:val="006808EB"/>
    <w:rsid w:val="006828EF"/>
    <w:rsid w:val="00683330"/>
    <w:rsid w:val="0068337F"/>
    <w:rsid w:val="0068367B"/>
    <w:rsid w:val="00684A39"/>
    <w:rsid w:val="00684DD4"/>
    <w:rsid w:val="00685DDD"/>
    <w:rsid w:val="0068701A"/>
    <w:rsid w:val="00690481"/>
    <w:rsid w:val="00690661"/>
    <w:rsid w:val="00692CC1"/>
    <w:rsid w:val="00693116"/>
    <w:rsid w:val="006933BF"/>
    <w:rsid w:val="00694396"/>
    <w:rsid w:val="006952E6"/>
    <w:rsid w:val="006961F8"/>
    <w:rsid w:val="006976FC"/>
    <w:rsid w:val="006A0A18"/>
    <w:rsid w:val="006A1EA6"/>
    <w:rsid w:val="006A35FA"/>
    <w:rsid w:val="006A3D5A"/>
    <w:rsid w:val="006A3E62"/>
    <w:rsid w:val="006A4ACB"/>
    <w:rsid w:val="006A52D9"/>
    <w:rsid w:val="006A5674"/>
    <w:rsid w:val="006A6D7B"/>
    <w:rsid w:val="006A74FD"/>
    <w:rsid w:val="006A755E"/>
    <w:rsid w:val="006A7C6B"/>
    <w:rsid w:val="006B09AC"/>
    <w:rsid w:val="006B09E3"/>
    <w:rsid w:val="006B1844"/>
    <w:rsid w:val="006B1AC7"/>
    <w:rsid w:val="006B1B34"/>
    <w:rsid w:val="006B1B50"/>
    <w:rsid w:val="006B3552"/>
    <w:rsid w:val="006B3C32"/>
    <w:rsid w:val="006B415B"/>
    <w:rsid w:val="006B41DC"/>
    <w:rsid w:val="006B630F"/>
    <w:rsid w:val="006B69BD"/>
    <w:rsid w:val="006B70D2"/>
    <w:rsid w:val="006B7343"/>
    <w:rsid w:val="006C1791"/>
    <w:rsid w:val="006C3AB6"/>
    <w:rsid w:val="006C631F"/>
    <w:rsid w:val="006C6B0D"/>
    <w:rsid w:val="006C6CB4"/>
    <w:rsid w:val="006C6CBB"/>
    <w:rsid w:val="006D09EA"/>
    <w:rsid w:val="006D0ADE"/>
    <w:rsid w:val="006D2C9C"/>
    <w:rsid w:val="006D320C"/>
    <w:rsid w:val="006D3294"/>
    <w:rsid w:val="006D3500"/>
    <w:rsid w:val="006D3691"/>
    <w:rsid w:val="006D6E59"/>
    <w:rsid w:val="006E0210"/>
    <w:rsid w:val="006E1CC5"/>
    <w:rsid w:val="006E2B23"/>
    <w:rsid w:val="006E430F"/>
    <w:rsid w:val="006F0114"/>
    <w:rsid w:val="006F0A1A"/>
    <w:rsid w:val="006F2358"/>
    <w:rsid w:val="006F3DCD"/>
    <w:rsid w:val="006F3FB4"/>
    <w:rsid w:val="006F4910"/>
    <w:rsid w:val="006F68AD"/>
    <w:rsid w:val="006F7131"/>
    <w:rsid w:val="006F7DD9"/>
    <w:rsid w:val="007002C3"/>
    <w:rsid w:val="007008A5"/>
    <w:rsid w:val="00701C8D"/>
    <w:rsid w:val="00701DB3"/>
    <w:rsid w:val="00702C0E"/>
    <w:rsid w:val="00702FDC"/>
    <w:rsid w:val="00703AA4"/>
    <w:rsid w:val="00704D29"/>
    <w:rsid w:val="007056E5"/>
    <w:rsid w:val="00706198"/>
    <w:rsid w:val="00707713"/>
    <w:rsid w:val="00711AF4"/>
    <w:rsid w:val="007121F7"/>
    <w:rsid w:val="00712CA1"/>
    <w:rsid w:val="00713819"/>
    <w:rsid w:val="00713F3F"/>
    <w:rsid w:val="00714C4C"/>
    <w:rsid w:val="00715BAF"/>
    <w:rsid w:val="0072077F"/>
    <w:rsid w:val="0072443A"/>
    <w:rsid w:val="00724560"/>
    <w:rsid w:val="007255D0"/>
    <w:rsid w:val="007259FC"/>
    <w:rsid w:val="00726195"/>
    <w:rsid w:val="00726470"/>
    <w:rsid w:val="007268FD"/>
    <w:rsid w:val="00727AD6"/>
    <w:rsid w:val="00731000"/>
    <w:rsid w:val="00732671"/>
    <w:rsid w:val="007349C5"/>
    <w:rsid w:val="007352F0"/>
    <w:rsid w:val="007353E7"/>
    <w:rsid w:val="00735C0A"/>
    <w:rsid w:val="007366D1"/>
    <w:rsid w:val="00736FBC"/>
    <w:rsid w:val="007374E9"/>
    <w:rsid w:val="00737E64"/>
    <w:rsid w:val="00741235"/>
    <w:rsid w:val="0074142C"/>
    <w:rsid w:val="0074284A"/>
    <w:rsid w:val="00742BF9"/>
    <w:rsid w:val="0074436E"/>
    <w:rsid w:val="00746400"/>
    <w:rsid w:val="0074735B"/>
    <w:rsid w:val="00751302"/>
    <w:rsid w:val="0075324D"/>
    <w:rsid w:val="0075531D"/>
    <w:rsid w:val="0075581E"/>
    <w:rsid w:val="00755A27"/>
    <w:rsid w:val="00755B13"/>
    <w:rsid w:val="007561D1"/>
    <w:rsid w:val="00757468"/>
    <w:rsid w:val="00761A59"/>
    <w:rsid w:val="00762050"/>
    <w:rsid w:val="007633CC"/>
    <w:rsid w:val="007635E7"/>
    <w:rsid w:val="00765F69"/>
    <w:rsid w:val="00771B3B"/>
    <w:rsid w:val="00772250"/>
    <w:rsid w:val="00772552"/>
    <w:rsid w:val="00772E3E"/>
    <w:rsid w:val="00772F21"/>
    <w:rsid w:val="00773BEC"/>
    <w:rsid w:val="00774BD6"/>
    <w:rsid w:val="007757E2"/>
    <w:rsid w:val="007767D1"/>
    <w:rsid w:val="0077769A"/>
    <w:rsid w:val="00777C05"/>
    <w:rsid w:val="00777F77"/>
    <w:rsid w:val="007806F3"/>
    <w:rsid w:val="00781022"/>
    <w:rsid w:val="00781777"/>
    <w:rsid w:val="00781A13"/>
    <w:rsid w:val="00782756"/>
    <w:rsid w:val="0078321C"/>
    <w:rsid w:val="00783AEC"/>
    <w:rsid w:val="00784229"/>
    <w:rsid w:val="00785043"/>
    <w:rsid w:val="007862F5"/>
    <w:rsid w:val="007865D6"/>
    <w:rsid w:val="00786C8B"/>
    <w:rsid w:val="00787864"/>
    <w:rsid w:val="007879EF"/>
    <w:rsid w:val="00790D95"/>
    <w:rsid w:val="00791533"/>
    <w:rsid w:val="0079242E"/>
    <w:rsid w:val="00793AB5"/>
    <w:rsid w:val="00794C53"/>
    <w:rsid w:val="0079529D"/>
    <w:rsid w:val="007965ED"/>
    <w:rsid w:val="00796FE0"/>
    <w:rsid w:val="0079762F"/>
    <w:rsid w:val="007A02D3"/>
    <w:rsid w:val="007A1F1A"/>
    <w:rsid w:val="007A2072"/>
    <w:rsid w:val="007A329A"/>
    <w:rsid w:val="007A5B9D"/>
    <w:rsid w:val="007A6404"/>
    <w:rsid w:val="007A64F3"/>
    <w:rsid w:val="007A6607"/>
    <w:rsid w:val="007B0416"/>
    <w:rsid w:val="007B26AB"/>
    <w:rsid w:val="007B3305"/>
    <w:rsid w:val="007B39FA"/>
    <w:rsid w:val="007B44DE"/>
    <w:rsid w:val="007B4A15"/>
    <w:rsid w:val="007B4A3D"/>
    <w:rsid w:val="007B537A"/>
    <w:rsid w:val="007B55DE"/>
    <w:rsid w:val="007B5D03"/>
    <w:rsid w:val="007B614B"/>
    <w:rsid w:val="007C0028"/>
    <w:rsid w:val="007C065C"/>
    <w:rsid w:val="007C2D52"/>
    <w:rsid w:val="007C2E54"/>
    <w:rsid w:val="007C2E93"/>
    <w:rsid w:val="007C3C6D"/>
    <w:rsid w:val="007C3FDB"/>
    <w:rsid w:val="007C47CF"/>
    <w:rsid w:val="007C4817"/>
    <w:rsid w:val="007C4D4D"/>
    <w:rsid w:val="007C4E78"/>
    <w:rsid w:val="007C5388"/>
    <w:rsid w:val="007C57FF"/>
    <w:rsid w:val="007C588B"/>
    <w:rsid w:val="007C5B30"/>
    <w:rsid w:val="007C5C99"/>
    <w:rsid w:val="007C66B3"/>
    <w:rsid w:val="007C6C59"/>
    <w:rsid w:val="007D0D97"/>
    <w:rsid w:val="007D0EA4"/>
    <w:rsid w:val="007D10DD"/>
    <w:rsid w:val="007D18CC"/>
    <w:rsid w:val="007D1C04"/>
    <w:rsid w:val="007D36FD"/>
    <w:rsid w:val="007D38D0"/>
    <w:rsid w:val="007D4057"/>
    <w:rsid w:val="007D47EF"/>
    <w:rsid w:val="007D5BBC"/>
    <w:rsid w:val="007D5FDA"/>
    <w:rsid w:val="007D67E1"/>
    <w:rsid w:val="007D68B2"/>
    <w:rsid w:val="007D7F02"/>
    <w:rsid w:val="007E0F55"/>
    <w:rsid w:val="007E19E3"/>
    <w:rsid w:val="007E1DC9"/>
    <w:rsid w:val="007E21DA"/>
    <w:rsid w:val="007E324D"/>
    <w:rsid w:val="007E4794"/>
    <w:rsid w:val="007E5997"/>
    <w:rsid w:val="007E69F8"/>
    <w:rsid w:val="007F02C2"/>
    <w:rsid w:val="007F04B7"/>
    <w:rsid w:val="007F0F99"/>
    <w:rsid w:val="007F25BA"/>
    <w:rsid w:val="007F6065"/>
    <w:rsid w:val="007F677A"/>
    <w:rsid w:val="007F7BCC"/>
    <w:rsid w:val="007F7E0C"/>
    <w:rsid w:val="00800567"/>
    <w:rsid w:val="00801283"/>
    <w:rsid w:val="0080152D"/>
    <w:rsid w:val="008033A5"/>
    <w:rsid w:val="0080554F"/>
    <w:rsid w:val="00805665"/>
    <w:rsid w:val="00806276"/>
    <w:rsid w:val="00806597"/>
    <w:rsid w:val="00806D92"/>
    <w:rsid w:val="00807694"/>
    <w:rsid w:val="00810C48"/>
    <w:rsid w:val="00811A7F"/>
    <w:rsid w:val="0081290A"/>
    <w:rsid w:val="00813568"/>
    <w:rsid w:val="008152DC"/>
    <w:rsid w:val="008154F8"/>
    <w:rsid w:val="0081623B"/>
    <w:rsid w:val="00817370"/>
    <w:rsid w:val="00820E85"/>
    <w:rsid w:val="00822869"/>
    <w:rsid w:val="008230B5"/>
    <w:rsid w:val="00824146"/>
    <w:rsid w:val="008249A0"/>
    <w:rsid w:val="008256E0"/>
    <w:rsid w:val="00826EA1"/>
    <w:rsid w:val="008270BC"/>
    <w:rsid w:val="008300B9"/>
    <w:rsid w:val="00830B55"/>
    <w:rsid w:val="008333EB"/>
    <w:rsid w:val="00834ADC"/>
    <w:rsid w:val="00840246"/>
    <w:rsid w:val="008411AE"/>
    <w:rsid w:val="0084134A"/>
    <w:rsid w:val="00841FB1"/>
    <w:rsid w:val="008449D1"/>
    <w:rsid w:val="00845AFF"/>
    <w:rsid w:val="0084786E"/>
    <w:rsid w:val="00851B8D"/>
    <w:rsid w:val="00852238"/>
    <w:rsid w:val="008556E9"/>
    <w:rsid w:val="008567B8"/>
    <w:rsid w:val="00857851"/>
    <w:rsid w:val="0086090E"/>
    <w:rsid w:val="00860AD0"/>
    <w:rsid w:val="00861209"/>
    <w:rsid w:val="00861962"/>
    <w:rsid w:val="00862964"/>
    <w:rsid w:val="00862997"/>
    <w:rsid w:val="0086450E"/>
    <w:rsid w:val="00864BF1"/>
    <w:rsid w:val="00866AA1"/>
    <w:rsid w:val="00870705"/>
    <w:rsid w:val="00870859"/>
    <w:rsid w:val="00870FB6"/>
    <w:rsid w:val="0087101F"/>
    <w:rsid w:val="0087215E"/>
    <w:rsid w:val="00873150"/>
    <w:rsid w:val="00875DEE"/>
    <w:rsid w:val="008773D9"/>
    <w:rsid w:val="00877A82"/>
    <w:rsid w:val="00881989"/>
    <w:rsid w:val="0088295E"/>
    <w:rsid w:val="00884033"/>
    <w:rsid w:val="00885058"/>
    <w:rsid w:val="00885D9E"/>
    <w:rsid w:val="0088702F"/>
    <w:rsid w:val="0089021D"/>
    <w:rsid w:val="008935FD"/>
    <w:rsid w:val="008949AE"/>
    <w:rsid w:val="008950FC"/>
    <w:rsid w:val="00895142"/>
    <w:rsid w:val="00895663"/>
    <w:rsid w:val="00897DF0"/>
    <w:rsid w:val="008A1F62"/>
    <w:rsid w:val="008A2DE3"/>
    <w:rsid w:val="008A4F0E"/>
    <w:rsid w:val="008A575E"/>
    <w:rsid w:val="008A57B7"/>
    <w:rsid w:val="008A5878"/>
    <w:rsid w:val="008A5C77"/>
    <w:rsid w:val="008A5EEE"/>
    <w:rsid w:val="008B0347"/>
    <w:rsid w:val="008B0C85"/>
    <w:rsid w:val="008B1001"/>
    <w:rsid w:val="008B2390"/>
    <w:rsid w:val="008B3AFF"/>
    <w:rsid w:val="008B5108"/>
    <w:rsid w:val="008B57B2"/>
    <w:rsid w:val="008B5A4C"/>
    <w:rsid w:val="008B655D"/>
    <w:rsid w:val="008B728C"/>
    <w:rsid w:val="008B7532"/>
    <w:rsid w:val="008C079F"/>
    <w:rsid w:val="008C097A"/>
    <w:rsid w:val="008C0B9D"/>
    <w:rsid w:val="008C326D"/>
    <w:rsid w:val="008C3842"/>
    <w:rsid w:val="008C5892"/>
    <w:rsid w:val="008C5AFF"/>
    <w:rsid w:val="008C6860"/>
    <w:rsid w:val="008C68DD"/>
    <w:rsid w:val="008C69B7"/>
    <w:rsid w:val="008C7253"/>
    <w:rsid w:val="008C799A"/>
    <w:rsid w:val="008D0A0E"/>
    <w:rsid w:val="008D14C4"/>
    <w:rsid w:val="008D1F9E"/>
    <w:rsid w:val="008D2636"/>
    <w:rsid w:val="008D2DE4"/>
    <w:rsid w:val="008D4262"/>
    <w:rsid w:val="008D53F5"/>
    <w:rsid w:val="008D565A"/>
    <w:rsid w:val="008E0610"/>
    <w:rsid w:val="008E0695"/>
    <w:rsid w:val="008E403A"/>
    <w:rsid w:val="008E4178"/>
    <w:rsid w:val="008E53E7"/>
    <w:rsid w:val="008E6B03"/>
    <w:rsid w:val="008E76A9"/>
    <w:rsid w:val="008E7B7F"/>
    <w:rsid w:val="008F025C"/>
    <w:rsid w:val="008F04BC"/>
    <w:rsid w:val="008F0C14"/>
    <w:rsid w:val="008F1E4D"/>
    <w:rsid w:val="008F232F"/>
    <w:rsid w:val="008F3065"/>
    <w:rsid w:val="008F3B22"/>
    <w:rsid w:val="008F7E99"/>
    <w:rsid w:val="009002BC"/>
    <w:rsid w:val="009018D2"/>
    <w:rsid w:val="00902E9A"/>
    <w:rsid w:val="00905099"/>
    <w:rsid w:val="009053A3"/>
    <w:rsid w:val="009053F8"/>
    <w:rsid w:val="00905A61"/>
    <w:rsid w:val="00905A6F"/>
    <w:rsid w:val="00905CF4"/>
    <w:rsid w:val="00906907"/>
    <w:rsid w:val="009138CB"/>
    <w:rsid w:val="00913A42"/>
    <w:rsid w:val="009141DA"/>
    <w:rsid w:val="0091459D"/>
    <w:rsid w:val="0091594C"/>
    <w:rsid w:val="0091644E"/>
    <w:rsid w:val="0091712A"/>
    <w:rsid w:val="009173DC"/>
    <w:rsid w:val="009202CA"/>
    <w:rsid w:val="0092265A"/>
    <w:rsid w:val="00923EC7"/>
    <w:rsid w:val="00923FD9"/>
    <w:rsid w:val="00925D64"/>
    <w:rsid w:val="009265ED"/>
    <w:rsid w:val="009267B8"/>
    <w:rsid w:val="00926F9E"/>
    <w:rsid w:val="0093017D"/>
    <w:rsid w:val="00931BDD"/>
    <w:rsid w:val="009329FC"/>
    <w:rsid w:val="00933328"/>
    <w:rsid w:val="009336A3"/>
    <w:rsid w:val="00933D3C"/>
    <w:rsid w:val="00933FF5"/>
    <w:rsid w:val="00935776"/>
    <w:rsid w:val="0093703F"/>
    <w:rsid w:val="0094012B"/>
    <w:rsid w:val="009405C8"/>
    <w:rsid w:val="009408EB"/>
    <w:rsid w:val="00940A29"/>
    <w:rsid w:val="00940D34"/>
    <w:rsid w:val="009422A3"/>
    <w:rsid w:val="009443F8"/>
    <w:rsid w:val="00945041"/>
    <w:rsid w:val="00945162"/>
    <w:rsid w:val="00945398"/>
    <w:rsid w:val="00950DCC"/>
    <w:rsid w:val="009554EE"/>
    <w:rsid w:val="00955CEE"/>
    <w:rsid w:val="00957043"/>
    <w:rsid w:val="009576F1"/>
    <w:rsid w:val="009603E1"/>
    <w:rsid w:val="009610D1"/>
    <w:rsid w:val="00961A90"/>
    <w:rsid w:val="00962A02"/>
    <w:rsid w:val="009651F3"/>
    <w:rsid w:val="00965289"/>
    <w:rsid w:val="009654A8"/>
    <w:rsid w:val="00966545"/>
    <w:rsid w:val="00967505"/>
    <w:rsid w:val="009705D0"/>
    <w:rsid w:val="0097074D"/>
    <w:rsid w:val="0097211C"/>
    <w:rsid w:val="00973CFC"/>
    <w:rsid w:val="009742FC"/>
    <w:rsid w:val="00974787"/>
    <w:rsid w:val="00976D6D"/>
    <w:rsid w:val="00981B99"/>
    <w:rsid w:val="00981CD6"/>
    <w:rsid w:val="00981EA7"/>
    <w:rsid w:val="009826D9"/>
    <w:rsid w:val="009826FA"/>
    <w:rsid w:val="009833E8"/>
    <w:rsid w:val="00984397"/>
    <w:rsid w:val="00985B87"/>
    <w:rsid w:val="00986993"/>
    <w:rsid w:val="00987C0C"/>
    <w:rsid w:val="00990B22"/>
    <w:rsid w:val="0099437E"/>
    <w:rsid w:val="00994A0E"/>
    <w:rsid w:val="00994E2B"/>
    <w:rsid w:val="0099617E"/>
    <w:rsid w:val="00996EA0"/>
    <w:rsid w:val="00997AEF"/>
    <w:rsid w:val="00997E41"/>
    <w:rsid w:val="009A023A"/>
    <w:rsid w:val="009A0647"/>
    <w:rsid w:val="009A08D6"/>
    <w:rsid w:val="009A36E3"/>
    <w:rsid w:val="009A4C55"/>
    <w:rsid w:val="009A5956"/>
    <w:rsid w:val="009A76F6"/>
    <w:rsid w:val="009B0BC5"/>
    <w:rsid w:val="009B5440"/>
    <w:rsid w:val="009B55FA"/>
    <w:rsid w:val="009B640D"/>
    <w:rsid w:val="009B7911"/>
    <w:rsid w:val="009C1641"/>
    <w:rsid w:val="009C1815"/>
    <w:rsid w:val="009C1E45"/>
    <w:rsid w:val="009C3FB3"/>
    <w:rsid w:val="009C4A93"/>
    <w:rsid w:val="009D02F1"/>
    <w:rsid w:val="009D1DF4"/>
    <w:rsid w:val="009D22A6"/>
    <w:rsid w:val="009D26B5"/>
    <w:rsid w:val="009D2780"/>
    <w:rsid w:val="009D2A07"/>
    <w:rsid w:val="009D38D1"/>
    <w:rsid w:val="009D3C71"/>
    <w:rsid w:val="009D43AA"/>
    <w:rsid w:val="009D5101"/>
    <w:rsid w:val="009D5B61"/>
    <w:rsid w:val="009D5FD5"/>
    <w:rsid w:val="009D7296"/>
    <w:rsid w:val="009D7626"/>
    <w:rsid w:val="009D77E6"/>
    <w:rsid w:val="009E0268"/>
    <w:rsid w:val="009E096A"/>
    <w:rsid w:val="009E0C0C"/>
    <w:rsid w:val="009E1077"/>
    <w:rsid w:val="009E2358"/>
    <w:rsid w:val="009E3765"/>
    <w:rsid w:val="009E4590"/>
    <w:rsid w:val="009E591B"/>
    <w:rsid w:val="009E7427"/>
    <w:rsid w:val="009F1D86"/>
    <w:rsid w:val="009F2423"/>
    <w:rsid w:val="009F375C"/>
    <w:rsid w:val="009F49CC"/>
    <w:rsid w:val="009F4E36"/>
    <w:rsid w:val="009F5EF1"/>
    <w:rsid w:val="009F6B4B"/>
    <w:rsid w:val="00A00383"/>
    <w:rsid w:val="00A01D7B"/>
    <w:rsid w:val="00A01FB4"/>
    <w:rsid w:val="00A05FC7"/>
    <w:rsid w:val="00A065C8"/>
    <w:rsid w:val="00A06E46"/>
    <w:rsid w:val="00A10682"/>
    <w:rsid w:val="00A10FAB"/>
    <w:rsid w:val="00A119FD"/>
    <w:rsid w:val="00A11BFC"/>
    <w:rsid w:val="00A13654"/>
    <w:rsid w:val="00A154A1"/>
    <w:rsid w:val="00A17F8C"/>
    <w:rsid w:val="00A20375"/>
    <w:rsid w:val="00A2185B"/>
    <w:rsid w:val="00A21FFC"/>
    <w:rsid w:val="00A222D3"/>
    <w:rsid w:val="00A248DE"/>
    <w:rsid w:val="00A25989"/>
    <w:rsid w:val="00A27245"/>
    <w:rsid w:val="00A31258"/>
    <w:rsid w:val="00A322FC"/>
    <w:rsid w:val="00A32EEF"/>
    <w:rsid w:val="00A33523"/>
    <w:rsid w:val="00A34432"/>
    <w:rsid w:val="00A34DAF"/>
    <w:rsid w:val="00A34F83"/>
    <w:rsid w:val="00A34FF7"/>
    <w:rsid w:val="00A35381"/>
    <w:rsid w:val="00A364DD"/>
    <w:rsid w:val="00A36545"/>
    <w:rsid w:val="00A372E1"/>
    <w:rsid w:val="00A37EC9"/>
    <w:rsid w:val="00A37FA9"/>
    <w:rsid w:val="00A401E0"/>
    <w:rsid w:val="00A43F34"/>
    <w:rsid w:val="00A44211"/>
    <w:rsid w:val="00A472A6"/>
    <w:rsid w:val="00A47F79"/>
    <w:rsid w:val="00A50470"/>
    <w:rsid w:val="00A5055B"/>
    <w:rsid w:val="00A51635"/>
    <w:rsid w:val="00A52293"/>
    <w:rsid w:val="00A529A0"/>
    <w:rsid w:val="00A529F2"/>
    <w:rsid w:val="00A535DA"/>
    <w:rsid w:val="00A536C0"/>
    <w:rsid w:val="00A54E30"/>
    <w:rsid w:val="00A56044"/>
    <w:rsid w:val="00A562C7"/>
    <w:rsid w:val="00A6034A"/>
    <w:rsid w:val="00A605C1"/>
    <w:rsid w:val="00A608B0"/>
    <w:rsid w:val="00A61ED0"/>
    <w:rsid w:val="00A63D81"/>
    <w:rsid w:val="00A64A25"/>
    <w:rsid w:val="00A64D78"/>
    <w:rsid w:val="00A65B5A"/>
    <w:rsid w:val="00A66109"/>
    <w:rsid w:val="00A711E4"/>
    <w:rsid w:val="00A71698"/>
    <w:rsid w:val="00A720FE"/>
    <w:rsid w:val="00A722EB"/>
    <w:rsid w:val="00A73733"/>
    <w:rsid w:val="00A73E18"/>
    <w:rsid w:val="00A74266"/>
    <w:rsid w:val="00A75B93"/>
    <w:rsid w:val="00A7734F"/>
    <w:rsid w:val="00A8080F"/>
    <w:rsid w:val="00A80C88"/>
    <w:rsid w:val="00A82462"/>
    <w:rsid w:val="00A82CCA"/>
    <w:rsid w:val="00A838E6"/>
    <w:rsid w:val="00A84233"/>
    <w:rsid w:val="00A86243"/>
    <w:rsid w:val="00A86A76"/>
    <w:rsid w:val="00A86DFF"/>
    <w:rsid w:val="00A86E65"/>
    <w:rsid w:val="00A87636"/>
    <w:rsid w:val="00A87654"/>
    <w:rsid w:val="00A87BBD"/>
    <w:rsid w:val="00A87FC3"/>
    <w:rsid w:val="00A902BA"/>
    <w:rsid w:val="00A904CC"/>
    <w:rsid w:val="00A9111B"/>
    <w:rsid w:val="00A95BE6"/>
    <w:rsid w:val="00A96888"/>
    <w:rsid w:val="00A96B4F"/>
    <w:rsid w:val="00AA33E9"/>
    <w:rsid w:val="00AA393F"/>
    <w:rsid w:val="00AA3B6C"/>
    <w:rsid w:val="00AA4EA8"/>
    <w:rsid w:val="00AA55FF"/>
    <w:rsid w:val="00AA5AED"/>
    <w:rsid w:val="00AA6298"/>
    <w:rsid w:val="00AA68A2"/>
    <w:rsid w:val="00AB06D7"/>
    <w:rsid w:val="00AB189C"/>
    <w:rsid w:val="00AB1BAE"/>
    <w:rsid w:val="00AB320A"/>
    <w:rsid w:val="00AB3366"/>
    <w:rsid w:val="00AB3E61"/>
    <w:rsid w:val="00AB40DB"/>
    <w:rsid w:val="00AB451C"/>
    <w:rsid w:val="00AB491F"/>
    <w:rsid w:val="00AB49E3"/>
    <w:rsid w:val="00AB4A9F"/>
    <w:rsid w:val="00AB57FC"/>
    <w:rsid w:val="00AB69F2"/>
    <w:rsid w:val="00AB7180"/>
    <w:rsid w:val="00AC0179"/>
    <w:rsid w:val="00AC28E3"/>
    <w:rsid w:val="00AC38C9"/>
    <w:rsid w:val="00AC3B04"/>
    <w:rsid w:val="00AC4263"/>
    <w:rsid w:val="00AC4C7D"/>
    <w:rsid w:val="00AC4D1C"/>
    <w:rsid w:val="00AC591A"/>
    <w:rsid w:val="00AC67A9"/>
    <w:rsid w:val="00AC68FB"/>
    <w:rsid w:val="00AC7639"/>
    <w:rsid w:val="00AC7D97"/>
    <w:rsid w:val="00AD0BCC"/>
    <w:rsid w:val="00AD0CA7"/>
    <w:rsid w:val="00AD1707"/>
    <w:rsid w:val="00AD1BFC"/>
    <w:rsid w:val="00AD4CA5"/>
    <w:rsid w:val="00AD5E8F"/>
    <w:rsid w:val="00AE0466"/>
    <w:rsid w:val="00AE1819"/>
    <w:rsid w:val="00AE26D8"/>
    <w:rsid w:val="00AE324B"/>
    <w:rsid w:val="00AE5194"/>
    <w:rsid w:val="00AE66E9"/>
    <w:rsid w:val="00AE6CA1"/>
    <w:rsid w:val="00AE701D"/>
    <w:rsid w:val="00AE7A0F"/>
    <w:rsid w:val="00AF0496"/>
    <w:rsid w:val="00AF0DFA"/>
    <w:rsid w:val="00AF111E"/>
    <w:rsid w:val="00AF18EF"/>
    <w:rsid w:val="00AF3115"/>
    <w:rsid w:val="00AF33DE"/>
    <w:rsid w:val="00AF3B39"/>
    <w:rsid w:val="00AF4196"/>
    <w:rsid w:val="00AF5FF7"/>
    <w:rsid w:val="00AF7B06"/>
    <w:rsid w:val="00AF7CA7"/>
    <w:rsid w:val="00B00109"/>
    <w:rsid w:val="00B00A00"/>
    <w:rsid w:val="00B014B3"/>
    <w:rsid w:val="00B01E47"/>
    <w:rsid w:val="00B02939"/>
    <w:rsid w:val="00B02E3D"/>
    <w:rsid w:val="00B052BC"/>
    <w:rsid w:val="00B06B5D"/>
    <w:rsid w:val="00B07B0B"/>
    <w:rsid w:val="00B10A5E"/>
    <w:rsid w:val="00B11A09"/>
    <w:rsid w:val="00B166B7"/>
    <w:rsid w:val="00B205ED"/>
    <w:rsid w:val="00B209E1"/>
    <w:rsid w:val="00B20C2F"/>
    <w:rsid w:val="00B21340"/>
    <w:rsid w:val="00B21A24"/>
    <w:rsid w:val="00B222CB"/>
    <w:rsid w:val="00B2244A"/>
    <w:rsid w:val="00B22C29"/>
    <w:rsid w:val="00B23E6B"/>
    <w:rsid w:val="00B244CF"/>
    <w:rsid w:val="00B24B71"/>
    <w:rsid w:val="00B24C61"/>
    <w:rsid w:val="00B252DA"/>
    <w:rsid w:val="00B25AA2"/>
    <w:rsid w:val="00B261F9"/>
    <w:rsid w:val="00B27122"/>
    <w:rsid w:val="00B27177"/>
    <w:rsid w:val="00B279F7"/>
    <w:rsid w:val="00B3066A"/>
    <w:rsid w:val="00B31EC0"/>
    <w:rsid w:val="00B34133"/>
    <w:rsid w:val="00B353DE"/>
    <w:rsid w:val="00B355C2"/>
    <w:rsid w:val="00B35BD9"/>
    <w:rsid w:val="00B35C6D"/>
    <w:rsid w:val="00B36A8A"/>
    <w:rsid w:val="00B37D04"/>
    <w:rsid w:val="00B4023B"/>
    <w:rsid w:val="00B40FFA"/>
    <w:rsid w:val="00B41F3C"/>
    <w:rsid w:val="00B427BF"/>
    <w:rsid w:val="00B43D00"/>
    <w:rsid w:val="00B43DE3"/>
    <w:rsid w:val="00B458F7"/>
    <w:rsid w:val="00B46D0E"/>
    <w:rsid w:val="00B4703A"/>
    <w:rsid w:val="00B50CC6"/>
    <w:rsid w:val="00B50E69"/>
    <w:rsid w:val="00B513B5"/>
    <w:rsid w:val="00B526C4"/>
    <w:rsid w:val="00B52FBC"/>
    <w:rsid w:val="00B54098"/>
    <w:rsid w:val="00B5539E"/>
    <w:rsid w:val="00B606FA"/>
    <w:rsid w:val="00B61578"/>
    <w:rsid w:val="00B61596"/>
    <w:rsid w:val="00B61ED9"/>
    <w:rsid w:val="00B61F6A"/>
    <w:rsid w:val="00B6268A"/>
    <w:rsid w:val="00B62823"/>
    <w:rsid w:val="00B635CA"/>
    <w:rsid w:val="00B63E2D"/>
    <w:rsid w:val="00B63E3B"/>
    <w:rsid w:val="00B65587"/>
    <w:rsid w:val="00B65B09"/>
    <w:rsid w:val="00B65B2B"/>
    <w:rsid w:val="00B65CE5"/>
    <w:rsid w:val="00B66D27"/>
    <w:rsid w:val="00B677A1"/>
    <w:rsid w:val="00B707B1"/>
    <w:rsid w:val="00B71043"/>
    <w:rsid w:val="00B716E8"/>
    <w:rsid w:val="00B72576"/>
    <w:rsid w:val="00B72EC1"/>
    <w:rsid w:val="00B734B8"/>
    <w:rsid w:val="00B74DF6"/>
    <w:rsid w:val="00B7559E"/>
    <w:rsid w:val="00B75770"/>
    <w:rsid w:val="00B75789"/>
    <w:rsid w:val="00B75873"/>
    <w:rsid w:val="00B75B3E"/>
    <w:rsid w:val="00B76845"/>
    <w:rsid w:val="00B80066"/>
    <w:rsid w:val="00B80764"/>
    <w:rsid w:val="00B8091A"/>
    <w:rsid w:val="00B80959"/>
    <w:rsid w:val="00B810FF"/>
    <w:rsid w:val="00B813C9"/>
    <w:rsid w:val="00B819C0"/>
    <w:rsid w:val="00B81E53"/>
    <w:rsid w:val="00B82C91"/>
    <w:rsid w:val="00B832B4"/>
    <w:rsid w:val="00B83A41"/>
    <w:rsid w:val="00B83E89"/>
    <w:rsid w:val="00B8538F"/>
    <w:rsid w:val="00B854DF"/>
    <w:rsid w:val="00B873FF"/>
    <w:rsid w:val="00B916D1"/>
    <w:rsid w:val="00B91BEF"/>
    <w:rsid w:val="00B91FFB"/>
    <w:rsid w:val="00B9243E"/>
    <w:rsid w:val="00B92812"/>
    <w:rsid w:val="00B939F6"/>
    <w:rsid w:val="00B94CF9"/>
    <w:rsid w:val="00BA1264"/>
    <w:rsid w:val="00BA3F05"/>
    <w:rsid w:val="00BA4044"/>
    <w:rsid w:val="00BA55C9"/>
    <w:rsid w:val="00BA5D88"/>
    <w:rsid w:val="00BA7189"/>
    <w:rsid w:val="00BA7C84"/>
    <w:rsid w:val="00BB129F"/>
    <w:rsid w:val="00BB16AB"/>
    <w:rsid w:val="00BB3F29"/>
    <w:rsid w:val="00BB43C7"/>
    <w:rsid w:val="00BB4412"/>
    <w:rsid w:val="00BB695E"/>
    <w:rsid w:val="00BC0324"/>
    <w:rsid w:val="00BC0E33"/>
    <w:rsid w:val="00BC19DB"/>
    <w:rsid w:val="00BC1CB2"/>
    <w:rsid w:val="00BC4E1B"/>
    <w:rsid w:val="00BC5E56"/>
    <w:rsid w:val="00BC7DA7"/>
    <w:rsid w:val="00BD01E6"/>
    <w:rsid w:val="00BD034D"/>
    <w:rsid w:val="00BD0FFD"/>
    <w:rsid w:val="00BD101E"/>
    <w:rsid w:val="00BD2D17"/>
    <w:rsid w:val="00BD2F9A"/>
    <w:rsid w:val="00BD35FE"/>
    <w:rsid w:val="00BD5820"/>
    <w:rsid w:val="00BE1722"/>
    <w:rsid w:val="00BE18EA"/>
    <w:rsid w:val="00BE20DA"/>
    <w:rsid w:val="00BE2E88"/>
    <w:rsid w:val="00BE3598"/>
    <w:rsid w:val="00BE36FB"/>
    <w:rsid w:val="00BE3C3F"/>
    <w:rsid w:val="00BE48BE"/>
    <w:rsid w:val="00BF01C3"/>
    <w:rsid w:val="00BF02C3"/>
    <w:rsid w:val="00BF08F1"/>
    <w:rsid w:val="00BF0FC6"/>
    <w:rsid w:val="00BF1D06"/>
    <w:rsid w:val="00BF425F"/>
    <w:rsid w:val="00BF4602"/>
    <w:rsid w:val="00BF5086"/>
    <w:rsid w:val="00BF542D"/>
    <w:rsid w:val="00BF5F55"/>
    <w:rsid w:val="00BF789B"/>
    <w:rsid w:val="00BF7F74"/>
    <w:rsid w:val="00C00842"/>
    <w:rsid w:val="00C00D58"/>
    <w:rsid w:val="00C02C19"/>
    <w:rsid w:val="00C0320A"/>
    <w:rsid w:val="00C046D8"/>
    <w:rsid w:val="00C05638"/>
    <w:rsid w:val="00C060D6"/>
    <w:rsid w:val="00C062B9"/>
    <w:rsid w:val="00C06688"/>
    <w:rsid w:val="00C07B22"/>
    <w:rsid w:val="00C1142D"/>
    <w:rsid w:val="00C11BA9"/>
    <w:rsid w:val="00C11CE1"/>
    <w:rsid w:val="00C11CFD"/>
    <w:rsid w:val="00C12ADF"/>
    <w:rsid w:val="00C130F5"/>
    <w:rsid w:val="00C13BD9"/>
    <w:rsid w:val="00C144E5"/>
    <w:rsid w:val="00C14A77"/>
    <w:rsid w:val="00C15294"/>
    <w:rsid w:val="00C152B1"/>
    <w:rsid w:val="00C15B6D"/>
    <w:rsid w:val="00C163FF"/>
    <w:rsid w:val="00C16824"/>
    <w:rsid w:val="00C21D6C"/>
    <w:rsid w:val="00C21E2E"/>
    <w:rsid w:val="00C23710"/>
    <w:rsid w:val="00C244D5"/>
    <w:rsid w:val="00C2478C"/>
    <w:rsid w:val="00C249EE"/>
    <w:rsid w:val="00C25084"/>
    <w:rsid w:val="00C2536F"/>
    <w:rsid w:val="00C26042"/>
    <w:rsid w:val="00C27237"/>
    <w:rsid w:val="00C27F78"/>
    <w:rsid w:val="00C30959"/>
    <w:rsid w:val="00C31016"/>
    <w:rsid w:val="00C3182B"/>
    <w:rsid w:val="00C319FF"/>
    <w:rsid w:val="00C34354"/>
    <w:rsid w:val="00C34E14"/>
    <w:rsid w:val="00C35ACF"/>
    <w:rsid w:val="00C36531"/>
    <w:rsid w:val="00C4116C"/>
    <w:rsid w:val="00C42434"/>
    <w:rsid w:val="00C43A85"/>
    <w:rsid w:val="00C43DB8"/>
    <w:rsid w:val="00C4406B"/>
    <w:rsid w:val="00C446E9"/>
    <w:rsid w:val="00C45100"/>
    <w:rsid w:val="00C4680C"/>
    <w:rsid w:val="00C46CF6"/>
    <w:rsid w:val="00C474B8"/>
    <w:rsid w:val="00C50448"/>
    <w:rsid w:val="00C50732"/>
    <w:rsid w:val="00C50FE1"/>
    <w:rsid w:val="00C513D3"/>
    <w:rsid w:val="00C524B0"/>
    <w:rsid w:val="00C537EC"/>
    <w:rsid w:val="00C54070"/>
    <w:rsid w:val="00C543C0"/>
    <w:rsid w:val="00C54758"/>
    <w:rsid w:val="00C549F3"/>
    <w:rsid w:val="00C5522C"/>
    <w:rsid w:val="00C55E84"/>
    <w:rsid w:val="00C5623A"/>
    <w:rsid w:val="00C56663"/>
    <w:rsid w:val="00C567B8"/>
    <w:rsid w:val="00C5732A"/>
    <w:rsid w:val="00C60F3E"/>
    <w:rsid w:val="00C61961"/>
    <w:rsid w:val="00C61CF6"/>
    <w:rsid w:val="00C61F06"/>
    <w:rsid w:val="00C62A52"/>
    <w:rsid w:val="00C64188"/>
    <w:rsid w:val="00C6454E"/>
    <w:rsid w:val="00C66D64"/>
    <w:rsid w:val="00C6766A"/>
    <w:rsid w:val="00C6787E"/>
    <w:rsid w:val="00C67ED3"/>
    <w:rsid w:val="00C70288"/>
    <w:rsid w:val="00C70776"/>
    <w:rsid w:val="00C70ED9"/>
    <w:rsid w:val="00C71746"/>
    <w:rsid w:val="00C71A3E"/>
    <w:rsid w:val="00C72953"/>
    <w:rsid w:val="00C74533"/>
    <w:rsid w:val="00C762CB"/>
    <w:rsid w:val="00C765D1"/>
    <w:rsid w:val="00C77074"/>
    <w:rsid w:val="00C7778C"/>
    <w:rsid w:val="00C77E1E"/>
    <w:rsid w:val="00C8032D"/>
    <w:rsid w:val="00C81FBD"/>
    <w:rsid w:val="00C82739"/>
    <w:rsid w:val="00C827C8"/>
    <w:rsid w:val="00C83A69"/>
    <w:rsid w:val="00C83BC9"/>
    <w:rsid w:val="00C83D2E"/>
    <w:rsid w:val="00C847BA"/>
    <w:rsid w:val="00C86968"/>
    <w:rsid w:val="00C91EC9"/>
    <w:rsid w:val="00C92889"/>
    <w:rsid w:val="00C928F4"/>
    <w:rsid w:val="00C93408"/>
    <w:rsid w:val="00C937F3"/>
    <w:rsid w:val="00C9550F"/>
    <w:rsid w:val="00C96236"/>
    <w:rsid w:val="00C97E4E"/>
    <w:rsid w:val="00CA0847"/>
    <w:rsid w:val="00CA0D11"/>
    <w:rsid w:val="00CA0D50"/>
    <w:rsid w:val="00CA0EA5"/>
    <w:rsid w:val="00CA1687"/>
    <w:rsid w:val="00CA170A"/>
    <w:rsid w:val="00CA17D5"/>
    <w:rsid w:val="00CA4004"/>
    <w:rsid w:val="00CA57FF"/>
    <w:rsid w:val="00CA67C1"/>
    <w:rsid w:val="00CA683B"/>
    <w:rsid w:val="00CA7393"/>
    <w:rsid w:val="00CB02EF"/>
    <w:rsid w:val="00CB0485"/>
    <w:rsid w:val="00CB310C"/>
    <w:rsid w:val="00CB4E05"/>
    <w:rsid w:val="00CB4F6F"/>
    <w:rsid w:val="00CB55AD"/>
    <w:rsid w:val="00CB594A"/>
    <w:rsid w:val="00CB78A2"/>
    <w:rsid w:val="00CB7A49"/>
    <w:rsid w:val="00CC18F5"/>
    <w:rsid w:val="00CC21DA"/>
    <w:rsid w:val="00CC2BBE"/>
    <w:rsid w:val="00CC34E4"/>
    <w:rsid w:val="00CC3CD8"/>
    <w:rsid w:val="00CC6F73"/>
    <w:rsid w:val="00CC708B"/>
    <w:rsid w:val="00CC781E"/>
    <w:rsid w:val="00CC7E9F"/>
    <w:rsid w:val="00CD0329"/>
    <w:rsid w:val="00CD0B3B"/>
    <w:rsid w:val="00CD31A7"/>
    <w:rsid w:val="00CD3E38"/>
    <w:rsid w:val="00CD469E"/>
    <w:rsid w:val="00CD54AB"/>
    <w:rsid w:val="00CD56D5"/>
    <w:rsid w:val="00CD76A3"/>
    <w:rsid w:val="00CE0733"/>
    <w:rsid w:val="00CE4037"/>
    <w:rsid w:val="00CE6B54"/>
    <w:rsid w:val="00CE70B2"/>
    <w:rsid w:val="00CE7ECE"/>
    <w:rsid w:val="00CF0014"/>
    <w:rsid w:val="00CF09ED"/>
    <w:rsid w:val="00CF20C5"/>
    <w:rsid w:val="00CF3A78"/>
    <w:rsid w:val="00CF4A89"/>
    <w:rsid w:val="00CF50B4"/>
    <w:rsid w:val="00CF7273"/>
    <w:rsid w:val="00CF7C4A"/>
    <w:rsid w:val="00CF7C5A"/>
    <w:rsid w:val="00D0048E"/>
    <w:rsid w:val="00D00FFC"/>
    <w:rsid w:val="00D011AD"/>
    <w:rsid w:val="00D022A1"/>
    <w:rsid w:val="00D02522"/>
    <w:rsid w:val="00D02715"/>
    <w:rsid w:val="00D02838"/>
    <w:rsid w:val="00D02BC5"/>
    <w:rsid w:val="00D03383"/>
    <w:rsid w:val="00D03761"/>
    <w:rsid w:val="00D03ADB"/>
    <w:rsid w:val="00D04760"/>
    <w:rsid w:val="00D05EF8"/>
    <w:rsid w:val="00D075D0"/>
    <w:rsid w:val="00D13EA2"/>
    <w:rsid w:val="00D143DC"/>
    <w:rsid w:val="00D15C73"/>
    <w:rsid w:val="00D16365"/>
    <w:rsid w:val="00D2074B"/>
    <w:rsid w:val="00D23640"/>
    <w:rsid w:val="00D2530F"/>
    <w:rsid w:val="00D26C7D"/>
    <w:rsid w:val="00D27725"/>
    <w:rsid w:val="00D27B00"/>
    <w:rsid w:val="00D27E82"/>
    <w:rsid w:val="00D3010A"/>
    <w:rsid w:val="00D307DF"/>
    <w:rsid w:val="00D308A7"/>
    <w:rsid w:val="00D30C5E"/>
    <w:rsid w:val="00D34C81"/>
    <w:rsid w:val="00D408EC"/>
    <w:rsid w:val="00D412C9"/>
    <w:rsid w:val="00D41862"/>
    <w:rsid w:val="00D41B10"/>
    <w:rsid w:val="00D41E09"/>
    <w:rsid w:val="00D42047"/>
    <w:rsid w:val="00D428DA"/>
    <w:rsid w:val="00D43DBC"/>
    <w:rsid w:val="00D4445B"/>
    <w:rsid w:val="00D46F7E"/>
    <w:rsid w:val="00D46FDA"/>
    <w:rsid w:val="00D502A8"/>
    <w:rsid w:val="00D50C59"/>
    <w:rsid w:val="00D514B2"/>
    <w:rsid w:val="00D52ED7"/>
    <w:rsid w:val="00D52EE1"/>
    <w:rsid w:val="00D5302D"/>
    <w:rsid w:val="00D530AC"/>
    <w:rsid w:val="00D5419F"/>
    <w:rsid w:val="00D547A2"/>
    <w:rsid w:val="00D54EA8"/>
    <w:rsid w:val="00D55208"/>
    <w:rsid w:val="00D55BF6"/>
    <w:rsid w:val="00D56B7A"/>
    <w:rsid w:val="00D56F4E"/>
    <w:rsid w:val="00D600CD"/>
    <w:rsid w:val="00D61698"/>
    <w:rsid w:val="00D623CB"/>
    <w:rsid w:val="00D636EC"/>
    <w:rsid w:val="00D63A97"/>
    <w:rsid w:val="00D63B3F"/>
    <w:rsid w:val="00D66259"/>
    <w:rsid w:val="00D66BC3"/>
    <w:rsid w:val="00D678DF"/>
    <w:rsid w:val="00D70B1B"/>
    <w:rsid w:val="00D722E5"/>
    <w:rsid w:val="00D72967"/>
    <w:rsid w:val="00D72A68"/>
    <w:rsid w:val="00D742AE"/>
    <w:rsid w:val="00D74783"/>
    <w:rsid w:val="00D74877"/>
    <w:rsid w:val="00D74A5B"/>
    <w:rsid w:val="00D74ED5"/>
    <w:rsid w:val="00D755F2"/>
    <w:rsid w:val="00D76CEC"/>
    <w:rsid w:val="00D77076"/>
    <w:rsid w:val="00D80DD7"/>
    <w:rsid w:val="00D81B9D"/>
    <w:rsid w:val="00D81C0B"/>
    <w:rsid w:val="00D8269D"/>
    <w:rsid w:val="00D83072"/>
    <w:rsid w:val="00D85529"/>
    <w:rsid w:val="00D85857"/>
    <w:rsid w:val="00D8649C"/>
    <w:rsid w:val="00D86A71"/>
    <w:rsid w:val="00D86D4F"/>
    <w:rsid w:val="00D86E08"/>
    <w:rsid w:val="00D87549"/>
    <w:rsid w:val="00D8782C"/>
    <w:rsid w:val="00D90069"/>
    <w:rsid w:val="00D90654"/>
    <w:rsid w:val="00D90954"/>
    <w:rsid w:val="00D933F0"/>
    <w:rsid w:val="00D936AF"/>
    <w:rsid w:val="00D93882"/>
    <w:rsid w:val="00D95D35"/>
    <w:rsid w:val="00D97A99"/>
    <w:rsid w:val="00D97BDA"/>
    <w:rsid w:val="00DA0F51"/>
    <w:rsid w:val="00DA281D"/>
    <w:rsid w:val="00DA2A4F"/>
    <w:rsid w:val="00DA2DCD"/>
    <w:rsid w:val="00DA4E97"/>
    <w:rsid w:val="00DA5B57"/>
    <w:rsid w:val="00DA5B8B"/>
    <w:rsid w:val="00DA5EFE"/>
    <w:rsid w:val="00DA70FA"/>
    <w:rsid w:val="00DA73BD"/>
    <w:rsid w:val="00DA7C9B"/>
    <w:rsid w:val="00DB2611"/>
    <w:rsid w:val="00DB2CFA"/>
    <w:rsid w:val="00DB3311"/>
    <w:rsid w:val="00DB40B6"/>
    <w:rsid w:val="00DB4719"/>
    <w:rsid w:val="00DB4FB2"/>
    <w:rsid w:val="00DB5086"/>
    <w:rsid w:val="00DB56D0"/>
    <w:rsid w:val="00DB64E6"/>
    <w:rsid w:val="00DB6E55"/>
    <w:rsid w:val="00DB7C7E"/>
    <w:rsid w:val="00DC09DC"/>
    <w:rsid w:val="00DC178C"/>
    <w:rsid w:val="00DC196C"/>
    <w:rsid w:val="00DC1A18"/>
    <w:rsid w:val="00DC2062"/>
    <w:rsid w:val="00DC4C8F"/>
    <w:rsid w:val="00DC5399"/>
    <w:rsid w:val="00DC5466"/>
    <w:rsid w:val="00DC5A10"/>
    <w:rsid w:val="00DC6A5B"/>
    <w:rsid w:val="00DD012C"/>
    <w:rsid w:val="00DD0C58"/>
    <w:rsid w:val="00DD1353"/>
    <w:rsid w:val="00DD1A5A"/>
    <w:rsid w:val="00DD1D82"/>
    <w:rsid w:val="00DD2FC0"/>
    <w:rsid w:val="00DD2FD3"/>
    <w:rsid w:val="00DD463F"/>
    <w:rsid w:val="00DD4886"/>
    <w:rsid w:val="00DE16BB"/>
    <w:rsid w:val="00DE19AA"/>
    <w:rsid w:val="00DE26E1"/>
    <w:rsid w:val="00DE2836"/>
    <w:rsid w:val="00DE3E08"/>
    <w:rsid w:val="00DE501A"/>
    <w:rsid w:val="00DE52E2"/>
    <w:rsid w:val="00DE5722"/>
    <w:rsid w:val="00DE76A8"/>
    <w:rsid w:val="00DE7842"/>
    <w:rsid w:val="00DF1390"/>
    <w:rsid w:val="00DF13DC"/>
    <w:rsid w:val="00DF20FD"/>
    <w:rsid w:val="00DF2BF0"/>
    <w:rsid w:val="00DF3120"/>
    <w:rsid w:val="00DF3334"/>
    <w:rsid w:val="00DF50DE"/>
    <w:rsid w:val="00DF52A6"/>
    <w:rsid w:val="00DF5422"/>
    <w:rsid w:val="00DF5B3D"/>
    <w:rsid w:val="00DF6901"/>
    <w:rsid w:val="00DF7061"/>
    <w:rsid w:val="00E00581"/>
    <w:rsid w:val="00E00D79"/>
    <w:rsid w:val="00E01D33"/>
    <w:rsid w:val="00E02C27"/>
    <w:rsid w:val="00E061E2"/>
    <w:rsid w:val="00E07078"/>
    <w:rsid w:val="00E073E6"/>
    <w:rsid w:val="00E10368"/>
    <w:rsid w:val="00E10392"/>
    <w:rsid w:val="00E10B20"/>
    <w:rsid w:val="00E10BED"/>
    <w:rsid w:val="00E1174B"/>
    <w:rsid w:val="00E126C6"/>
    <w:rsid w:val="00E146D6"/>
    <w:rsid w:val="00E1535E"/>
    <w:rsid w:val="00E15756"/>
    <w:rsid w:val="00E158BD"/>
    <w:rsid w:val="00E16176"/>
    <w:rsid w:val="00E20C65"/>
    <w:rsid w:val="00E23C7A"/>
    <w:rsid w:val="00E24FCF"/>
    <w:rsid w:val="00E25FA2"/>
    <w:rsid w:val="00E27024"/>
    <w:rsid w:val="00E27BB1"/>
    <w:rsid w:val="00E27F34"/>
    <w:rsid w:val="00E303ED"/>
    <w:rsid w:val="00E30BCA"/>
    <w:rsid w:val="00E3163B"/>
    <w:rsid w:val="00E31A53"/>
    <w:rsid w:val="00E31B80"/>
    <w:rsid w:val="00E329E3"/>
    <w:rsid w:val="00E34DFF"/>
    <w:rsid w:val="00E34F1B"/>
    <w:rsid w:val="00E34F1C"/>
    <w:rsid w:val="00E362BD"/>
    <w:rsid w:val="00E37B8C"/>
    <w:rsid w:val="00E37C09"/>
    <w:rsid w:val="00E42437"/>
    <w:rsid w:val="00E4356A"/>
    <w:rsid w:val="00E4462C"/>
    <w:rsid w:val="00E44A3E"/>
    <w:rsid w:val="00E45E4F"/>
    <w:rsid w:val="00E461F8"/>
    <w:rsid w:val="00E46EEB"/>
    <w:rsid w:val="00E473D3"/>
    <w:rsid w:val="00E50376"/>
    <w:rsid w:val="00E506BD"/>
    <w:rsid w:val="00E519F4"/>
    <w:rsid w:val="00E52385"/>
    <w:rsid w:val="00E54836"/>
    <w:rsid w:val="00E54F18"/>
    <w:rsid w:val="00E56B7F"/>
    <w:rsid w:val="00E61DB7"/>
    <w:rsid w:val="00E61DE9"/>
    <w:rsid w:val="00E6246D"/>
    <w:rsid w:val="00E63CCF"/>
    <w:rsid w:val="00E63D68"/>
    <w:rsid w:val="00E65CB1"/>
    <w:rsid w:val="00E66A11"/>
    <w:rsid w:val="00E70303"/>
    <w:rsid w:val="00E70704"/>
    <w:rsid w:val="00E7110F"/>
    <w:rsid w:val="00E71B88"/>
    <w:rsid w:val="00E722C7"/>
    <w:rsid w:val="00E72499"/>
    <w:rsid w:val="00E73041"/>
    <w:rsid w:val="00E73A50"/>
    <w:rsid w:val="00E76568"/>
    <w:rsid w:val="00E76C9F"/>
    <w:rsid w:val="00E775F0"/>
    <w:rsid w:val="00E80111"/>
    <w:rsid w:val="00E817F9"/>
    <w:rsid w:val="00E8220F"/>
    <w:rsid w:val="00E822F0"/>
    <w:rsid w:val="00E830E7"/>
    <w:rsid w:val="00E841CE"/>
    <w:rsid w:val="00E85EA8"/>
    <w:rsid w:val="00E911CF"/>
    <w:rsid w:val="00E91B67"/>
    <w:rsid w:val="00E91C49"/>
    <w:rsid w:val="00E91C52"/>
    <w:rsid w:val="00E91F2D"/>
    <w:rsid w:val="00E93AAF"/>
    <w:rsid w:val="00E94E14"/>
    <w:rsid w:val="00E97009"/>
    <w:rsid w:val="00E9735F"/>
    <w:rsid w:val="00EA3D35"/>
    <w:rsid w:val="00EA4015"/>
    <w:rsid w:val="00EA6B97"/>
    <w:rsid w:val="00EA6D39"/>
    <w:rsid w:val="00EB0ADA"/>
    <w:rsid w:val="00EB0FE1"/>
    <w:rsid w:val="00EB1C2B"/>
    <w:rsid w:val="00EB22F6"/>
    <w:rsid w:val="00EB23F3"/>
    <w:rsid w:val="00EB29BB"/>
    <w:rsid w:val="00EB3215"/>
    <w:rsid w:val="00EB48A6"/>
    <w:rsid w:val="00EB60F3"/>
    <w:rsid w:val="00EB799D"/>
    <w:rsid w:val="00EB7E8A"/>
    <w:rsid w:val="00EC040C"/>
    <w:rsid w:val="00EC136D"/>
    <w:rsid w:val="00EC1F8A"/>
    <w:rsid w:val="00EC2BE9"/>
    <w:rsid w:val="00EC3280"/>
    <w:rsid w:val="00EC3822"/>
    <w:rsid w:val="00EC411B"/>
    <w:rsid w:val="00EC53B8"/>
    <w:rsid w:val="00EC5DB1"/>
    <w:rsid w:val="00EC76A4"/>
    <w:rsid w:val="00ED03F9"/>
    <w:rsid w:val="00ED102F"/>
    <w:rsid w:val="00ED16A4"/>
    <w:rsid w:val="00ED240C"/>
    <w:rsid w:val="00ED32AA"/>
    <w:rsid w:val="00ED500B"/>
    <w:rsid w:val="00ED6049"/>
    <w:rsid w:val="00ED6841"/>
    <w:rsid w:val="00ED78E9"/>
    <w:rsid w:val="00EE0E1D"/>
    <w:rsid w:val="00EE0EBD"/>
    <w:rsid w:val="00EE2574"/>
    <w:rsid w:val="00EE27E7"/>
    <w:rsid w:val="00EE287D"/>
    <w:rsid w:val="00EE2AA0"/>
    <w:rsid w:val="00EE3111"/>
    <w:rsid w:val="00EE33DE"/>
    <w:rsid w:val="00EE44DC"/>
    <w:rsid w:val="00EE49E6"/>
    <w:rsid w:val="00EE4C17"/>
    <w:rsid w:val="00EE7754"/>
    <w:rsid w:val="00EE7828"/>
    <w:rsid w:val="00EF0ECF"/>
    <w:rsid w:val="00EF1B31"/>
    <w:rsid w:val="00EF1D6E"/>
    <w:rsid w:val="00EF1EFF"/>
    <w:rsid w:val="00EF3287"/>
    <w:rsid w:val="00EF3CBD"/>
    <w:rsid w:val="00EF4337"/>
    <w:rsid w:val="00EF502E"/>
    <w:rsid w:val="00EF50D5"/>
    <w:rsid w:val="00EF568F"/>
    <w:rsid w:val="00EF6BE1"/>
    <w:rsid w:val="00EF6CBD"/>
    <w:rsid w:val="00F00CF4"/>
    <w:rsid w:val="00F01CD3"/>
    <w:rsid w:val="00F01F6D"/>
    <w:rsid w:val="00F03A03"/>
    <w:rsid w:val="00F05F89"/>
    <w:rsid w:val="00F06E68"/>
    <w:rsid w:val="00F07455"/>
    <w:rsid w:val="00F125CD"/>
    <w:rsid w:val="00F136A6"/>
    <w:rsid w:val="00F14BFB"/>
    <w:rsid w:val="00F15662"/>
    <w:rsid w:val="00F1582F"/>
    <w:rsid w:val="00F15B08"/>
    <w:rsid w:val="00F15FAA"/>
    <w:rsid w:val="00F17360"/>
    <w:rsid w:val="00F1799F"/>
    <w:rsid w:val="00F22417"/>
    <w:rsid w:val="00F236A9"/>
    <w:rsid w:val="00F236E1"/>
    <w:rsid w:val="00F2427F"/>
    <w:rsid w:val="00F249A7"/>
    <w:rsid w:val="00F2590C"/>
    <w:rsid w:val="00F25A3A"/>
    <w:rsid w:val="00F26376"/>
    <w:rsid w:val="00F2744A"/>
    <w:rsid w:val="00F3015B"/>
    <w:rsid w:val="00F30298"/>
    <w:rsid w:val="00F3029E"/>
    <w:rsid w:val="00F305B2"/>
    <w:rsid w:val="00F32031"/>
    <w:rsid w:val="00F32AFC"/>
    <w:rsid w:val="00F32B78"/>
    <w:rsid w:val="00F335B3"/>
    <w:rsid w:val="00F33A41"/>
    <w:rsid w:val="00F3413F"/>
    <w:rsid w:val="00F3689F"/>
    <w:rsid w:val="00F3706F"/>
    <w:rsid w:val="00F37731"/>
    <w:rsid w:val="00F37939"/>
    <w:rsid w:val="00F37C21"/>
    <w:rsid w:val="00F400A4"/>
    <w:rsid w:val="00F421B4"/>
    <w:rsid w:val="00F4277C"/>
    <w:rsid w:val="00F42C7F"/>
    <w:rsid w:val="00F430AC"/>
    <w:rsid w:val="00F43C8E"/>
    <w:rsid w:val="00F4495A"/>
    <w:rsid w:val="00F44A0D"/>
    <w:rsid w:val="00F4541F"/>
    <w:rsid w:val="00F45777"/>
    <w:rsid w:val="00F476D5"/>
    <w:rsid w:val="00F5047A"/>
    <w:rsid w:val="00F5051D"/>
    <w:rsid w:val="00F52D9A"/>
    <w:rsid w:val="00F52EE4"/>
    <w:rsid w:val="00F5485B"/>
    <w:rsid w:val="00F55EE1"/>
    <w:rsid w:val="00F5755C"/>
    <w:rsid w:val="00F57594"/>
    <w:rsid w:val="00F61537"/>
    <w:rsid w:val="00F62CB4"/>
    <w:rsid w:val="00F6461D"/>
    <w:rsid w:val="00F647A1"/>
    <w:rsid w:val="00F66F93"/>
    <w:rsid w:val="00F66FB2"/>
    <w:rsid w:val="00F67B1B"/>
    <w:rsid w:val="00F70249"/>
    <w:rsid w:val="00F7143B"/>
    <w:rsid w:val="00F7368E"/>
    <w:rsid w:val="00F73789"/>
    <w:rsid w:val="00F762E9"/>
    <w:rsid w:val="00F76ABB"/>
    <w:rsid w:val="00F8039D"/>
    <w:rsid w:val="00F80E98"/>
    <w:rsid w:val="00F81120"/>
    <w:rsid w:val="00F816B6"/>
    <w:rsid w:val="00F8251B"/>
    <w:rsid w:val="00F8377B"/>
    <w:rsid w:val="00F8383A"/>
    <w:rsid w:val="00F84E14"/>
    <w:rsid w:val="00F8581A"/>
    <w:rsid w:val="00F8641B"/>
    <w:rsid w:val="00F8648D"/>
    <w:rsid w:val="00F86847"/>
    <w:rsid w:val="00F86B86"/>
    <w:rsid w:val="00F87373"/>
    <w:rsid w:val="00F87B55"/>
    <w:rsid w:val="00F90728"/>
    <w:rsid w:val="00F907E3"/>
    <w:rsid w:val="00F90BD5"/>
    <w:rsid w:val="00F913D3"/>
    <w:rsid w:val="00F9213C"/>
    <w:rsid w:val="00F926C7"/>
    <w:rsid w:val="00F92813"/>
    <w:rsid w:val="00F93ADA"/>
    <w:rsid w:val="00F93E06"/>
    <w:rsid w:val="00F942FC"/>
    <w:rsid w:val="00F94CD1"/>
    <w:rsid w:val="00F953AD"/>
    <w:rsid w:val="00F96320"/>
    <w:rsid w:val="00F97E28"/>
    <w:rsid w:val="00FA1603"/>
    <w:rsid w:val="00FA2AB7"/>
    <w:rsid w:val="00FA2E0F"/>
    <w:rsid w:val="00FA31AB"/>
    <w:rsid w:val="00FA34B0"/>
    <w:rsid w:val="00FA5A60"/>
    <w:rsid w:val="00FA77BE"/>
    <w:rsid w:val="00FA7E33"/>
    <w:rsid w:val="00FB00A4"/>
    <w:rsid w:val="00FB02A5"/>
    <w:rsid w:val="00FB0B66"/>
    <w:rsid w:val="00FB1205"/>
    <w:rsid w:val="00FB185F"/>
    <w:rsid w:val="00FB1D44"/>
    <w:rsid w:val="00FB21C7"/>
    <w:rsid w:val="00FB2920"/>
    <w:rsid w:val="00FB2970"/>
    <w:rsid w:val="00FB391E"/>
    <w:rsid w:val="00FB5C5D"/>
    <w:rsid w:val="00FB6396"/>
    <w:rsid w:val="00FB6932"/>
    <w:rsid w:val="00FB6EE8"/>
    <w:rsid w:val="00FB7BB8"/>
    <w:rsid w:val="00FC1813"/>
    <w:rsid w:val="00FC29D1"/>
    <w:rsid w:val="00FC3801"/>
    <w:rsid w:val="00FC471A"/>
    <w:rsid w:val="00FC4825"/>
    <w:rsid w:val="00FC55FA"/>
    <w:rsid w:val="00FC76D0"/>
    <w:rsid w:val="00FC7BDB"/>
    <w:rsid w:val="00FC7CE8"/>
    <w:rsid w:val="00FD0346"/>
    <w:rsid w:val="00FD07DF"/>
    <w:rsid w:val="00FD0C82"/>
    <w:rsid w:val="00FD12FE"/>
    <w:rsid w:val="00FD440F"/>
    <w:rsid w:val="00FD4E50"/>
    <w:rsid w:val="00FD52EF"/>
    <w:rsid w:val="00FD546B"/>
    <w:rsid w:val="00FD6B97"/>
    <w:rsid w:val="00FD7284"/>
    <w:rsid w:val="00FE2CF2"/>
    <w:rsid w:val="00FE2E5D"/>
    <w:rsid w:val="00FE35F0"/>
    <w:rsid w:val="00FE4404"/>
    <w:rsid w:val="00FE62EE"/>
    <w:rsid w:val="00FE6E44"/>
    <w:rsid w:val="00FE6ED6"/>
    <w:rsid w:val="00FE7520"/>
    <w:rsid w:val="00FE7590"/>
    <w:rsid w:val="00FE799C"/>
    <w:rsid w:val="00FF02C4"/>
    <w:rsid w:val="00FF1094"/>
    <w:rsid w:val="00FF1997"/>
    <w:rsid w:val="00FF1A25"/>
    <w:rsid w:val="00FF26A5"/>
    <w:rsid w:val="00FF309F"/>
    <w:rsid w:val="00FF50B5"/>
    <w:rsid w:val="00FF5131"/>
    <w:rsid w:val="00FF74EC"/>
    <w:rsid w:val="017C3055"/>
    <w:rsid w:val="03733BDF"/>
    <w:rsid w:val="03CF14FE"/>
    <w:rsid w:val="04176582"/>
    <w:rsid w:val="051259ED"/>
    <w:rsid w:val="07041580"/>
    <w:rsid w:val="0A9E30AD"/>
    <w:rsid w:val="0ADC6093"/>
    <w:rsid w:val="0BEB3B44"/>
    <w:rsid w:val="0C0644C0"/>
    <w:rsid w:val="104845E7"/>
    <w:rsid w:val="10C94B4E"/>
    <w:rsid w:val="116834BA"/>
    <w:rsid w:val="12934324"/>
    <w:rsid w:val="13793DF7"/>
    <w:rsid w:val="14677422"/>
    <w:rsid w:val="15C3414B"/>
    <w:rsid w:val="185C4232"/>
    <w:rsid w:val="18D74DC1"/>
    <w:rsid w:val="19A5109C"/>
    <w:rsid w:val="1AED58EF"/>
    <w:rsid w:val="1C2C6CA1"/>
    <w:rsid w:val="1E8C5B81"/>
    <w:rsid w:val="1F3A0BB5"/>
    <w:rsid w:val="1FA92FCB"/>
    <w:rsid w:val="20193BC8"/>
    <w:rsid w:val="207E09A3"/>
    <w:rsid w:val="220D398C"/>
    <w:rsid w:val="2301566F"/>
    <w:rsid w:val="24D70B68"/>
    <w:rsid w:val="2A397C18"/>
    <w:rsid w:val="2A5015D5"/>
    <w:rsid w:val="2C442C54"/>
    <w:rsid w:val="2D7A3266"/>
    <w:rsid w:val="2DAA4424"/>
    <w:rsid w:val="2EE94A0D"/>
    <w:rsid w:val="306E3AEC"/>
    <w:rsid w:val="312513B2"/>
    <w:rsid w:val="313300E2"/>
    <w:rsid w:val="315453DF"/>
    <w:rsid w:val="31B042BF"/>
    <w:rsid w:val="31DA1E22"/>
    <w:rsid w:val="32035D60"/>
    <w:rsid w:val="33523A32"/>
    <w:rsid w:val="35CF7A23"/>
    <w:rsid w:val="376940D0"/>
    <w:rsid w:val="3C3000ED"/>
    <w:rsid w:val="3D31181A"/>
    <w:rsid w:val="3DC87CB2"/>
    <w:rsid w:val="3F4F365B"/>
    <w:rsid w:val="41415EFF"/>
    <w:rsid w:val="41D026B4"/>
    <w:rsid w:val="420D3675"/>
    <w:rsid w:val="44FB0ED4"/>
    <w:rsid w:val="4CA539E2"/>
    <w:rsid w:val="4E754A6B"/>
    <w:rsid w:val="4F723AF3"/>
    <w:rsid w:val="51F47573"/>
    <w:rsid w:val="542F765C"/>
    <w:rsid w:val="554D13F6"/>
    <w:rsid w:val="59B94501"/>
    <w:rsid w:val="59DA41E0"/>
    <w:rsid w:val="59EA1271"/>
    <w:rsid w:val="5A3906A0"/>
    <w:rsid w:val="5A9919E3"/>
    <w:rsid w:val="5B1F0956"/>
    <w:rsid w:val="5B2A7B0A"/>
    <w:rsid w:val="5B54373E"/>
    <w:rsid w:val="5BF364FA"/>
    <w:rsid w:val="5D211F44"/>
    <w:rsid w:val="5E0D5F96"/>
    <w:rsid w:val="5EAD589A"/>
    <w:rsid w:val="5EC766C5"/>
    <w:rsid w:val="5EE21916"/>
    <w:rsid w:val="5F4402C7"/>
    <w:rsid w:val="5F4417E0"/>
    <w:rsid w:val="5F88669E"/>
    <w:rsid w:val="60BA4975"/>
    <w:rsid w:val="61116A3E"/>
    <w:rsid w:val="622F04A1"/>
    <w:rsid w:val="64741C1C"/>
    <w:rsid w:val="648C064A"/>
    <w:rsid w:val="65554D27"/>
    <w:rsid w:val="655A0A92"/>
    <w:rsid w:val="656B3097"/>
    <w:rsid w:val="66424F96"/>
    <w:rsid w:val="667811C2"/>
    <w:rsid w:val="687951D6"/>
    <w:rsid w:val="6A3112CA"/>
    <w:rsid w:val="6D3654A5"/>
    <w:rsid w:val="70B412F1"/>
    <w:rsid w:val="71F33D5A"/>
    <w:rsid w:val="74170E85"/>
    <w:rsid w:val="75DC35E9"/>
    <w:rsid w:val="77C66D83"/>
    <w:rsid w:val="789E6834"/>
    <w:rsid w:val="7AEE6C6C"/>
    <w:rsid w:val="7CD526AE"/>
    <w:rsid w:val="7E543E84"/>
    <w:rsid w:val="7EAE75AD"/>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spacing w:line="0" w:lineRule="atLeast"/>
      <w:jc w:val="center"/>
      <w:outlineLvl w:val="1"/>
    </w:pPr>
    <w:rPr>
      <w:kern w:val="0"/>
      <w:sz w:val="28"/>
    </w:rPr>
  </w:style>
  <w:style w:type="paragraph" w:styleId="6">
    <w:name w:val="heading 3"/>
    <w:basedOn w:val="1"/>
    <w:next w:val="1"/>
    <w:link w:val="37"/>
    <w:autoRedefine/>
    <w:qFormat/>
    <w:uiPriority w:val="0"/>
    <w:pPr>
      <w:keepNext/>
      <w:keepLines/>
      <w:spacing w:before="260" w:after="260" w:line="416" w:lineRule="auto"/>
      <w:outlineLvl w:val="2"/>
    </w:pPr>
    <w:rPr>
      <w:b/>
      <w:bCs/>
      <w:sz w:val="32"/>
      <w:szCs w:val="32"/>
    </w:rPr>
  </w:style>
  <w:style w:type="paragraph" w:styleId="7">
    <w:name w:val="heading 4"/>
    <w:basedOn w:val="1"/>
    <w:next w:val="1"/>
    <w:link w:val="108"/>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customStyle="1" w:styleId="2">
    <w:name w:val="BodyText1I"/>
    <w:basedOn w:val="3"/>
    <w:qFormat/>
    <w:uiPriority w:val="99"/>
    <w:pPr>
      <w:ind w:firstLine="420" w:firstLineChars="100"/>
    </w:pPr>
  </w:style>
  <w:style w:type="paragraph" w:customStyle="1" w:styleId="3">
    <w:name w:val="BodyText"/>
    <w:basedOn w:val="1"/>
    <w:autoRedefine/>
    <w:qFormat/>
    <w:uiPriority w:val="99"/>
    <w:pPr>
      <w:spacing w:after="120"/>
    </w:pPr>
  </w:style>
  <w:style w:type="paragraph" w:styleId="8">
    <w:name w:val="Document Map"/>
    <w:basedOn w:val="1"/>
    <w:link w:val="38"/>
    <w:autoRedefine/>
    <w:qFormat/>
    <w:uiPriority w:val="0"/>
    <w:rPr>
      <w:rFonts w:ascii="宋体"/>
      <w:sz w:val="18"/>
      <w:szCs w:val="18"/>
    </w:rPr>
  </w:style>
  <w:style w:type="paragraph" w:styleId="9">
    <w:name w:val="annotation text"/>
    <w:basedOn w:val="1"/>
    <w:link w:val="39"/>
    <w:qFormat/>
    <w:uiPriority w:val="0"/>
    <w:pPr>
      <w:jc w:val="left"/>
    </w:pPr>
  </w:style>
  <w:style w:type="paragraph" w:styleId="10">
    <w:name w:val="Body Text 3"/>
    <w:basedOn w:val="1"/>
    <w:autoRedefine/>
    <w:qFormat/>
    <w:uiPriority w:val="0"/>
    <w:pPr>
      <w:spacing w:after="120"/>
    </w:pPr>
    <w:rPr>
      <w:sz w:val="16"/>
      <w:szCs w:val="16"/>
    </w:rPr>
  </w:style>
  <w:style w:type="paragraph" w:styleId="11">
    <w:name w:val="Body Text"/>
    <w:basedOn w:val="1"/>
    <w:next w:val="1"/>
    <w:link w:val="40"/>
    <w:qFormat/>
    <w:uiPriority w:val="0"/>
    <w:pPr>
      <w:spacing w:after="120"/>
    </w:pPr>
  </w:style>
  <w:style w:type="paragraph" w:styleId="12">
    <w:name w:val="Body Text Indent"/>
    <w:basedOn w:val="1"/>
    <w:next w:val="1"/>
    <w:autoRedefine/>
    <w:qFormat/>
    <w:uiPriority w:val="0"/>
    <w:pPr>
      <w:ind w:firstLine="632" w:firstLineChars="200"/>
    </w:pPr>
    <w:rPr>
      <w:rFonts w:ascii="仿宋_GB2312" w:hAnsi="华文楷体" w:eastAsia="仿宋_GB2312"/>
      <w:sz w:val="32"/>
    </w:rPr>
  </w:style>
  <w:style w:type="paragraph" w:styleId="13">
    <w:name w:val="List 2"/>
    <w:basedOn w:val="1"/>
    <w:autoRedefine/>
    <w:qFormat/>
    <w:uiPriority w:val="0"/>
    <w:pPr>
      <w:ind w:left="400" w:leftChars="200" w:hanging="200" w:hangingChars="200"/>
    </w:pPr>
  </w:style>
  <w:style w:type="paragraph" w:styleId="14">
    <w:name w:val="Plain Text"/>
    <w:basedOn w:val="1"/>
    <w:link w:val="41"/>
    <w:autoRedefine/>
    <w:qFormat/>
    <w:uiPriority w:val="99"/>
    <w:rPr>
      <w:rFonts w:ascii="宋体" w:hAnsi="Courier New"/>
      <w:szCs w:val="20"/>
    </w:rPr>
  </w:style>
  <w:style w:type="paragraph" w:styleId="15">
    <w:name w:val="Date"/>
    <w:basedOn w:val="1"/>
    <w:next w:val="1"/>
    <w:link w:val="42"/>
    <w:autoRedefine/>
    <w:qFormat/>
    <w:uiPriority w:val="0"/>
    <w:pPr>
      <w:ind w:left="100" w:leftChars="2500"/>
    </w:pPr>
  </w:style>
  <w:style w:type="paragraph" w:styleId="16">
    <w:name w:val="Body Text Indent 2"/>
    <w:basedOn w:val="1"/>
    <w:autoRedefine/>
    <w:qFormat/>
    <w:uiPriority w:val="0"/>
    <w:pPr>
      <w:spacing w:after="120" w:line="480" w:lineRule="auto"/>
      <w:ind w:left="420" w:leftChars="200"/>
    </w:pPr>
  </w:style>
  <w:style w:type="paragraph" w:styleId="17">
    <w:name w:val="Balloon Text"/>
    <w:basedOn w:val="1"/>
    <w:autoRedefine/>
    <w:qFormat/>
    <w:uiPriority w:val="0"/>
    <w:rPr>
      <w:sz w:val="18"/>
      <w:szCs w:val="18"/>
    </w:rPr>
  </w:style>
  <w:style w:type="paragraph" w:styleId="18">
    <w:name w:val="footer"/>
    <w:basedOn w:val="1"/>
    <w:link w:val="43"/>
    <w:autoRedefine/>
    <w:qFormat/>
    <w:uiPriority w:val="99"/>
    <w:pPr>
      <w:tabs>
        <w:tab w:val="center" w:pos="4153"/>
        <w:tab w:val="right" w:pos="8306"/>
      </w:tabs>
      <w:snapToGrid w:val="0"/>
      <w:jc w:val="left"/>
    </w:pPr>
    <w:rPr>
      <w:sz w:val="18"/>
      <w:szCs w:val="18"/>
    </w:rPr>
  </w:style>
  <w:style w:type="paragraph" w:styleId="19">
    <w:name w:val="envelope return"/>
    <w:basedOn w:val="1"/>
    <w:autoRedefine/>
    <w:qFormat/>
    <w:uiPriority w:val="99"/>
    <w:pPr>
      <w:snapToGrid w:val="0"/>
    </w:pPr>
    <w:rPr>
      <w:rFonts w:ascii="Arial" w:hAnsi="Arial"/>
    </w:rPr>
  </w:style>
  <w:style w:type="paragraph" w:styleId="20">
    <w:name w:val="header"/>
    <w:basedOn w:val="1"/>
    <w:link w:val="44"/>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uiPriority w:val="39"/>
    <w:pPr>
      <w:spacing w:before="120" w:after="120"/>
      <w:jc w:val="left"/>
    </w:pPr>
    <w:rPr>
      <w:caps/>
    </w:rPr>
  </w:style>
  <w:style w:type="paragraph" w:styleId="22">
    <w:name w:val="toc 2"/>
    <w:basedOn w:val="1"/>
    <w:next w:val="1"/>
    <w:autoRedefine/>
    <w:qFormat/>
    <w:uiPriority w:val="39"/>
    <w:pPr>
      <w:ind w:left="420" w:leftChars="200"/>
    </w:pPr>
  </w:style>
  <w:style w:type="paragraph" w:styleId="23">
    <w:name w:val="Body Text 2"/>
    <w:basedOn w:val="1"/>
    <w:link w:val="45"/>
    <w:autoRedefine/>
    <w:qFormat/>
    <w:uiPriority w:val="0"/>
    <w:pPr>
      <w:spacing w:after="120" w:line="480" w:lineRule="auto"/>
    </w:pPr>
  </w:style>
  <w:style w:type="paragraph" w:styleId="24">
    <w:name w:val="Message Header"/>
    <w:basedOn w:val="1"/>
    <w:autoRedefine/>
    <w:qFormat/>
    <w:uiPriority w:val="0"/>
    <w:pPr>
      <w:widowControl/>
      <w:shd w:val="pct20" w:color="000000" w:fill="auto"/>
      <w:ind w:left="1080" w:hanging="1080"/>
    </w:pPr>
    <w:rPr>
      <w:rFonts w:ascii="Cambria" w:hAnsi="Cambria" w:eastAsia="Cambria"/>
      <w:sz w:val="24"/>
    </w:rPr>
  </w:style>
  <w:style w:type="paragraph" w:styleId="25">
    <w:name w:val="Normal (Web)"/>
    <w:basedOn w:val="1"/>
    <w:autoRedefine/>
    <w:unhideWhenUsed/>
    <w:qFormat/>
    <w:uiPriority w:val="99"/>
    <w:pPr>
      <w:widowControl/>
      <w:spacing w:before="100" w:beforeAutospacing="1" w:after="100" w:afterAutospacing="1"/>
      <w:jc w:val="left"/>
    </w:pPr>
    <w:rPr>
      <w:rFonts w:ascii="宋体" w:hAnsi="宋体"/>
      <w:kern w:val="0"/>
      <w:sz w:val="24"/>
      <w:szCs w:val="20"/>
    </w:rPr>
  </w:style>
  <w:style w:type="paragraph" w:styleId="26">
    <w:name w:val="annotation subject"/>
    <w:basedOn w:val="9"/>
    <w:next w:val="9"/>
    <w:link w:val="46"/>
    <w:autoRedefine/>
    <w:qFormat/>
    <w:uiPriority w:val="0"/>
    <w:rPr>
      <w:b/>
      <w:bCs/>
    </w:rPr>
  </w:style>
  <w:style w:type="paragraph" w:styleId="27">
    <w:name w:val="Body Text First Indent"/>
    <w:basedOn w:val="11"/>
    <w:link w:val="47"/>
    <w:autoRedefine/>
    <w:qFormat/>
    <w:uiPriority w:val="0"/>
    <w:pPr>
      <w:ind w:firstLine="420" w:firstLineChars="100"/>
    </w:pPr>
  </w:style>
  <w:style w:type="paragraph" w:styleId="28">
    <w:name w:val="Body Text First Indent 2"/>
    <w:basedOn w:val="12"/>
    <w:link w:val="48"/>
    <w:autoRedefine/>
    <w:qFormat/>
    <w:uiPriority w:val="99"/>
    <w:pPr>
      <w:tabs>
        <w:tab w:val="left" w:pos="0"/>
        <w:tab w:val="left" w:pos="993"/>
        <w:tab w:val="left" w:pos="1134"/>
      </w:tabs>
      <w:ind w:firstLine="420"/>
    </w:pPr>
  </w:style>
  <w:style w:type="table" w:styleId="30">
    <w:name w:val="Table Grid"/>
    <w:basedOn w:val="29"/>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page number"/>
    <w:basedOn w:val="31"/>
    <w:autoRedefine/>
    <w:qFormat/>
    <w:uiPriority w:val="0"/>
  </w:style>
  <w:style w:type="character" w:styleId="33">
    <w:name w:val="FollowedHyperlink"/>
    <w:basedOn w:val="31"/>
    <w:autoRedefine/>
    <w:qFormat/>
    <w:uiPriority w:val="99"/>
    <w:rPr>
      <w:color w:val="000000"/>
      <w:u w:val="none"/>
    </w:rPr>
  </w:style>
  <w:style w:type="character" w:styleId="34">
    <w:name w:val="Hyperlink"/>
    <w:autoRedefine/>
    <w:qFormat/>
    <w:uiPriority w:val="99"/>
    <w:rPr>
      <w:color w:val="333333"/>
      <w:u w:val="none"/>
    </w:rPr>
  </w:style>
  <w:style w:type="character" w:styleId="35">
    <w:name w:val="annotation reference"/>
    <w:autoRedefine/>
    <w:qFormat/>
    <w:uiPriority w:val="99"/>
    <w:rPr>
      <w:sz w:val="21"/>
    </w:rPr>
  </w:style>
  <w:style w:type="paragraph" w:customStyle="1" w:styleId="36">
    <w:name w:val="NormalIndent"/>
    <w:basedOn w:val="1"/>
    <w:qFormat/>
    <w:uiPriority w:val="0"/>
    <w:pPr>
      <w:ind w:firstLine="420"/>
    </w:pPr>
  </w:style>
  <w:style w:type="character" w:customStyle="1" w:styleId="37">
    <w:name w:val="标题 3 字符"/>
    <w:link w:val="6"/>
    <w:autoRedefine/>
    <w:semiHidden/>
    <w:qFormat/>
    <w:uiPriority w:val="0"/>
    <w:rPr>
      <w:b/>
      <w:bCs/>
      <w:kern w:val="2"/>
      <w:sz w:val="32"/>
      <w:szCs w:val="32"/>
    </w:rPr>
  </w:style>
  <w:style w:type="character" w:customStyle="1" w:styleId="38">
    <w:name w:val="文档结构图 字符"/>
    <w:link w:val="8"/>
    <w:autoRedefine/>
    <w:qFormat/>
    <w:uiPriority w:val="0"/>
    <w:rPr>
      <w:rFonts w:ascii="宋体"/>
      <w:kern w:val="2"/>
      <w:sz w:val="18"/>
      <w:szCs w:val="18"/>
    </w:rPr>
  </w:style>
  <w:style w:type="character" w:customStyle="1" w:styleId="39">
    <w:name w:val="批注文字 字符"/>
    <w:link w:val="9"/>
    <w:autoRedefine/>
    <w:qFormat/>
    <w:uiPriority w:val="0"/>
    <w:rPr>
      <w:kern w:val="2"/>
      <w:sz w:val="21"/>
      <w:szCs w:val="24"/>
    </w:rPr>
  </w:style>
  <w:style w:type="character" w:customStyle="1" w:styleId="40">
    <w:name w:val="正文文本 字符"/>
    <w:link w:val="11"/>
    <w:autoRedefine/>
    <w:qFormat/>
    <w:uiPriority w:val="0"/>
    <w:rPr>
      <w:kern w:val="2"/>
      <w:sz w:val="21"/>
      <w:szCs w:val="24"/>
    </w:rPr>
  </w:style>
  <w:style w:type="character" w:customStyle="1" w:styleId="41">
    <w:name w:val="纯文本 字符"/>
    <w:link w:val="14"/>
    <w:autoRedefine/>
    <w:qFormat/>
    <w:uiPriority w:val="99"/>
    <w:rPr>
      <w:rFonts w:ascii="宋体" w:hAnsi="Courier New"/>
      <w:kern w:val="2"/>
      <w:sz w:val="21"/>
    </w:rPr>
  </w:style>
  <w:style w:type="character" w:customStyle="1" w:styleId="42">
    <w:name w:val="日期 字符"/>
    <w:link w:val="15"/>
    <w:autoRedefine/>
    <w:qFormat/>
    <w:uiPriority w:val="0"/>
    <w:rPr>
      <w:kern w:val="2"/>
      <w:sz w:val="21"/>
      <w:szCs w:val="24"/>
    </w:rPr>
  </w:style>
  <w:style w:type="character" w:customStyle="1" w:styleId="43">
    <w:name w:val="页脚 字符"/>
    <w:link w:val="18"/>
    <w:autoRedefine/>
    <w:qFormat/>
    <w:uiPriority w:val="99"/>
    <w:rPr>
      <w:kern w:val="2"/>
      <w:sz w:val="18"/>
      <w:szCs w:val="18"/>
    </w:rPr>
  </w:style>
  <w:style w:type="character" w:customStyle="1" w:styleId="44">
    <w:name w:val="页眉 字符"/>
    <w:link w:val="20"/>
    <w:autoRedefine/>
    <w:qFormat/>
    <w:uiPriority w:val="99"/>
    <w:rPr>
      <w:kern w:val="2"/>
      <w:sz w:val="18"/>
      <w:szCs w:val="18"/>
    </w:rPr>
  </w:style>
  <w:style w:type="character" w:customStyle="1" w:styleId="45">
    <w:name w:val="正文文本 2 字符"/>
    <w:link w:val="23"/>
    <w:autoRedefine/>
    <w:qFormat/>
    <w:uiPriority w:val="0"/>
    <w:rPr>
      <w:kern w:val="2"/>
      <w:sz w:val="21"/>
      <w:szCs w:val="24"/>
    </w:rPr>
  </w:style>
  <w:style w:type="character" w:customStyle="1" w:styleId="46">
    <w:name w:val="批注主题 字符"/>
    <w:basedOn w:val="39"/>
    <w:link w:val="26"/>
    <w:autoRedefine/>
    <w:qFormat/>
    <w:uiPriority w:val="0"/>
    <w:rPr>
      <w:b/>
      <w:bCs/>
      <w:kern w:val="2"/>
      <w:sz w:val="21"/>
      <w:szCs w:val="24"/>
    </w:rPr>
  </w:style>
  <w:style w:type="character" w:customStyle="1" w:styleId="47">
    <w:name w:val="正文首行缩进 字符"/>
    <w:link w:val="27"/>
    <w:autoRedefine/>
    <w:qFormat/>
    <w:uiPriority w:val="0"/>
    <w:rPr>
      <w:kern w:val="2"/>
      <w:sz w:val="21"/>
      <w:szCs w:val="24"/>
    </w:rPr>
  </w:style>
  <w:style w:type="character" w:customStyle="1" w:styleId="48">
    <w:name w:val="正文首行缩进 2 字符"/>
    <w:basedOn w:val="31"/>
    <w:link w:val="28"/>
    <w:autoRedefine/>
    <w:qFormat/>
    <w:uiPriority w:val="99"/>
    <w:rPr>
      <w:rFonts w:ascii="仿宋_GB2312" w:hAnsi="华文楷体" w:eastAsia="仿宋_GB2312"/>
      <w:kern w:val="2"/>
      <w:sz w:val="32"/>
      <w:szCs w:val="24"/>
    </w:rPr>
  </w:style>
  <w:style w:type="paragraph" w:customStyle="1" w:styleId="49">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
    <w:name w:val="font231"/>
    <w:autoRedefine/>
    <w:qFormat/>
    <w:uiPriority w:val="0"/>
    <w:rPr>
      <w:rFonts w:hint="eastAsia" w:ascii="宋体" w:hAnsi="宋体" w:eastAsia="宋体" w:cs="宋体"/>
      <w:color w:val="000000"/>
      <w:sz w:val="22"/>
      <w:szCs w:val="22"/>
      <w:u w:val="none"/>
    </w:rPr>
  </w:style>
  <w:style w:type="character" w:customStyle="1" w:styleId="51">
    <w:name w:val="font11"/>
    <w:autoRedefine/>
    <w:qFormat/>
    <w:uiPriority w:val="0"/>
    <w:rPr>
      <w:rFonts w:hint="default" w:ascii="Times New Roman" w:hAnsi="Times New Roman" w:cs="Times New Roman"/>
      <w:color w:val="000000"/>
      <w:sz w:val="18"/>
      <w:szCs w:val="18"/>
      <w:u w:val="none"/>
    </w:rPr>
  </w:style>
  <w:style w:type="character" w:customStyle="1" w:styleId="52">
    <w:name w:val="font191"/>
    <w:qFormat/>
    <w:uiPriority w:val="0"/>
    <w:rPr>
      <w:rFonts w:hint="default" w:ascii="Calibri" w:hAnsi="Calibri" w:cs="Calibri"/>
      <w:color w:val="000000"/>
      <w:sz w:val="22"/>
      <w:szCs w:val="22"/>
      <w:u w:val="none"/>
    </w:rPr>
  </w:style>
  <w:style w:type="character" w:customStyle="1" w:styleId="53">
    <w:name w:val="font151"/>
    <w:autoRedefine/>
    <w:qFormat/>
    <w:uiPriority w:val="0"/>
    <w:rPr>
      <w:rFonts w:hint="default" w:ascii="Calibri" w:hAnsi="Calibri" w:cs="Calibri"/>
      <w:color w:val="000000"/>
      <w:sz w:val="22"/>
      <w:szCs w:val="22"/>
      <w:u w:val="none"/>
    </w:rPr>
  </w:style>
  <w:style w:type="character" w:customStyle="1" w:styleId="54">
    <w:name w:val="font221"/>
    <w:autoRedefine/>
    <w:qFormat/>
    <w:uiPriority w:val="0"/>
    <w:rPr>
      <w:rFonts w:hint="eastAsia" w:ascii="宋体" w:hAnsi="宋体" w:eastAsia="宋体" w:cs="宋体"/>
      <w:color w:val="000000"/>
      <w:sz w:val="20"/>
      <w:szCs w:val="20"/>
      <w:u w:val="none"/>
    </w:rPr>
  </w:style>
  <w:style w:type="character" w:customStyle="1" w:styleId="55">
    <w:name w:val="font61"/>
    <w:qFormat/>
    <w:uiPriority w:val="0"/>
    <w:rPr>
      <w:rFonts w:hint="eastAsia" w:ascii="宋体" w:hAnsi="宋体" w:eastAsia="宋体" w:cs="宋体"/>
      <w:color w:val="FF0000"/>
      <w:sz w:val="22"/>
      <w:szCs w:val="22"/>
      <w:u w:val="none"/>
    </w:rPr>
  </w:style>
  <w:style w:type="character" w:customStyle="1" w:styleId="56">
    <w:name w:val="font31"/>
    <w:autoRedefine/>
    <w:qFormat/>
    <w:uiPriority w:val="0"/>
    <w:rPr>
      <w:rFonts w:hint="eastAsia" w:ascii="宋体" w:hAnsi="宋体" w:eastAsia="宋体" w:cs="宋体"/>
      <w:color w:val="000000"/>
      <w:sz w:val="18"/>
      <w:szCs w:val="18"/>
      <w:u w:val="none"/>
    </w:rPr>
  </w:style>
  <w:style w:type="character" w:customStyle="1" w:styleId="57">
    <w:name w:val="访问过的超链接1"/>
    <w:autoRedefine/>
    <w:qFormat/>
    <w:uiPriority w:val="0"/>
    <w:rPr>
      <w:color w:val="333333"/>
      <w:u w:val="none"/>
    </w:rPr>
  </w:style>
  <w:style w:type="character" w:customStyle="1" w:styleId="58">
    <w:name w:val="font01"/>
    <w:autoRedefine/>
    <w:qFormat/>
    <w:uiPriority w:val="0"/>
    <w:rPr>
      <w:rFonts w:hint="eastAsia" w:ascii="宋体" w:hAnsi="宋体" w:eastAsia="宋体" w:cs="宋体"/>
      <w:color w:val="000000"/>
      <w:sz w:val="22"/>
      <w:szCs w:val="22"/>
      <w:u w:val="none"/>
    </w:rPr>
  </w:style>
  <w:style w:type="character" w:customStyle="1" w:styleId="59">
    <w:name w:val="font21"/>
    <w:qFormat/>
    <w:uiPriority w:val="0"/>
    <w:rPr>
      <w:rFonts w:hint="default" w:ascii="Times New Roman" w:hAnsi="Times New Roman" w:cs="Times New Roman"/>
      <w:color w:val="000000"/>
      <w:sz w:val="18"/>
      <w:szCs w:val="18"/>
      <w:u w:val="none"/>
    </w:rPr>
  </w:style>
  <w:style w:type="paragraph" w:customStyle="1" w:styleId="60">
    <w:name w:val="p0"/>
    <w:basedOn w:val="1"/>
    <w:qFormat/>
    <w:uiPriority w:val="0"/>
    <w:pPr>
      <w:widowControl/>
    </w:pPr>
    <w:rPr>
      <w:rFonts w:ascii="Calibri" w:hAnsi="Calibri" w:cs="宋体"/>
      <w:kern w:val="0"/>
      <w:szCs w:val="21"/>
    </w:rPr>
  </w:style>
  <w:style w:type="paragraph" w:customStyle="1" w:styleId="61">
    <w:name w:val="List Paragraph1"/>
    <w:basedOn w:val="1"/>
    <w:qFormat/>
    <w:uiPriority w:val="0"/>
    <w:pPr>
      <w:ind w:firstLine="420" w:firstLineChars="200"/>
    </w:pPr>
  </w:style>
  <w:style w:type="paragraph" w:customStyle="1" w:styleId="62">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63">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64">
    <w:name w:val="Table Paragraph"/>
    <w:basedOn w:val="1"/>
    <w:autoRedefine/>
    <w:qFormat/>
    <w:uiPriority w:val="0"/>
    <w:pPr>
      <w:autoSpaceDE w:val="0"/>
      <w:autoSpaceDN w:val="0"/>
      <w:jc w:val="left"/>
    </w:pPr>
    <w:rPr>
      <w:rFonts w:ascii="宋体" w:hAnsi="宋体" w:cs="宋体"/>
      <w:kern w:val="0"/>
      <w:sz w:val="22"/>
      <w:szCs w:val="22"/>
      <w:lang w:val="zh-CN" w:bidi="zh-CN"/>
    </w:rPr>
  </w:style>
  <w:style w:type="paragraph" w:customStyle="1" w:styleId="65">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66">
    <w:name w:val="Char Char Char Char Char Char Char1 Char"/>
    <w:basedOn w:val="1"/>
    <w:qFormat/>
    <w:uiPriority w:val="0"/>
    <w:rPr>
      <w:rFonts w:ascii="Tahoma" w:hAnsi="Tahoma"/>
      <w:sz w:val="24"/>
      <w:szCs w:val="20"/>
    </w:rPr>
  </w:style>
  <w:style w:type="paragraph" w:styleId="67">
    <w:name w:val="List Paragraph"/>
    <w:basedOn w:val="1"/>
    <w:autoRedefine/>
    <w:qFormat/>
    <w:uiPriority w:val="34"/>
    <w:pPr>
      <w:ind w:firstLine="420" w:firstLineChars="200"/>
    </w:pPr>
  </w:style>
  <w:style w:type="paragraph" w:customStyle="1" w:styleId="68">
    <w:name w:val="Char Char Char1 Char"/>
    <w:basedOn w:val="1"/>
    <w:autoRedefine/>
    <w:qFormat/>
    <w:uiPriority w:val="0"/>
    <w:pPr>
      <w:spacing w:line="360" w:lineRule="auto"/>
      <w:ind w:firstLine="200" w:firstLineChars="200"/>
    </w:pPr>
    <w:rPr>
      <w:rFonts w:ascii="宋体" w:hAnsi="宋体" w:cs="宋体"/>
      <w:sz w:val="24"/>
    </w:rPr>
  </w:style>
  <w:style w:type="paragraph" w:customStyle="1" w:styleId="69">
    <w:name w:val="默认段落字体 Para Char Char Char Char Char Char Char Char Char Char"/>
    <w:basedOn w:val="1"/>
    <w:autoRedefine/>
    <w:qFormat/>
    <w:uiPriority w:val="0"/>
    <w:pPr>
      <w:tabs>
        <w:tab w:val="right" w:pos="-2120"/>
      </w:tabs>
      <w:snapToGrid w:val="0"/>
    </w:pPr>
  </w:style>
  <w:style w:type="character" w:customStyle="1" w:styleId="70">
    <w:name w:val="generalinfo-address-text"/>
    <w:basedOn w:val="31"/>
    <w:qFormat/>
    <w:uiPriority w:val="0"/>
  </w:style>
  <w:style w:type="character" w:customStyle="1" w:styleId="71">
    <w:name w:val="NormalCharacter"/>
    <w:qFormat/>
    <w:uiPriority w:val="0"/>
  </w:style>
  <w:style w:type="paragraph" w:customStyle="1" w:styleId="72">
    <w:name w:val="普通(网站)1"/>
    <w:basedOn w:val="1"/>
    <w:autoRedefine/>
    <w:qFormat/>
    <w:uiPriority w:val="0"/>
    <w:pPr>
      <w:widowControl/>
      <w:spacing w:before="100" w:beforeAutospacing="1" w:after="100" w:afterAutospacing="1"/>
      <w:jc w:val="left"/>
    </w:pPr>
    <w:rPr>
      <w:rFonts w:ascii="宋体" w:hAnsi="宋体"/>
      <w:kern w:val="0"/>
      <w:sz w:val="24"/>
    </w:rPr>
  </w:style>
  <w:style w:type="character" w:customStyle="1" w:styleId="73">
    <w:name w:val="contentlabel"/>
    <w:autoRedefine/>
    <w:qFormat/>
    <w:uiPriority w:val="0"/>
  </w:style>
  <w:style w:type="paragraph" w:customStyle="1" w:styleId="74">
    <w:name w:val="Body Text First Indent1"/>
    <w:basedOn w:val="11"/>
    <w:next w:val="75"/>
    <w:qFormat/>
    <w:uiPriority w:val="0"/>
    <w:pPr>
      <w:autoSpaceDE w:val="0"/>
      <w:autoSpaceDN w:val="0"/>
      <w:ind w:firstLine="420" w:firstLineChars="100"/>
      <w:jc w:val="left"/>
    </w:pPr>
    <w:rPr>
      <w:rFonts w:ascii="宋体" w:hAnsi="等线" w:eastAsia="等线" w:cs="宋体"/>
      <w:kern w:val="0"/>
      <w:lang w:val="zh-CN"/>
    </w:rPr>
  </w:style>
  <w:style w:type="paragraph" w:customStyle="1" w:styleId="75">
    <w:name w:val="Body Text First Indent 21"/>
    <w:basedOn w:val="76"/>
    <w:qFormat/>
    <w:uiPriority w:val="0"/>
    <w:pPr>
      <w:ind w:firstLine="420" w:firstLineChars="200"/>
    </w:pPr>
  </w:style>
  <w:style w:type="paragraph" w:customStyle="1" w:styleId="76">
    <w:name w:val="Body Text Indent1"/>
    <w:basedOn w:val="1"/>
    <w:qFormat/>
    <w:uiPriority w:val="0"/>
    <w:pPr>
      <w:spacing w:after="120"/>
      <w:ind w:left="420" w:leftChars="200"/>
    </w:pPr>
  </w:style>
  <w:style w:type="paragraph" w:customStyle="1" w:styleId="77">
    <w:name w:val="D&amp;L"/>
    <w:basedOn w:val="20"/>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8">
    <w:name w:val="first-child"/>
    <w:basedOn w:val="31"/>
    <w:qFormat/>
    <w:uiPriority w:val="0"/>
    <w:rPr>
      <w:color w:val="1F3149"/>
      <w:sz w:val="24"/>
      <w:szCs w:val="24"/>
    </w:rPr>
  </w:style>
  <w:style w:type="character" w:customStyle="1" w:styleId="79">
    <w:name w:val="first-child1"/>
    <w:basedOn w:val="31"/>
    <w:qFormat/>
    <w:uiPriority w:val="0"/>
    <w:rPr>
      <w:color w:val="1F3149"/>
      <w:sz w:val="24"/>
      <w:szCs w:val="24"/>
    </w:rPr>
  </w:style>
  <w:style w:type="character" w:customStyle="1" w:styleId="80">
    <w:name w:val="icon_ds"/>
    <w:basedOn w:val="31"/>
    <w:autoRedefine/>
    <w:qFormat/>
    <w:uiPriority w:val="0"/>
  </w:style>
  <w:style w:type="character" w:customStyle="1" w:styleId="81">
    <w:name w:val="icon_ds1"/>
    <w:basedOn w:val="31"/>
    <w:qFormat/>
    <w:uiPriority w:val="0"/>
    <w:rPr>
      <w:sz w:val="21"/>
      <w:szCs w:val="21"/>
    </w:rPr>
  </w:style>
  <w:style w:type="character" w:customStyle="1" w:styleId="82">
    <w:name w:val="icon_gys"/>
    <w:basedOn w:val="31"/>
    <w:autoRedefine/>
    <w:qFormat/>
    <w:uiPriority w:val="0"/>
    <w:rPr>
      <w:sz w:val="21"/>
      <w:szCs w:val="21"/>
    </w:rPr>
  </w:style>
  <w:style w:type="character" w:customStyle="1" w:styleId="83">
    <w:name w:val="xiadan"/>
    <w:basedOn w:val="31"/>
    <w:qFormat/>
    <w:uiPriority w:val="0"/>
    <w:rPr>
      <w:shd w:val="clear" w:color="auto" w:fill="E4393C"/>
    </w:rPr>
  </w:style>
  <w:style w:type="character" w:customStyle="1" w:styleId="84">
    <w:name w:val="fr"/>
    <w:basedOn w:val="31"/>
    <w:autoRedefine/>
    <w:qFormat/>
    <w:uiPriority w:val="0"/>
  </w:style>
  <w:style w:type="character" w:customStyle="1" w:styleId="85">
    <w:name w:val="正文首行缩进 Char2"/>
    <w:qFormat/>
    <w:uiPriority w:val="0"/>
    <w:rPr>
      <w:rFonts w:ascii="Arial" w:hAnsi="Arial" w:eastAsia="仿宋_GB2312" w:cs="Arial"/>
      <w:sz w:val="24"/>
      <w:szCs w:val="32"/>
    </w:rPr>
  </w:style>
  <w:style w:type="character" w:customStyle="1" w:styleId="86">
    <w:name w:val="正文文本 Char1"/>
    <w:basedOn w:val="31"/>
    <w:semiHidden/>
    <w:qFormat/>
    <w:locked/>
    <w:uiPriority w:val="0"/>
    <w:rPr>
      <w:kern w:val="2"/>
      <w:sz w:val="21"/>
      <w:szCs w:val="24"/>
    </w:rPr>
  </w:style>
  <w:style w:type="paragraph" w:customStyle="1" w:styleId="87">
    <w:name w:val="正文1"/>
    <w:basedOn w:val="1"/>
    <w:autoRedefine/>
    <w:qFormat/>
    <w:uiPriority w:val="0"/>
    <w:pPr>
      <w:widowControl/>
      <w:topLinePunct/>
      <w:spacing w:beforeLines="50" w:afterLines="50" w:line="300" w:lineRule="auto"/>
      <w:ind w:left="420"/>
    </w:pPr>
  </w:style>
  <w:style w:type="paragraph" w:customStyle="1" w:styleId="88">
    <w:name w:val="TOC 标题1"/>
    <w:basedOn w:val="4"/>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89">
    <w:name w:val="fontstyle01"/>
    <w:basedOn w:val="31"/>
    <w:qFormat/>
    <w:uiPriority w:val="0"/>
    <w:rPr>
      <w:rFonts w:hint="eastAsia" w:ascii="宋体" w:hAnsi="宋体" w:eastAsia="宋体"/>
      <w:color w:val="000000"/>
      <w:sz w:val="22"/>
      <w:szCs w:val="22"/>
    </w:rPr>
  </w:style>
  <w:style w:type="paragraph" w:customStyle="1" w:styleId="9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9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2">
    <w:name w:val="xl65"/>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93">
    <w:name w:val="xl66"/>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94">
    <w:name w:val="xl67"/>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95">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6">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7">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9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10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101">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18"/>
      <w:szCs w:val="18"/>
    </w:rPr>
  </w:style>
  <w:style w:type="paragraph" w:customStyle="1" w:styleId="10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0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0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5">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07">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character" w:customStyle="1" w:styleId="108">
    <w:name w:val="标题 4 字符"/>
    <w:basedOn w:val="31"/>
    <w:link w:val="7"/>
    <w:autoRedefine/>
    <w:qFormat/>
    <w:uiPriority w:val="0"/>
    <w:rPr>
      <w:rFonts w:ascii="Arial" w:hAnsi="Arial" w:eastAsia="黑体"/>
      <w:b/>
      <w:bCs/>
      <w:kern w:val="2"/>
      <w:sz w:val="28"/>
      <w:szCs w:val="28"/>
    </w:rPr>
  </w:style>
  <w:style w:type="table" w:customStyle="1" w:styleId="109">
    <w:name w:val="网格型1"/>
    <w:basedOn w:val="29"/>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953691B-9262-45C9-83A0-0C0B9E8C693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20641</Words>
  <Characters>21968</Characters>
  <Lines>31</Lines>
  <Paragraphs>46</Paragraphs>
  <TotalTime>9</TotalTime>
  <ScaleCrop>false</ScaleCrop>
  <LinksUpToDate>false</LinksUpToDate>
  <CharactersWithSpaces>23038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user</cp:lastModifiedBy>
  <cp:lastPrinted>2021-07-12T12:13:00Z</cp:lastPrinted>
  <dcterms:modified xsi:type="dcterms:W3CDTF">2024-07-03T07:13:54Z</dcterms:modified>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DEBFFB9F452E43E9B980E6EA021162FD_13</vt:lpwstr>
  </property>
</Properties>
</file>