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exact"/>
        <w:jc w:val="center"/>
        <w:rPr>
          <w:rFonts w:ascii="Arial Black" w:hAnsi="Arial Black" w:eastAsia="黑体"/>
          <w:b/>
          <w:spacing w:val="36"/>
          <w:sz w:val="52"/>
          <w:szCs w:val="52"/>
          <w:highlight w:val="none"/>
        </w:rPr>
      </w:pPr>
      <w:r>
        <w:rPr>
          <w:rFonts w:hint="eastAsia" w:ascii="Arial Black" w:hAnsi="Arial Black" w:eastAsia="黑体"/>
          <w:b/>
          <w:bCs/>
          <w:spacing w:val="36"/>
          <w:sz w:val="52"/>
          <w:szCs w:val="52"/>
          <w:highlight w:val="none"/>
        </w:rPr>
        <w:t>周口市公共资源交易中心</w:t>
      </w:r>
    </w:p>
    <w:p>
      <w:pPr>
        <w:tabs>
          <w:tab w:val="left" w:pos="315"/>
          <w:tab w:val="left" w:pos="8820"/>
        </w:tabs>
        <w:spacing w:line="360" w:lineRule="auto"/>
        <w:ind w:right="267" w:rightChars="127"/>
        <w:jc w:val="center"/>
        <w:rPr>
          <w:rFonts w:ascii="仿宋_GB2312" w:eastAsia="仿宋_GB2312"/>
          <w:b/>
          <w:bCs/>
          <w:sz w:val="48"/>
          <w:highlight w:val="none"/>
        </w:rPr>
      </w:pPr>
    </w:p>
    <w:p>
      <w:pPr>
        <w:tabs>
          <w:tab w:val="left" w:pos="315"/>
          <w:tab w:val="left" w:pos="8820"/>
        </w:tabs>
        <w:spacing w:line="360" w:lineRule="auto"/>
        <w:ind w:right="267" w:rightChars="127"/>
        <w:jc w:val="center"/>
        <w:rPr>
          <w:rFonts w:ascii="微软简标宋" w:eastAsia="黑体"/>
          <w:b/>
          <w:bCs/>
          <w:sz w:val="52"/>
          <w:highlight w:val="none"/>
        </w:rPr>
      </w:pPr>
      <w:r>
        <w:rPr>
          <w:rFonts w:hint="eastAsia" w:ascii="微软简标宋" w:eastAsia="黑体"/>
          <w:b/>
          <w:bCs/>
          <w:sz w:val="52"/>
          <w:highlight w:val="none"/>
        </w:rPr>
        <w:t>竞争性磋商文件</w:t>
      </w:r>
    </w:p>
    <w:p>
      <w:pPr>
        <w:tabs>
          <w:tab w:val="left" w:pos="315"/>
          <w:tab w:val="left" w:pos="8820"/>
        </w:tabs>
        <w:spacing w:line="500" w:lineRule="exact"/>
        <w:ind w:right="267" w:rightChars="127"/>
        <w:jc w:val="center"/>
        <w:rPr>
          <w:rFonts w:ascii="仿宋_GB2312" w:eastAsia="仿宋_GB2312"/>
          <w:sz w:val="44"/>
          <w:highlight w:val="none"/>
        </w:rPr>
      </w:pPr>
    </w:p>
    <w:p>
      <w:pPr>
        <w:tabs>
          <w:tab w:val="left" w:pos="315"/>
          <w:tab w:val="left" w:pos="8820"/>
        </w:tabs>
        <w:ind w:right="267" w:rightChars="127"/>
        <w:rPr>
          <w:rFonts w:ascii="仿宋_GB2312" w:eastAsia="仿宋_GB2312"/>
          <w:sz w:val="44"/>
          <w:highlight w:val="none"/>
        </w:rPr>
      </w:pPr>
    </w:p>
    <w:p>
      <w:pPr>
        <w:tabs>
          <w:tab w:val="left" w:pos="315"/>
          <w:tab w:val="left" w:pos="8820"/>
        </w:tabs>
        <w:spacing w:line="500" w:lineRule="exact"/>
        <w:ind w:right="267" w:rightChars="127"/>
        <w:rPr>
          <w:rFonts w:ascii="仿宋_GB2312" w:eastAsia="仿宋_GB2312"/>
          <w:b/>
          <w:bCs/>
          <w:sz w:val="36"/>
          <w:highlight w:val="none"/>
        </w:rPr>
      </w:pPr>
    </w:p>
    <w:p>
      <w:pPr>
        <w:tabs>
          <w:tab w:val="left" w:pos="315"/>
          <w:tab w:val="left" w:pos="8820"/>
        </w:tabs>
        <w:spacing w:line="500" w:lineRule="exact"/>
        <w:ind w:right="267" w:rightChars="127"/>
        <w:rPr>
          <w:rFonts w:ascii="仿宋_GB2312" w:eastAsia="仿宋_GB2312"/>
          <w:b/>
          <w:bCs/>
          <w:sz w:val="36"/>
          <w:highlight w:val="none"/>
        </w:rPr>
      </w:pPr>
    </w:p>
    <w:p>
      <w:pPr>
        <w:tabs>
          <w:tab w:val="left" w:pos="315"/>
          <w:tab w:val="left" w:pos="8820"/>
        </w:tabs>
        <w:spacing w:line="500" w:lineRule="exact"/>
        <w:ind w:right="267" w:rightChars="127"/>
        <w:jc w:val="center"/>
        <w:rPr>
          <w:rFonts w:ascii="宋体" w:hAnsi="宋体"/>
          <w:sz w:val="32"/>
          <w:highlight w:val="none"/>
        </w:rPr>
      </w:pPr>
    </w:p>
    <w:p>
      <w:pPr>
        <w:pStyle w:val="10"/>
        <w:rPr>
          <w:rFonts w:ascii="宋体" w:hAnsi="宋体"/>
          <w:sz w:val="32"/>
          <w:highlight w:val="none"/>
        </w:rPr>
      </w:pPr>
    </w:p>
    <w:p>
      <w:pPr>
        <w:pStyle w:val="39"/>
        <w:rPr>
          <w:rFonts w:ascii="宋体" w:hAnsi="宋体"/>
          <w:sz w:val="32"/>
          <w:highlight w:val="none"/>
        </w:rPr>
      </w:pPr>
    </w:p>
    <w:p/>
    <w:p/>
    <w:p/>
    <w:p>
      <w:pPr>
        <w:pStyle w:val="10"/>
      </w:pPr>
    </w:p>
    <w:p>
      <w:pPr>
        <w:tabs>
          <w:tab w:val="left" w:pos="315"/>
          <w:tab w:val="left" w:pos="8820"/>
        </w:tabs>
        <w:spacing w:line="500" w:lineRule="exact"/>
        <w:ind w:right="267" w:rightChars="127"/>
        <w:jc w:val="center"/>
        <w:rPr>
          <w:rFonts w:ascii="微软简标宋" w:eastAsia="黑体"/>
          <w:b/>
          <w:bCs/>
          <w:sz w:val="52"/>
          <w:highlight w:val="none"/>
        </w:rPr>
      </w:pPr>
    </w:p>
    <w:p>
      <w:pPr>
        <w:tabs>
          <w:tab w:val="left" w:pos="315"/>
          <w:tab w:val="left" w:pos="8820"/>
        </w:tabs>
        <w:spacing w:line="600" w:lineRule="exact"/>
        <w:ind w:left="1926" w:leftChars="200" w:right="-92" w:rightChars="-44" w:hanging="1506" w:hangingChars="500"/>
        <w:jc w:val="left"/>
        <w:rPr>
          <w:rFonts w:hint="eastAsia" w:ascii="宋体" w:hAnsi="宋体" w:eastAsia="宋体" w:cs="宋体"/>
          <w:b/>
          <w:bCs/>
          <w:color w:val="auto"/>
          <w:sz w:val="30"/>
          <w:szCs w:val="30"/>
          <w:lang w:eastAsia="zh-CN"/>
        </w:rPr>
      </w:pPr>
      <w:r>
        <w:rPr>
          <w:rFonts w:hint="eastAsia" w:ascii="宋体" w:hAnsi="宋体" w:eastAsia="宋体" w:cs="宋体"/>
          <w:b/>
          <w:bCs/>
          <w:color w:val="auto"/>
          <w:sz w:val="30"/>
          <w:szCs w:val="30"/>
          <w:lang w:eastAsia="zh-CN"/>
        </w:rPr>
        <w:t>项目名称: 周口市历史文化名城传承保护中心周口市历史文化名城保护管理平台项目</w:t>
      </w:r>
    </w:p>
    <w:p>
      <w:pPr>
        <w:tabs>
          <w:tab w:val="left" w:pos="315"/>
          <w:tab w:val="left" w:pos="8820"/>
        </w:tabs>
        <w:spacing w:line="600" w:lineRule="exact"/>
        <w:ind w:left="424" w:leftChars="200" w:right="-92" w:rightChars="-44" w:hanging="4" w:firstLineChars="0"/>
        <w:jc w:val="left"/>
        <w:rPr>
          <w:rFonts w:hint="default" w:ascii="宋体" w:hAnsi="宋体" w:eastAsia="宋体" w:cs="宋体"/>
          <w:b/>
          <w:bCs/>
          <w:color w:val="0C0C0C" w:themeColor="text1" w:themeTint="F2"/>
          <w:sz w:val="30"/>
          <w:szCs w:val="30"/>
          <w:lang w:val="en-US" w:eastAsia="zh-CN"/>
        </w:rPr>
      </w:pPr>
      <w:r>
        <w:rPr>
          <w:rFonts w:hint="eastAsia" w:ascii="宋体" w:hAnsi="宋体" w:eastAsia="宋体" w:cs="宋体"/>
          <w:b/>
          <w:bCs/>
          <w:color w:val="0C0C0C" w:themeColor="text1" w:themeTint="F2"/>
          <w:sz w:val="30"/>
          <w:szCs w:val="30"/>
          <w:lang w:eastAsia="zh-CN"/>
        </w:rPr>
        <w:t xml:space="preserve">项目编号: </w:t>
      </w:r>
      <w:r>
        <w:rPr>
          <w:rFonts w:hint="eastAsia" w:ascii="宋体" w:hAnsi="宋体" w:cs="宋体"/>
          <w:b/>
          <w:bCs/>
          <w:color w:val="0C0C0C" w:themeColor="text1" w:themeTint="F2"/>
          <w:sz w:val="30"/>
          <w:szCs w:val="30"/>
          <w:lang w:eastAsia="zh-CN"/>
        </w:rPr>
        <w:t>周财磋商采购-2024-7</w:t>
      </w:r>
      <w:r>
        <w:rPr>
          <w:rFonts w:hint="eastAsia" w:ascii="宋体" w:hAnsi="宋体" w:cs="宋体"/>
          <w:b/>
          <w:bCs/>
          <w:color w:val="0C0C0C" w:themeColor="text1" w:themeTint="F2"/>
          <w:sz w:val="30"/>
          <w:szCs w:val="30"/>
          <w:lang w:val="en-US" w:eastAsia="zh-CN"/>
        </w:rPr>
        <w:t>5</w:t>
      </w:r>
    </w:p>
    <w:p>
      <w:pPr>
        <w:tabs>
          <w:tab w:val="left" w:pos="315"/>
          <w:tab w:val="left" w:pos="8820"/>
        </w:tabs>
        <w:spacing w:line="600" w:lineRule="exact"/>
        <w:ind w:left="1895" w:leftChars="0" w:right="-92" w:rightChars="-44" w:hanging="1895" w:hangingChars="590"/>
        <w:jc w:val="left"/>
        <w:rPr>
          <w:rFonts w:hint="eastAsia" w:ascii="宋体" w:hAnsi="宋体" w:eastAsia="宋体" w:cs="宋体"/>
          <w:b/>
          <w:bCs/>
          <w:color w:val="auto"/>
          <w:sz w:val="32"/>
          <w:szCs w:val="32"/>
          <w:lang w:eastAsia="zh-CN"/>
        </w:rPr>
      </w:pPr>
    </w:p>
    <w:p>
      <w:pPr>
        <w:tabs>
          <w:tab w:val="left" w:pos="315"/>
          <w:tab w:val="left" w:pos="8820"/>
        </w:tabs>
        <w:spacing w:line="600" w:lineRule="exact"/>
        <w:ind w:left="1895" w:leftChars="0" w:right="-92" w:rightChars="-44" w:hanging="1895" w:hangingChars="590"/>
        <w:jc w:val="center"/>
        <w:rPr>
          <w:rFonts w:hint="eastAsia" w:ascii="宋体" w:hAnsi="宋体" w:eastAsia="宋体" w:cs="宋体"/>
          <w:b/>
          <w:bCs/>
          <w:color w:val="auto"/>
          <w:sz w:val="32"/>
          <w:szCs w:val="32"/>
          <w:lang w:eastAsia="zh-CN"/>
        </w:rPr>
      </w:pPr>
      <w:r>
        <w:rPr>
          <w:rFonts w:hint="eastAsia" w:ascii="宋体" w:hAnsi="宋体" w:cs="宋体"/>
          <w:b/>
          <w:bCs/>
          <w:color w:val="auto"/>
          <w:sz w:val="32"/>
          <w:szCs w:val="32"/>
          <w:lang w:val="en-US" w:eastAsia="zh-CN"/>
        </w:rPr>
        <w:t>2024年07月</w:t>
      </w:r>
    </w:p>
    <w:p>
      <w:pPr>
        <w:pStyle w:val="9"/>
        <w:jc w:val="center"/>
        <w:rPr>
          <w:rFonts w:ascii="宋体" w:hAnsi="宋体"/>
          <w:b/>
          <w:sz w:val="32"/>
          <w:highlight w:val="none"/>
        </w:rPr>
      </w:pPr>
    </w:p>
    <w:p>
      <w:pPr>
        <w:rPr>
          <w:rFonts w:ascii="仿宋_GB2312" w:eastAsia="仿宋_GB2312"/>
          <w:b/>
          <w:sz w:val="30"/>
          <w:szCs w:val="30"/>
          <w:highlight w:val="none"/>
        </w:rPr>
        <w:sectPr>
          <w:headerReference r:id="rId3" w:type="default"/>
          <w:pgSz w:w="11907" w:h="16840"/>
          <w:pgMar w:top="2098" w:right="1474" w:bottom="1985" w:left="1588" w:header="851" w:footer="992" w:gutter="0"/>
          <w:pgNumType w:fmt="decimal" w:start="1"/>
          <w:cols w:space="720" w:num="1"/>
          <w:docGrid w:type="lines" w:linePitch="312" w:charSpace="0"/>
        </w:sectPr>
      </w:pPr>
    </w:p>
    <w:p>
      <w:pPr>
        <w:rPr>
          <w:rFonts w:ascii="仿宋_GB2312" w:eastAsia="仿宋_GB2312"/>
          <w:b/>
          <w:sz w:val="30"/>
          <w:szCs w:val="30"/>
          <w:highlight w:val="none"/>
        </w:rPr>
      </w:pPr>
    </w:p>
    <w:p>
      <w:pPr>
        <w:spacing w:line="560" w:lineRule="exact"/>
        <w:jc w:val="center"/>
        <w:rPr>
          <w:rFonts w:ascii="宋体" w:hAnsi="宋体" w:cs="宋体"/>
          <w:b/>
          <w:sz w:val="32"/>
          <w:szCs w:val="32"/>
          <w:highlight w:val="none"/>
        </w:rPr>
      </w:pPr>
      <w:r>
        <w:rPr>
          <w:rFonts w:hint="eastAsia" w:ascii="宋体" w:hAnsi="宋体" w:cs="宋体"/>
          <w:b/>
          <w:sz w:val="32"/>
          <w:szCs w:val="32"/>
          <w:highlight w:val="none"/>
        </w:rPr>
        <w:t>目     录</w:t>
      </w:r>
    </w:p>
    <w:p>
      <w:pPr>
        <w:rPr>
          <w:rFonts w:ascii="宋体" w:hAnsi="宋体" w:cs="宋体"/>
          <w:b/>
          <w:sz w:val="32"/>
          <w:szCs w:val="32"/>
          <w:highlight w:val="none"/>
        </w:rPr>
      </w:pPr>
    </w:p>
    <w:p>
      <w:pPr>
        <w:spacing w:line="800" w:lineRule="exact"/>
        <w:rPr>
          <w:rFonts w:ascii="宋体" w:hAnsi="宋体" w:cs="宋体"/>
          <w:b/>
          <w:sz w:val="32"/>
          <w:szCs w:val="32"/>
          <w:highlight w:val="none"/>
        </w:rPr>
      </w:pPr>
      <w:r>
        <w:rPr>
          <w:rFonts w:hint="eastAsia" w:ascii="宋体" w:hAnsi="宋体" w:cs="宋体"/>
          <w:b/>
          <w:sz w:val="32"/>
          <w:szCs w:val="32"/>
          <w:highlight w:val="none"/>
        </w:rPr>
        <w:t xml:space="preserve">第一章  竞争性磋商邀请函 </w:t>
      </w:r>
    </w:p>
    <w:p>
      <w:pPr>
        <w:spacing w:line="800" w:lineRule="exact"/>
        <w:rPr>
          <w:rFonts w:ascii="宋体" w:hAnsi="宋体" w:cs="宋体"/>
          <w:b/>
          <w:sz w:val="32"/>
          <w:szCs w:val="32"/>
          <w:highlight w:val="none"/>
        </w:rPr>
      </w:pPr>
      <w:r>
        <w:rPr>
          <w:rFonts w:hint="eastAsia" w:ascii="宋体" w:hAnsi="宋体" w:cs="宋体"/>
          <w:b/>
          <w:sz w:val="32"/>
          <w:szCs w:val="32"/>
          <w:highlight w:val="none"/>
        </w:rPr>
        <w:t>第二章  供应商须知</w:t>
      </w:r>
    </w:p>
    <w:p>
      <w:pPr>
        <w:spacing w:line="800" w:lineRule="exact"/>
        <w:rPr>
          <w:rFonts w:ascii="宋体" w:hAnsi="宋体" w:cs="宋体"/>
          <w:b/>
          <w:sz w:val="32"/>
          <w:szCs w:val="32"/>
          <w:highlight w:val="none"/>
        </w:rPr>
      </w:pPr>
      <w:r>
        <w:rPr>
          <w:rFonts w:hint="eastAsia" w:ascii="宋体" w:hAnsi="宋体" w:cs="宋体"/>
          <w:b/>
          <w:sz w:val="32"/>
          <w:szCs w:val="32"/>
          <w:highlight w:val="none"/>
        </w:rPr>
        <w:t>第三章  采购项目内容及要求</w:t>
      </w:r>
    </w:p>
    <w:p>
      <w:pPr>
        <w:spacing w:line="800" w:lineRule="exact"/>
        <w:rPr>
          <w:rFonts w:ascii="宋体" w:hAnsi="宋体" w:cs="宋体"/>
          <w:b/>
          <w:sz w:val="32"/>
          <w:szCs w:val="32"/>
          <w:highlight w:val="none"/>
        </w:rPr>
      </w:pPr>
      <w:r>
        <w:rPr>
          <w:rFonts w:hint="eastAsia" w:ascii="宋体" w:hAnsi="宋体" w:cs="宋体"/>
          <w:b/>
          <w:sz w:val="32"/>
          <w:szCs w:val="32"/>
          <w:highlight w:val="none"/>
        </w:rPr>
        <w:t>第四章  响应性文件内容及格式</w:t>
      </w:r>
    </w:p>
    <w:p>
      <w:pPr>
        <w:spacing w:line="800" w:lineRule="exact"/>
        <w:rPr>
          <w:rFonts w:ascii="宋体" w:hAnsi="宋体" w:cs="宋体"/>
          <w:b/>
          <w:sz w:val="32"/>
          <w:szCs w:val="32"/>
          <w:highlight w:val="none"/>
        </w:rPr>
      </w:pPr>
      <w:r>
        <w:rPr>
          <w:rFonts w:hint="eastAsia" w:ascii="宋体" w:hAnsi="宋体" w:cs="宋体"/>
          <w:b/>
          <w:sz w:val="32"/>
          <w:szCs w:val="32"/>
          <w:highlight w:val="none"/>
        </w:rPr>
        <w:t>第五章  合同主要条款 合同签订指引、供应商履约验收指引</w:t>
      </w:r>
    </w:p>
    <w:p>
      <w:pPr>
        <w:spacing w:line="800" w:lineRule="exact"/>
        <w:ind w:firstLine="2249" w:firstLineChars="700"/>
        <w:rPr>
          <w:rFonts w:ascii="宋体" w:hAnsi="宋体" w:cs="宋体"/>
          <w:b/>
          <w:sz w:val="32"/>
          <w:szCs w:val="32"/>
          <w:highlight w:val="none"/>
        </w:rPr>
      </w:pPr>
    </w:p>
    <w:p>
      <w:pPr>
        <w:spacing w:line="800" w:lineRule="exact"/>
        <w:ind w:firstLine="2249" w:firstLineChars="700"/>
        <w:rPr>
          <w:rFonts w:ascii="宋体" w:hAnsi="宋体" w:cs="宋体"/>
          <w:b/>
          <w:sz w:val="32"/>
          <w:szCs w:val="32"/>
          <w:highlight w:val="none"/>
        </w:rPr>
      </w:pPr>
    </w:p>
    <w:p>
      <w:pPr>
        <w:spacing w:line="800" w:lineRule="exact"/>
        <w:ind w:firstLine="2249" w:firstLineChars="700"/>
        <w:rPr>
          <w:rFonts w:ascii="宋体" w:hAnsi="宋体" w:cs="宋体"/>
          <w:b/>
          <w:sz w:val="32"/>
          <w:szCs w:val="32"/>
          <w:highlight w:val="none"/>
        </w:rPr>
      </w:pPr>
    </w:p>
    <w:p>
      <w:pPr>
        <w:jc w:val="center"/>
        <w:rPr>
          <w:rFonts w:ascii="宋体" w:hAnsi="宋体" w:cs="宋体"/>
          <w:b/>
          <w:sz w:val="32"/>
          <w:szCs w:val="32"/>
          <w:highlight w:val="none"/>
        </w:rPr>
      </w:pPr>
      <w:r>
        <w:rPr>
          <w:rFonts w:hint="eastAsia" w:ascii="仿宋_GB2312" w:eastAsia="仿宋_GB2312"/>
          <w:b/>
          <w:sz w:val="32"/>
          <w:szCs w:val="32"/>
          <w:highlight w:val="none"/>
        </w:rPr>
        <w:br w:type="page"/>
      </w:r>
      <w:r>
        <w:rPr>
          <w:rFonts w:hint="eastAsia" w:ascii="宋体" w:hAnsi="宋体" w:cs="宋体"/>
          <w:b/>
          <w:sz w:val="32"/>
          <w:szCs w:val="32"/>
          <w:highlight w:val="none"/>
        </w:rPr>
        <w:t>第一章    竞争性磋商邀请函</w:t>
      </w:r>
    </w:p>
    <w:p>
      <w:pPr>
        <w:pStyle w:val="43"/>
        <w:rPr>
          <w:highlight w:val="none"/>
        </w:rPr>
      </w:pP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项目概况</w:t>
      </w:r>
    </w:p>
    <w:p>
      <w:pPr>
        <w:spacing w:line="360" w:lineRule="auto"/>
        <w:ind w:firstLine="480" w:firstLineChars="200"/>
        <w:jc w:val="left"/>
        <w:rPr>
          <w:rFonts w:asciiTheme="minorEastAsia" w:hAnsiTheme="minorEastAsia" w:eastAsiaTheme="minorEastAsia" w:cstheme="minorEastAsia"/>
          <w:sz w:val="24"/>
          <w:highlight w:val="none"/>
        </w:rPr>
      </w:pPr>
      <w:r>
        <w:rPr>
          <w:rFonts w:hint="eastAsia" w:ascii="宋体" w:hAnsi="宋体" w:cs="宋体"/>
          <w:sz w:val="24"/>
          <w:highlight w:val="none"/>
          <w:lang w:eastAsia="zh-CN"/>
        </w:rPr>
        <w:t>周口市历史文化名城传承保护中心周口市历史文化名城保护管理平台项目</w:t>
      </w:r>
      <w:r>
        <w:rPr>
          <w:rFonts w:hint="eastAsia" w:ascii="宋体" w:hAnsi="宋体" w:cs="宋体"/>
          <w:sz w:val="24"/>
          <w:highlight w:val="none"/>
        </w:rPr>
        <w:t>的潜在投标人应在周口市公共资源交易中心网（</w:t>
      </w:r>
      <w:r>
        <w:rPr>
          <w:rFonts w:hint="eastAsia" w:ascii="宋体" w:hAnsi="宋体" w:cs="宋体"/>
          <w:sz w:val="24"/>
          <w:highlight w:val="none"/>
          <w:lang w:eastAsia="zh-CN"/>
        </w:rPr>
        <w:t>http://jyzx.zhoukou.gov.cn/</w:t>
      </w:r>
      <w:r>
        <w:rPr>
          <w:rFonts w:hint="eastAsia" w:ascii="宋体" w:hAnsi="宋体" w:cs="宋体"/>
          <w:sz w:val="24"/>
          <w:highlight w:val="none"/>
        </w:rPr>
        <w:t>）获取招标文件，并于</w:t>
      </w:r>
      <w:r>
        <w:rPr>
          <w:rFonts w:hint="eastAsia" w:ascii="宋体" w:hAnsi="宋体" w:eastAsia="宋体" w:cs="宋体"/>
          <w:sz w:val="24"/>
          <w:lang w:val="en-US" w:eastAsia="zh-CN"/>
        </w:rPr>
        <w:t>2024年7月19日10点00分</w:t>
      </w:r>
      <w:r>
        <w:rPr>
          <w:rFonts w:hint="eastAsia" w:ascii="宋体" w:hAnsi="宋体" w:cs="宋体"/>
          <w:sz w:val="24"/>
          <w:highlight w:val="none"/>
        </w:rPr>
        <w:t>（北京时间）前递交投标文件。</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0" w:name="_Toc28359089"/>
      <w:bookmarkStart w:id="1" w:name="_Toc35393798"/>
      <w:bookmarkStart w:id="2" w:name="_Toc28359012"/>
      <w:bookmarkStart w:id="3" w:name="_Toc35393629"/>
      <w:r>
        <w:rPr>
          <w:rFonts w:hint="eastAsia" w:asciiTheme="minorEastAsia" w:hAnsiTheme="minorEastAsia" w:eastAsiaTheme="minorEastAsia" w:cstheme="minorEastAsia"/>
          <w:sz w:val="24"/>
          <w:highlight w:val="none"/>
        </w:rPr>
        <w:t>一、项目基本情况</w:t>
      </w:r>
      <w:bookmarkEnd w:id="0"/>
      <w:bookmarkEnd w:id="1"/>
      <w:bookmarkEnd w:id="2"/>
      <w:bookmarkEnd w:id="3"/>
    </w:p>
    <w:p>
      <w:pPr>
        <w:autoSpaceDE w:val="0"/>
        <w:autoSpaceDN w:val="0"/>
        <w:spacing w:line="360" w:lineRule="auto"/>
        <w:ind w:firstLine="480" w:firstLineChars="200"/>
        <w:rPr>
          <w:rFonts w:hint="default" w:asciiTheme="minorEastAsia" w:hAnsiTheme="minorEastAsia" w:eastAsiaTheme="minorEastAsia" w:cstheme="minorEastAsia"/>
          <w:color w:val="0C0C0C" w:themeColor="text1" w:themeTint="F2"/>
          <w:sz w:val="24"/>
          <w:highlight w:val="none"/>
          <w:lang w:val="en-US" w:eastAsia="zh-CN"/>
        </w:rPr>
      </w:pPr>
      <w:r>
        <w:rPr>
          <w:rFonts w:hint="eastAsia" w:asciiTheme="minorEastAsia" w:hAnsiTheme="minorEastAsia" w:eastAsiaTheme="minorEastAsia" w:cstheme="minorEastAsia"/>
          <w:color w:val="0C0C0C" w:themeColor="text1" w:themeTint="F2"/>
          <w:sz w:val="24"/>
          <w:highlight w:val="none"/>
        </w:rPr>
        <w:t>项目编号：</w:t>
      </w:r>
      <w:r>
        <w:rPr>
          <w:rFonts w:hint="eastAsia" w:asciiTheme="minorEastAsia" w:hAnsiTheme="minorEastAsia" w:eastAsiaTheme="minorEastAsia" w:cstheme="minorEastAsia"/>
          <w:color w:val="0C0C0C" w:themeColor="text1" w:themeTint="F2"/>
          <w:sz w:val="24"/>
          <w:highlight w:val="none"/>
          <w:lang w:eastAsia="zh-CN"/>
        </w:rPr>
        <w:t>周财磋商采购-2024-7</w:t>
      </w:r>
      <w:r>
        <w:rPr>
          <w:rFonts w:hint="eastAsia" w:asciiTheme="minorEastAsia" w:hAnsiTheme="minorEastAsia" w:eastAsiaTheme="minorEastAsia" w:cstheme="minorEastAsia"/>
          <w:color w:val="0C0C0C" w:themeColor="text1" w:themeTint="F2"/>
          <w:sz w:val="24"/>
          <w:highlight w:val="none"/>
          <w:lang w:val="en-US" w:eastAsia="zh-CN"/>
        </w:rPr>
        <w:t>5</w:t>
      </w:r>
    </w:p>
    <w:p>
      <w:pPr>
        <w:autoSpaceDE w:val="0"/>
        <w:autoSpaceDN w:val="0"/>
        <w:spacing w:line="360" w:lineRule="auto"/>
        <w:ind w:left="1680" w:leftChars="200" w:hanging="1260" w:hangingChars="525"/>
        <w:rPr>
          <w:rFonts w:asciiTheme="minorEastAsia" w:hAnsiTheme="minorEastAsia" w:eastAsiaTheme="minorEastAsia" w:cstheme="minorEastAsia"/>
          <w:sz w:val="24"/>
          <w:highlight w:val="none"/>
          <w:u w:val="single"/>
        </w:rPr>
      </w:pPr>
      <w:r>
        <w:rPr>
          <w:rFonts w:hint="eastAsia" w:asciiTheme="minorEastAsia" w:hAnsiTheme="minorEastAsia" w:eastAsiaTheme="minorEastAsia" w:cstheme="minorEastAsia"/>
          <w:sz w:val="24"/>
          <w:highlight w:val="none"/>
        </w:rPr>
        <w:t>项目名称：</w:t>
      </w:r>
      <w:r>
        <w:rPr>
          <w:rFonts w:hint="eastAsia" w:asciiTheme="minorEastAsia" w:hAnsiTheme="minorEastAsia" w:eastAsiaTheme="minorEastAsia" w:cstheme="minorEastAsia"/>
          <w:sz w:val="24"/>
          <w:highlight w:val="none"/>
          <w:lang w:eastAsia="zh-CN"/>
        </w:rPr>
        <w:t>周口市历史文化名城传承保护中心周口市历史文化名城保护管理平台项目</w:t>
      </w:r>
    </w:p>
    <w:p>
      <w:pPr>
        <w:autoSpaceDE w:val="0"/>
        <w:autoSpaceDN w:val="0"/>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采购方式：竞争性磋商</w:t>
      </w:r>
    </w:p>
    <w:p>
      <w:pPr>
        <w:autoSpaceDE w:val="0"/>
        <w:autoSpaceDN w:val="0"/>
        <w:spacing w:line="360" w:lineRule="auto"/>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rPr>
        <w:t>预算金额：</w:t>
      </w:r>
      <w:r>
        <w:rPr>
          <w:rFonts w:hint="eastAsia" w:asciiTheme="minorEastAsia" w:hAnsiTheme="minorEastAsia" w:eastAsiaTheme="minorEastAsia" w:cstheme="minorEastAsia"/>
          <w:sz w:val="24"/>
          <w:highlight w:val="none"/>
          <w:lang w:val="en-US" w:eastAsia="zh-CN"/>
        </w:rPr>
        <w:t>999500.00</w:t>
      </w:r>
      <w:r>
        <w:rPr>
          <w:rFonts w:hint="eastAsia" w:asciiTheme="minorEastAsia" w:hAnsiTheme="minorEastAsia" w:eastAsiaTheme="minorEastAsia" w:cstheme="minorEastAsia"/>
          <w:sz w:val="24"/>
          <w:highlight w:val="none"/>
          <w:lang w:eastAsia="zh-CN"/>
        </w:rPr>
        <w:t>元</w:t>
      </w:r>
    </w:p>
    <w:p>
      <w:pPr>
        <w:autoSpaceDE w:val="0"/>
        <w:autoSpaceDN w:val="0"/>
        <w:spacing w:line="360" w:lineRule="auto"/>
        <w:ind w:firstLine="480" w:firstLineChars="200"/>
        <w:rPr>
          <w:rFonts w:hint="eastAsia" w:asciiTheme="minorEastAsia" w:hAnsiTheme="minorEastAsia" w:eastAsiaTheme="minorEastAsia" w:cstheme="minorEastAsia"/>
          <w:sz w:val="24"/>
          <w:highlight w:val="none"/>
          <w:lang w:eastAsia="zh-CN"/>
        </w:rPr>
      </w:pPr>
      <w:r>
        <w:rPr>
          <w:rFonts w:hint="eastAsia" w:asciiTheme="minorEastAsia" w:hAnsiTheme="minorEastAsia" w:eastAsiaTheme="minorEastAsia" w:cstheme="minorEastAsia"/>
          <w:sz w:val="24"/>
          <w:highlight w:val="none"/>
        </w:rPr>
        <w:t>最高限价：</w:t>
      </w:r>
      <w:r>
        <w:rPr>
          <w:rFonts w:hint="eastAsia" w:asciiTheme="minorEastAsia" w:hAnsiTheme="minorEastAsia" w:eastAsiaTheme="minorEastAsia" w:cstheme="minorEastAsia"/>
          <w:sz w:val="24"/>
          <w:highlight w:val="none"/>
          <w:lang w:val="en-US" w:eastAsia="zh-CN"/>
        </w:rPr>
        <w:t>999500.00</w:t>
      </w:r>
      <w:r>
        <w:rPr>
          <w:rFonts w:hint="eastAsia" w:asciiTheme="minorEastAsia" w:hAnsiTheme="minorEastAsia" w:eastAsiaTheme="minorEastAsia" w:cstheme="minorEastAsia"/>
          <w:sz w:val="24"/>
          <w:highlight w:val="none"/>
          <w:lang w:eastAsia="zh-CN"/>
        </w:rPr>
        <w:t>元</w:t>
      </w:r>
    </w:p>
    <w:p>
      <w:pPr>
        <w:pStyle w:val="26"/>
        <w:snapToGrid w:val="0"/>
        <w:spacing w:before="0" w:beforeAutospacing="0" w:after="0" w:afterAutospacing="0" w:line="360" w:lineRule="auto"/>
        <w:ind w:firstLine="480"/>
        <w:jc w:val="both"/>
        <w:rPr>
          <w:rFonts w:cs="宋体"/>
          <w:color w:val="000000"/>
          <w:highlight w:val="none"/>
        </w:rPr>
      </w:pPr>
      <w:r>
        <w:rPr>
          <w:rFonts w:hint="eastAsia" w:cs="宋体"/>
          <w:color w:val="000000"/>
          <w:highlight w:val="none"/>
        </w:rPr>
        <w:t>包划分：</w:t>
      </w:r>
      <w:r>
        <w:rPr>
          <w:rFonts w:hint="eastAsia" w:cs="宋体"/>
          <w:color w:val="000000"/>
          <w:highlight w:val="none"/>
          <w:lang w:val="en-US" w:eastAsia="zh-CN"/>
        </w:rPr>
        <w:t>1</w:t>
      </w:r>
      <w:r>
        <w:rPr>
          <w:rFonts w:hint="eastAsia" w:cs="宋体"/>
          <w:color w:val="000000"/>
          <w:highlight w:val="none"/>
        </w:rPr>
        <w:t>个包</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1"/>
        <w:gridCol w:w="5177"/>
        <w:gridCol w:w="2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1" w:type="dxa"/>
            <w:vAlign w:val="center"/>
          </w:tcPr>
          <w:p>
            <w:pPr>
              <w:pStyle w:val="26"/>
              <w:shd w:val="clear" w:color="auto" w:fill="FFFFFF"/>
              <w:adjustRightInd w:val="0"/>
              <w:snapToGrid w:val="0"/>
              <w:spacing w:before="0" w:beforeAutospacing="0" w:after="0" w:afterAutospacing="0" w:line="360" w:lineRule="auto"/>
              <w:jc w:val="center"/>
              <w:rPr>
                <w:sz w:val="24"/>
                <w:szCs w:val="24"/>
                <w:highlight w:val="none"/>
              </w:rPr>
            </w:pPr>
            <w:r>
              <w:rPr>
                <w:rFonts w:hint="eastAsia" w:cs="宋体" w:asciiTheme="minorEastAsia" w:hAnsiTheme="minorEastAsia" w:eastAsiaTheme="minorEastAsia"/>
                <w:kern w:val="2"/>
                <w:sz w:val="24"/>
                <w:szCs w:val="24"/>
                <w:highlight w:val="none"/>
              </w:rPr>
              <w:t>包号</w:t>
            </w:r>
          </w:p>
        </w:tc>
        <w:tc>
          <w:tcPr>
            <w:tcW w:w="5177" w:type="dxa"/>
            <w:vAlign w:val="center"/>
          </w:tcPr>
          <w:p>
            <w:pPr>
              <w:pStyle w:val="26"/>
              <w:shd w:val="clear" w:color="auto" w:fill="FFFFFF"/>
              <w:adjustRightInd w:val="0"/>
              <w:snapToGrid w:val="0"/>
              <w:spacing w:before="0" w:beforeAutospacing="0" w:after="0" w:afterAutospacing="0" w:line="360" w:lineRule="auto"/>
              <w:jc w:val="center"/>
              <w:rPr>
                <w:sz w:val="24"/>
                <w:szCs w:val="24"/>
                <w:highlight w:val="none"/>
              </w:rPr>
            </w:pPr>
            <w:r>
              <w:rPr>
                <w:rFonts w:hint="eastAsia" w:cs="宋体" w:asciiTheme="minorEastAsia" w:hAnsiTheme="minorEastAsia" w:eastAsiaTheme="minorEastAsia"/>
                <w:kern w:val="2"/>
                <w:sz w:val="24"/>
                <w:szCs w:val="24"/>
                <w:highlight w:val="none"/>
              </w:rPr>
              <w:t>包名称</w:t>
            </w:r>
          </w:p>
        </w:tc>
        <w:tc>
          <w:tcPr>
            <w:tcW w:w="2793" w:type="dxa"/>
            <w:vAlign w:val="center"/>
          </w:tcPr>
          <w:p>
            <w:pPr>
              <w:pStyle w:val="26"/>
              <w:shd w:val="clear" w:color="auto" w:fill="FFFFFF"/>
              <w:adjustRightInd w:val="0"/>
              <w:snapToGrid w:val="0"/>
              <w:spacing w:before="0" w:beforeAutospacing="0" w:after="0" w:afterAutospacing="0" w:line="360" w:lineRule="auto"/>
              <w:jc w:val="center"/>
              <w:rPr>
                <w:sz w:val="24"/>
                <w:szCs w:val="24"/>
                <w:highlight w:val="none"/>
              </w:rPr>
            </w:pPr>
            <w:r>
              <w:rPr>
                <w:rFonts w:hint="eastAsia" w:cs="宋体" w:asciiTheme="minorEastAsia" w:hAnsiTheme="minorEastAsia" w:eastAsiaTheme="minorEastAsia"/>
                <w:kern w:val="2"/>
                <w:sz w:val="24"/>
                <w:szCs w:val="24"/>
                <w:highlight w:val="none"/>
              </w:rPr>
              <w:t>包最高限价</w:t>
            </w:r>
            <w:r>
              <w:rPr>
                <w:rFonts w:hint="eastAsia" w:cs="宋体" w:asciiTheme="minorEastAsia" w:hAnsiTheme="minorEastAsia" w:eastAsiaTheme="minorEastAsia"/>
                <w:kern w:val="2"/>
                <w:sz w:val="24"/>
                <w:szCs w:val="24"/>
                <w:highlight w:val="none"/>
                <w:lang w:eastAsia="zh-CN"/>
              </w:rPr>
              <w:t>（</w:t>
            </w:r>
            <w:r>
              <w:rPr>
                <w:rFonts w:hint="eastAsia" w:cs="宋体" w:asciiTheme="minorEastAsia" w:hAnsiTheme="minorEastAsia" w:eastAsiaTheme="minorEastAsia"/>
                <w:kern w:val="2"/>
                <w:sz w:val="24"/>
                <w:szCs w:val="24"/>
                <w:highlight w:val="none"/>
              </w:rPr>
              <w:t>元</w:t>
            </w:r>
            <w:r>
              <w:rPr>
                <w:rFonts w:hint="eastAsia" w:cs="宋体" w:asciiTheme="minorEastAsia" w:hAnsiTheme="minorEastAsia" w:eastAsiaTheme="minorEastAsia"/>
                <w:kern w:val="2"/>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1091" w:type="dxa"/>
            <w:vAlign w:val="center"/>
          </w:tcPr>
          <w:p>
            <w:pPr>
              <w:pStyle w:val="26"/>
              <w:shd w:val="clear" w:color="auto" w:fill="FFFFFF"/>
              <w:adjustRightInd w:val="0"/>
              <w:snapToGrid w:val="0"/>
              <w:spacing w:before="0" w:beforeAutospacing="0" w:after="0" w:afterAutospacing="0" w:line="360" w:lineRule="auto"/>
              <w:jc w:val="center"/>
              <w:rPr>
                <w:sz w:val="24"/>
                <w:szCs w:val="24"/>
                <w:highlight w:val="none"/>
              </w:rPr>
            </w:pPr>
            <w:r>
              <w:rPr>
                <w:rFonts w:hint="eastAsia" w:cs="宋体" w:asciiTheme="minorEastAsia" w:hAnsiTheme="minorEastAsia" w:eastAsiaTheme="minorEastAsia"/>
                <w:kern w:val="2"/>
                <w:sz w:val="24"/>
                <w:szCs w:val="24"/>
                <w:highlight w:val="none"/>
              </w:rPr>
              <w:t>1</w:t>
            </w:r>
          </w:p>
        </w:tc>
        <w:tc>
          <w:tcPr>
            <w:tcW w:w="5177" w:type="dxa"/>
            <w:vAlign w:val="center"/>
          </w:tcPr>
          <w:p>
            <w:pPr>
              <w:adjustRightInd w:val="0"/>
              <w:snapToGrid w:val="0"/>
              <w:spacing w:line="360" w:lineRule="auto"/>
              <w:jc w:val="center"/>
              <w:rPr>
                <w:sz w:val="24"/>
                <w:szCs w:val="24"/>
                <w:highlight w:val="none"/>
              </w:rPr>
            </w:pPr>
            <w:r>
              <w:rPr>
                <w:rFonts w:hint="eastAsia" w:asciiTheme="minorEastAsia" w:hAnsiTheme="minorEastAsia" w:eastAsiaTheme="minorEastAsia" w:cstheme="minorEastAsia"/>
                <w:sz w:val="24"/>
                <w:highlight w:val="none"/>
                <w:lang w:eastAsia="zh-CN"/>
              </w:rPr>
              <w:t>周口市历史文化名城传承保护中心周口市历史文化名城保护管理平台项目</w:t>
            </w:r>
          </w:p>
        </w:tc>
        <w:tc>
          <w:tcPr>
            <w:tcW w:w="2793" w:type="dxa"/>
            <w:vAlign w:val="center"/>
          </w:tcPr>
          <w:p>
            <w:pPr>
              <w:adjustRightInd w:val="0"/>
              <w:snapToGrid w:val="0"/>
              <w:spacing w:line="360" w:lineRule="auto"/>
              <w:jc w:val="center"/>
              <w:rPr>
                <w:rFonts w:hint="default" w:eastAsia="宋体"/>
                <w:sz w:val="24"/>
                <w:szCs w:val="24"/>
                <w:highlight w:val="none"/>
                <w:lang w:val="en-US" w:eastAsia="zh-CN"/>
              </w:rPr>
            </w:pPr>
            <w:r>
              <w:rPr>
                <w:rFonts w:hint="eastAsia" w:asciiTheme="minorEastAsia" w:hAnsiTheme="minorEastAsia" w:eastAsiaTheme="minorEastAsia" w:cstheme="minorEastAsia"/>
                <w:sz w:val="24"/>
                <w:highlight w:val="none"/>
                <w:lang w:val="en-US" w:eastAsia="zh-CN"/>
              </w:rPr>
              <w:t>999500.00</w:t>
            </w:r>
          </w:p>
        </w:tc>
      </w:tr>
    </w:tbl>
    <w:p>
      <w:pPr>
        <w:autoSpaceDE w:val="0"/>
        <w:autoSpaceDN w:val="0"/>
        <w:spacing w:line="360" w:lineRule="auto"/>
        <w:ind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采购</w:t>
      </w:r>
      <w:r>
        <w:rPr>
          <w:rFonts w:hint="eastAsia" w:asciiTheme="minorEastAsia" w:hAnsiTheme="minorEastAsia" w:eastAsiaTheme="minorEastAsia" w:cstheme="minorEastAsia"/>
          <w:color w:val="0C0C0C" w:themeColor="text1" w:themeTint="F2"/>
          <w:sz w:val="24"/>
          <w:highlight w:val="none"/>
        </w:rPr>
        <w:t>需求：</w:t>
      </w:r>
      <w:r>
        <w:rPr>
          <w:rFonts w:hint="eastAsia" w:asciiTheme="minorEastAsia" w:hAnsiTheme="minorEastAsia" w:eastAsiaTheme="minorEastAsia" w:cstheme="minorEastAsia"/>
          <w:color w:val="0C0C0C" w:themeColor="text1" w:themeTint="F2"/>
          <w:sz w:val="24"/>
          <w:highlight w:val="none"/>
          <w:lang w:val="en-US" w:eastAsia="zh-CN"/>
        </w:rPr>
        <w:t>其他专业技术服务</w:t>
      </w:r>
      <w:r>
        <w:rPr>
          <w:rFonts w:hint="eastAsia" w:asciiTheme="minorEastAsia" w:hAnsiTheme="minorEastAsia" w:eastAsiaTheme="minorEastAsia" w:cstheme="minorEastAsia"/>
          <w:color w:val="0C0C0C" w:themeColor="text1" w:themeTint="F2"/>
          <w:sz w:val="24"/>
          <w:highlight w:val="none"/>
        </w:rPr>
        <w:t>（包括但</w:t>
      </w:r>
      <w:r>
        <w:rPr>
          <w:rFonts w:hint="eastAsia" w:asciiTheme="minorEastAsia" w:hAnsiTheme="minorEastAsia" w:eastAsiaTheme="minorEastAsia" w:cstheme="minorEastAsia"/>
          <w:sz w:val="24"/>
          <w:highlight w:val="none"/>
        </w:rPr>
        <w:t>不限于标的的名称、数量、简要技术需求或服务要求等）</w:t>
      </w:r>
    </w:p>
    <w:p>
      <w:pPr>
        <w:autoSpaceDE w:val="0"/>
        <w:autoSpaceDN w:val="0"/>
        <w:spacing w:line="360" w:lineRule="auto"/>
        <w:ind w:firstLine="480" w:firstLineChars="200"/>
        <w:rPr>
          <w:rFonts w:hint="default" w:asciiTheme="minorEastAsia" w:hAnsiTheme="minorEastAsia" w:eastAsiaTheme="minorEastAsia" w:cstheme="minorEastAsia"/>
          <w:sz w:val="24"/>
          <w:highlight w:val="none"/>
          <w:lang w:val="en-US"/>
        </w:rPr>
      </w:pPr>
      <w:r>
        <w:rPr>
          <w:rFonts w:hint="eastAsia" w:asciiTheme="minorEastAsia" w:hAnsiTheme="minorEastAsia" w:eastAsiaTheme="minorEastAsia" w:cstheme="minorEastAsia"/>
          <w:sz w:val="24"/>
          <w:highlight w:val="none"/>
        </w:rPr>
        <w:t>合同履行期限：</w:t>
      </w:r>
      <w:r>
        <w:rPr>
          <w:rFonts w:hint="eastAsia" w:asciiTheme="minorEastAsia" w:hAnsiTheme="minorEastAsia" w:eastAsiaTheme="minorEastAsia" w:cstheme="minorEastAsia"/>
          <w:sz w:val="24"/>
          <w:szCs w:val="24"/>
          <w:highlight w:val="none"/>
          <w:lang w:val="en-US" w:eastAsia="zh-CN"/>
        </w:rPr>
        <w:t>2年</w:t>
      </w:r>
    </w:p>
    <w:p>
      <w:pPr>
        <w:spacing w:line="360" w:lineRule="auto"/>
        <w:ind w:firstLine="480" w:firstLineChars="200"/>
        <w:jc w:val="left"/>
        <w:rPr>
          <w:rFonts w:ascii="宋体" w:hAnsi="宋体" w:cs="宋体"/>
          <w:sz w:val="24"/>
          <w:highlight w:val="none"/>
        </w:rPr>
      </w:pPr>
      <w:bookmarkStart w:id="4" w:name="_Toc28359013"/>
      <w:bookmarkStart w:id="5" w:name="_Toc35393799"/>
      <w:bookmarkStart w:id="6" w:name="_Toc28359090"/>
      <w:bookmarkStart w:id="7" w:name="_Toc35393630"/>
      <w:r>
        <w:rPr>
          <w:rFonts w:hint="eastAsia" w:ascii="宋体" w:hAnsi="宋体" w:cs="宋体"/>
          <w:sz w:val="24"/>
          <w:highlight w:val="none"/>
        </w:rPr>
        <w:t>是否接受进口产品：否</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本项目是否接受联合体投标：否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rPr>
        <w:t>本项目是否为只面向中小企业采购：否</w:t>
      </w:r>
    </w:p>
    <w:p>
      <w:pPr>
        <w:pStyle w:val="3"/>
        <w:autoSpaceDE w:val="0"/>
        <w:autoSpaceDN w:val="0"/>
        <w:spacing w:line="360" w:lineRule="auto"/>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二、申请人的资格要求：</w:t>
      </w:r>
      <w:bookmarkEnd w:id="4"/>
      <w:bookmarkEnd w:id="5"/>
      <w:bookmarkEnd w:id="6"/>
      <w:bookmarkEnd w:id="7"/>
    </w:p>
    <w:p>
      <w:pPr>
        <w:autoSpaceDE w:val="0"/>
        <w:autoSpaceDN w:val="0"/>
        <w:spacing w:line="360" w:lineRule="auto"/>
        <w:ind w:firstLine="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1.满足《中华人民共和国政府采购法》第二十二条规定；</w:t>
      </w:r>
    </w:p>
    <w:p>
      <w:pPr>
        <w:adjustRightInd w:val="0"/>
        <w:snapToGrid w:val="0"/>
        <w:spacing w:line="360" w:lineRule="auto"/>
        <w:ind w:firstLine="480" w:firstLineChars="200"/>
        <w:rPr>
          <w:sz w:val="24"/>
          <w:highlight w:val="none"/>
        </w:rPr>
      </w:pPr>
      <w:r>
        <w:rPr>
          <w:rFonts w:hint="eastAsia"/>
          <w:sz w:val="24"/>
          <w:highlight w:val="none"/>
        </w:rPr>
        <w:t xml:space="preserve">（1）具有独立承担民事责任的能力； </w:t>
      </w:r>
    </w:p>
    <w:p>
      <w:pPr>
        <w:adjustRightInd w:val="0"/>
        <w:snapToGrid w:val="0"/>
        <w:spacing w:line="360" w:lineRule="auto"/>
        <w:ind w:firstLine="480" w:firstLineChars="200"/>
        <w:rPr>
          <w:sz w:val="24"/>
          <w:highlight w:val="none"/>
        </w:rPr>
      </w:pPr>
      <w:r>
        <w:rPr>
          <w:rFonts w:hint="eastAsia"/>
          <w:sz w:val="24"/>
          <w:highlight w:val="none"/>
        </w:rPr>
        <w:t xml:space="preserve">（2）具有良好的商业信誉和健全的财务会计制度； </w:t>
      </w:r>
    </w:p>
    <w:p>
      <w:pPr>
        <w:adjustRightInd w:val="0"/>
        <w:snapToGrid w:val="0"/>
        <w:spacing w:line="360" w:lineRule="auto"/>
        <w:ind w:firstLine="480" w:firstLineChars="200"/>
        <w:rPr>
          <w:sz w:val="24"/>
          <w:highlight w:val="none"/>
        </w:rPr>
      </w:pPr>
      <w:r>
        <w:rPr>
          <w:rFonts w:hint="eastAsia"/>
          <w:sz w:val="24"/>
          <w:highlight w:val="none"/>
        </w:rPr>
        <w:t xml:space="preserve">（3）具有履行合同所必需的设备和专业技术能力； </w:t>
      </w:r>
    </w:p>
    <w:p>
      <w:pPr>
        <w:adjustRightInd w:val="0"/>
        <w:snapToGrid w:val="0"/>
        <w:spacing w:line="360" w:lineRule="auto"/>
        <w:ind w:firstLine="480" w:firstLineChars="200"/>
        <w:rPr>
          <w:sz w:val="24"/>
          <w:highlight w:val="none"/>
        </w:rPr>
      </w:pPr>
      <w:r>
        <w:rPr>
          <w:rFonts w:hint="eastAsia"/>
          <w:sz w:val="24"/>
          <w:highlight w:val="none"/>
        </w:rPr>
        <w:t xml:space="preserve">（4）有依法缴纳税收和社会保障资金的良好记录； </w:t>
      </w:r>
    </w:p>
    <w:p>
      <w:pPr>
        <w:adjustRightInd w:val="0"/>
        <w:snapToGrid w:val="0"/>
        <w:spacing w:line="360" w:lineRule="auto"/>
        <w:ind w:firstLine="480" w:firstLineChars="200"/>
        <w:rPr>
          <w:sz w:val="24"/>
          <w:highlight w:val="none"/>
        </w:rPr>
      </w:pPr>
      <w:r>
        <w:rPr>
          <w:rFonts w:hint="eastAsia"/>
          <w:sz w:val="24"/>
          <w:highlight w:val="none"/>
        </w:rPr>
        <w:t xml:space="preserve">（5）参加政府采购活动前三年内，在经营活动中没有重大违法记录； </w:t>
      </w:r>
    </w:p>
    <w:p>
      <w:pPr>
        <w:adjustRightInd w:val="0"/>
        <w:snapToGrid w:val="0"/>
        <w:spacing w:line="360" w:lineRule="auto"/>
        <w:ind w:firstLine="480" w:firstLineChars="200"/>
        <w:rPr>
          <w:highlight w:val="none"/>
        </w:rPr>
      </w:pPr>
      <w:r>
        <w:rPr>
          <w:rFonts w:hint="eastAsia"/>
          <w:sz w:val="24"/>
          <w:highlight w:val="none"/>
        </w:rPr>
        <w:t xml:space="preserve">（6）法律、行政法规规定的其他条件。 </w:t>
      </w:r>
    </w:p>
    <w:p>
      <w:pPr>
        <w:autoSpaceDE w:val="0"/>
        <w:autoSpaceDN w:val="0"/>
        <w:spacing w:line="360" w:lineRule="auto"/>
        <w:ind w:firstLine="540"/>
        <w:rPr>
          <w:rFonts w:asciiTheme="minorEastAsia" w:hAnsiTheme="minorEastAsia" w:eastAsiaTheme="minorEastAsia" w:cstheme="minorEastAsia"/>
          <w:sz w:val="24"/>
          <w:highlight w:val="none"/>
        </w:rPr>
      </w:pPr>
      <w:bookmarkStart w:id="8" w:name="_Toc28359014"/>
      <w:bookmarkStart w:id="9" w:name="_Toc28359091"/>
      <w:r>
        <w:rPr>
          <w:rFonts w:hint="eastAsia" w:asciiTheme="minorEastAsia" w:hAnsiTheme="minorEastAsia" w:eastAsiaTheme="minorEastAsia" w:cstheme="minorEastAsia"/>
          <w:sz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pPr>
        <w:spacing w:line="360" w:lineRule="auto"/>
        <w:ind w:firstLine="480" w:firstLineChars="200"/>
        <w:jc w:val="left"/>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3.本项目的特定资格要求：</w:t>
      </w:r>
    </w:p>
    <w:p>
      <w:pPr>
        <w:spacing w:line="360" w:lineRule="auto"/>
        <w:ind w:firstLine="480" w:firstLineChars="200"/>
        <w:jc w:val="left"/>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3.1</w:t>
      </w:r>
      <w:r>
        <w:rPr>
          <w:rFonts w:hint="eastAsia" w:ascii="宋体" w:hAnsi="宋体" w:cs="宋体"/>
          <w:sz w:val="24"/>
          <w:highlight w:val="none"/>
        </w:rPr>
        <w:t>（根据《关于在政府采购活动中查询及使用信用记录有关问题的通知》(财库[2016]125号)和豫财购【2016】15号的规定，对列入“信用中国”网站（</w:t>
      </w:r>
      <w:r>
        <w:rPr>
          <w:rFonts w:hint="eastAsia" w:ascii="宋体" w:hAnsi="宋体" w:cs="宋体"/>
          <w:sz w:val="24"/>
          <w:highlight w:val="none"/>
        </w:rPr>
        <w:fldChar w:fldCharType="begin"/>
      </w:r>
      <w:r>
        <w:rPr>
          <w:rFonts w:hint="eastAsia" w:ascii="宋体" w:hAnsi="宋体" w:cs="宋体"/>
          <w:sz w:val="24"/>
          <w:highlight w:val="none"/>
        </w:rPr>
        <w:instrText xml:space="preserve">HYPERLINK "http://www.creditchina.gov.cn/"</w:instrText>
      </w:r>
      <w:r>
        <w:rPr>
          <w:rFonts w:hint="eastAsia" w:ascii="宋体" w:hAnsi="宋体" w:cs="宋体"/>
          <w:sz w:val="24"/>
          <w:highlight w:val="none"/>
        </w:rPr>
        <w:fldChar w:fldCharType="separate"/>
      </w:r>
      <w:r>
        <w:rPr>
          <w:rFonts w:hint="eastAsia" w:ascii="宋体" w:hAnsi="宋体" w:cs="宋体"/>
          <w:sz w:val="24"/>
          <w:highlight w:val="none"/>
        </w:rPr>
        <w:t>www.creditchina.gov.cn</w:t>
      </w:r>
      <w:r>
        <w:rPr>
          <w:rFonts w:hint="eastAsia" w:ascii="宋体" w:hAnsi="宋体" w:cs="宋体"/>
          <w:sz w:val="24"/>
          <w:highlight w:val="none"/>
        </w:rPr>
        <w:fldChar w:fldCharType="end"/>
      </w:r>
      <w:r>
        <w:rPr>
          <w:rFonts w:hint="eastAsia" w:ascii="宋体" w:hAnsi="宋体" w:cs="宋体"/>
          <w:sz w:val="24"/>
          <w:highlight w:val="none"/>
        </w:rPr>
        <w:t>）的“失信被执行人”、</w:t>
      </w:r>
      <w:r>
        <w:rPr>
          <w:rFonts w:hint="eastAsia" w:ascii="宋体" w:hAnsi="宋体" w:cs="宋体"/>
          <w:sz w:val="24"/>
          <w:highlight w:val="none"/>
          <w:lang w:eastAsia="zh-CN"/>
        </w:rPr>
        <w:t>“</w:t>
      </w:r>
      <w:r>
        <w:rPr>
          <w:rFonts w:hint="eastAsia" w:ascii="宋体" w:hAnsi="宋体" w:cs="宋体"/>
          <w:sz w:val="24"/>
          <w:highlight w:val="none"/>
        </w:rPr>
        <w:t>政府采购严重违法失信行为记录名单</w:t>
      </w:r>
      <w:r>
        <w:rPr>
          <w:rFonts w:hint="eastAsia" w:ascii="宋体" w:hAnsi="宋体" w:cs="宋体"/>
          <w:sz w:val="24"/>
          <w:highlight w:val="none"/>
          <w:lang w:eastAsia="zh-CN"/>
        </w:rPr>
        <w:t>”、“</w:t>
      </w:r>
      <w:r>
        <w:rPr>
          <w:rFonts w:hint="eastAsia" w:ascii="宋体" w:hAnsi="宋体" w:cs="宋体"/>
          <w:sz w:val="24"/>
          <w:highlight w:val="none"/>
          <w:lang w:val="en-US" w:eastAsia="zh-CN"/>
        </w:rPr>
        <w:t>重大税收违法失信主体</w:t>
      </w:r>
      <w:r>
        <w:rPr>
          <w:rFonts w:hint="eastAsia" w:ascii="宋体" w:hAnsi="宋体" w:cs="宋体"/>
          <w:sz w:val="24"/>
          <w:highlight w:val="none"/>
        </w:rPr>
        <w:t>”</w:t>
      </w:r>
      <w:r>
        <w:rPr>
          <w:rFonts w:hint="eastAsia" w:ascii="宋体" w:hAnsi="宋体" w:cs="宋体"/>
          <w:color w:val="auto"/>
          <w:sz w:val="24"/>
          <w:highlight w:val="none"/>
          <w:lang w:eastAsia="zh-CN"/>
        </w:rPr>
        <w:t>的供应商和法定代表人</w:t>
      </w:r>
      <w:r>
        <w:rPr>
          <w:rFonts w:hint="eastAsia" w:ascii="宋体" w:hAnsi="宋体" w:cs="宋体"/>
          <w:color w:val="auto"/>
          <w:sz w:val="24"/>
          <w:highlight w:val="none"/>
        </w:rPr>
        <w:t>和“</w:t>
      </w:r>
      <w:r>
        <w:rPr>
          <w:rFonts w:hint="eastAsia" w:ascii="宋体" w:hAnsi="宋体" w:cs="宋体"/>
          <w:sz w:val="24"/>
          <w:highlight w:val="none"/>
        </w:rPr>
        <w:t>中国政府采购”网站(</w:t>
      </w:r>
      <w:r>
        <w:rPr>
          <w:highlight w:val="none"/>
        </w:rPr>
        <w:fldChar w:fldCharType="begin"/>
      </w:r>
      <w:r>
        <w:rPr>
          <w:highlight w:val="none"/>
        </w:rPr>
        <w:instrText xml:space="preserve"> HYPERLINK "http://www.ccgp.gov.cn/" </w:instrText>
      </w:r>
      <w:r>
        <w:rPr>
          <w:highlight w:val="none"/>
        </w:rPr>
        <w:fldChar w:fldCharType="separate"/>
      </w:r>
      <w:r>
        <w:rPr>
          <w:rFonts w:hint="eastAsia" w:ascii="宋体" w:hAnsi="宋体" w:cs="宋体"/>
          <w:sz w:val="24"/>
          <w:highlight w:val="none"/>
        </w:rPr>
        <w:t>www.ccgp.gov.cn</w:t>
      </w:r>
      <w:r>
        <w:rPr>
          <w:rFonts w:hint="eastAsia" w:ascii="宋体" w:hAnsi="宋体" w:cs="宋体"/>
          <w:sz w:val="24"/>
          <w:highlight w:val="none"/>
        </w:rPr>
        <w:fldChar w:fldCharType="end"/>
      </w:r>
      <w:r>
        <w:rPr>
          <w:rFonts w:hint="eastAsia" w:ascii="宋体" w:hAnsi="宋体" w:cs="宋体"/>
          <w:sz w:val="24"/>
          <w:highlight w:val="none"/>
        </w:rPr>
        <w:t>)的“政府采购严重违法失信行为记录名单”的供应商，将拒绝其参加政府采购活动；在标书中附网页查询</w:t>
      </w:r>
      <w:r>
        <w:rPr>
          <w:rFonts w:hint="eastAsia" w:ascii="宋体" w:hAnsi="宋体" w:cs="宋体"/>
          <w:sz w:val="24"/>
          <w:highlight w:val="none"/>
          <w:lang w:eastAsia="zh-CN"/>
        </w:rPr>
        <w:t>截图</w:t>
      </w:r>
      <w:r>
        <w:rPr>
          <w:rFonts w:hint="eastAsia" w:ascii="宋体" w:hAnsi="宋体" w:cs="宋体"/>
          <w:sz w:val="24"/>
          <w:highlight w:val="none"/>
        </w:rPr>
        <w:t>，查询日期为公告发布之日起至投标截止之日止。</w:t>
      </w:r>
    </w:p>
    <w:p>
      <w:pPr>
        <w:pStyle w:val="28"/>
        <w:spacing w:line="360" w:lineRule="auto"/>
        <w:ind w:left="0" w:leftChars="0" w:firstLine="480" w:firstLineChars="200"/>
        <w:rPr>
          <w:rFonts w:hint="eastAsia" w:ascii="宋体" w:hAnsi="宋体" w:cs="宋体"/>
          <w:sz w:val="24"/>
          <w:highlight w:val="none"/>
        </w:rPr>
      </w:pPr>
      <w:r>
        <w:rPr>
          <w:rFonts w:hint="eastAsia" w:asciiTheme="minorEastAsia" w:hAnsiTheme="minorEastAsia" w:eastAsiaTheme="minorEastAsia" w:cstheme="minorEastAsia"/>
          <w:bCs/>
          <w:kern w:val="2"/>
          <w:sz w:val="24"/>
          <w:szCs w:val="24"/>
          <w:lang w:val="en-US" w:eastAsia="zh-CN" w:bidi="ar-SA"/>
        </w:rPr>
        <w:t>4.本次项目不接受联合体投标。</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10" w:name="_Toc35393631"/>
      <w:bookmarkStart w:id="11" w:name="_Toc35393800"/>
      <w:r>
        <w:rPr>
          <w:rFonts w:hint="eastAsia" w:asciiTheme="minorEastAsia" w:hAnsiTheme="minorEastAsia" w:eastAsiaTheme="minorEastAsia" w:cstheme="minorEastAsia"/>
          <w:sz w:val="24"/>
          <w:highlight w:val="none"/>
        </w:rPr>
        <w:t>三、获取采购文件</w:t>
      </w:r>
      <w:bookmarkEnd w:id="8"/>
      <w:bookmarkEnd w:id="9"/>
      <w:bookmarkEnd w:id="10"/>
      <w:bookmarkEnd w:id="11"/>
    </w:p>
    <w:p>
      <w:pPr>
        <w:autoSpaceDE w:val="0"/>
        <w:autoSpaceDN w:val="0"/>
        <w:spacing w:line="360" w:lineRule="auto"/>
        <w:ind w:firstLine="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时间：</w:t>
      </w:r>
      <w:r>
        <w:rPr>
          <w:rFonts w:hint="eastAsia" w:ascii="宋体" w:hAnsi="宋体" w:cs="宋体"/>
          <w:color w:val="000000" w:themeColor="text1"/>
          <w:sz w:val="24"/>
          <w:szCs w:val="24"/>
          <w:highlight w:val="none"/>
          <w:lang w:val="en-US" w:eastAsia="zh-CN"/>
        </w:rPr>
        <w:t>2024</w:t>
      </w:r>
      <w:r>
        <w:rPr>
          <w:rFonts w:hint="eastAsia" w:ascii="宋体" w:hAnsi="宋体" w:cs="宋体"/>
          <w:color w:val="000000" w:themeColor="text1"/>
          <w:sz w:val="24"/>
          <w:szCs w:val="24"/>
          <w:highlight w:val="none"/>
        </w:rPr>
        <w:t>年</w:t>
      </w:r>
      <w:r>
        <w:rPr>
          <w:rFonts w:hint="eastAsia" w:ascii="宋体" w:hAnsi="宋体" w:cs="宋体"/>
          <w:color w:val="000000" w:themeColor="text1"/>
          <w:sz w:val="24"/>
          <w:szCs w:val="24"/>
          <w:highlight w:val="none"/>
          <w:lang w:val="en-US" w:eastAsia="zh-CN"/>
        </w:rPr>
        <w:t>7</w:t>
      </w:r>
      <w:r>
        <w:rPr>
          <w:rFonts w:hint="eastAsia" w:ascii="宋体" w:hAnsi="宋体" w:cs="宋体"/>
          <w:color w:val="000000" w:themeColor="text1"/>
          <w:sz w:val="24"/>
          <w:szCs w:val="24"/>
          <w:highlight w:val="none"/>
        </w:rPr>
        <w:t>月</w:t>
      </w:r>
      <w:r>
        <w:rPr>
          <w:rFonts w:hint="eastAsia" w:ascii="宋体" w:hAnsi="宋体" w:cs="宋体"/>
          <w:color w:val="000000" w:themeColor="text1"/>
          <w:sz w:val="24"/>
          <w:szCs w:val="24"/>
          <w:highlight w:val="none"/>
          <w:lang w:val="en-US" w:eastAsia="zh-CN"/>
        </w:rPr>
        <w:t>8</w:t>
      </w:r>
      <w:r>
        <w:rPr>
          <w:rFonts w:hint="eastAsia" w:ascii="宋体" w:hAnsi="宋体" w:cs="宋体"/>
          <w:color w:val="000000" w:themeColor="text1"/>
          <w:sz w:val="24"/>
          <w:szCs w:val="24"/>
          <w:highlight w:val="none"/>
        </w:rPr>
        <w:t xml:space="preserve">日至 </w:t>
      </w:r>
      <w:r>
        <w:rPr>
          <w:rFonts w:hint="eastAsia" w:ascii="宋体" w:hAnsi="宋体" w:cs="宋体"/>
          <w:color w:val="000000" w:themeColor="text1"/>
          <w:sz w:val="24"/>
          <w:szCs w:val="24"/>
          <w:highlight w:val="none"/>
          <w:lang w:val="en-US" w:eastAsia="zh-CN"/>
        </w:rPr>
        <w:t>2024</w:t>
      </w:r>
      <w:r>
        <w:rPr>
          <w:rFonts w:hint="eastAsia" w:ascii="宋体" w:hAnsi="宋体" w:cs="宋体"/>
          <w:color w:val="000000" w:themeColor="text1"/>
          <w:sz w:val="24"/>
          <w:szCs w:val="24"/>
          <w:highlight w:val="none"/>
        </w:rPr>
        <w:t xml:space="preserve">年 </w:t>
      </w:r>
      <w:r>
        <w:rPr>
          <w:rFonts w:hint="eastAsia" w:ascii="宋体" w:hAnsi="宋体" w:cs="宋体"/>
          <w:color w:val="000000" w:themeColor="text1"/>
          <w:sz w:val="24"/>
          <w:szCs w:val="24"/>
          <w:highlight w:val="none"/>
          <w:lang w:val="en-US" w:eastAsia="zh-CN"/>
        </w:rPr>
        <w:t>7</w:t>
      </w:r>
      <w:r>
        <w:rPr>
          <w:rFonts w:hint="eastAsia" w:ascii="宋体" w:hAnsi="宋体" w:cs="宋体"/>
          <w:color w:val="000000" w:themeColor="text1"/>
          <w:sz w:val="24"/>
          <w:szCs w:val="24"/>
          <w:highlight w:val="none"/>
        </w:rPr>
        <w:t>月</w:t>
      </w:r>
      <w:r>
        <w:rPr>
          <w:rFonts w:hint="eastAsia" w:ascii="宋体" w:hAnsi="宋体" w:cs="宋体"/>
          <w:color w:val="000000" w:themeColor="text1"/>
          <w:sz w:val="24"/>
          <w:szCs w:val="24"/>
          <w:highlight w:val="none"/>
          <w:lang w:val="en-US" w:eastAsia="zh-CN"/>
        </w:rPr>
        <w:t>15</w:t>
      </w:r>
      <w:r>
        <w:rPr>
          <w:rFonts w:hint="eastAsia" w:ascii="宋体" w:hAnsi="宋体" w:cs="宋体"/>
          <w:color w:val="000000" w:themeColor="text1"/>
          <w:sz w:val="24"/>
          <w:szCs w:val="24"/>
          <w:highlight w:val="none"/>
        </w:rPr>
        <w:t>日</w:t>
      </w:r>
      <w:bookmarkStart w:id="38" w:name="_GoBack"/>
      <w:bookmarkEnd w:id="38"/>
      <w:r>
        <w:rPr>
          <w:rFonts w:hint="eastAsia" w:asciiTheme="minorEastAsia" w:hAnsiTheme="minorEastAsia" w:eastAsiaTheme="minorEastAsia" w:cstheme="minorEastAsia"/>
          <w:sz w:val="24"/>
          <w:highlight w:val="none"/>
        </w:rPr>
        <w:t>（北京时间，法定节假日除外 ）</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地点：周口市公共资源交易中心网（</w:t>
      </w:r>
      <w:r>
        <w:rPr>
          <w:rFonts w:hint="eastAsia" w:ascii="宋体" w:hAnsi="宋体" w:cs="宋体"/>
          <w:sz w:val="24"/>
          <w:highlight w:val="none"/>
          <w:lang w:eastAsia="zh-CN"/>
        </w:rPr>
        <w:t>http://jyzx.zhoukou.gov.cn/</w:t>
      </w:r>
      <w:r>
        <w:rPr>
          <w:rFonts w:hint="eastAsia" w:ascii="宋体" w:hAnsi="宋体" w:cs="宋体"/>
          <w:sz w:val="24"/>
          <w:highlight w:val="none"/>
        </w:rPr>
        <w:t>）</w:t>
      </w:r>
    </w:p>
    <w:p>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方式：供应商请在网站自主注册后下载采购文件（zkzf格式）及资料，需办理CA数字证书后方可提交响应文件，具体办理事宜请查阅周口市公共资源交易中心网站。</w:t>
      </w:r>
    </w:p>
    <w:p>
      <w:pPr>
        <w:autoSpaceDE w:val="0"/>
        <w:autoSpaceDN w:val="0"/>
        <w:spacing w:line="360" w:lineRule="auto"/>
        <w:ind w:firstLine="54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售价：0</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12" w:name="_Toc35393632"/>
      <w:bookmarkStart w:id="13" w:name="_Toc28359092"/>
      <w:bookmarkStart w:id="14" w:name="_Toc28359015"/>
      <w:bookmarkStart w:id="15" w:name="_Toc35393801"/>
      <w:r>
        <w:rPr>
          <w:rFonts w:hint="eastAsia" w:asciiTheme="minorEastAsia" w:hAnsiTheme="minorEastAsia" w:eastAsiaTheme="minorEastAsia" w:cstheme="minorEastAsia"/>
          <w:sz w:val="24"/>
          <w:highlight w:val="none"/>
        </w:rPr>
        <w:t>四、响应文件提交</w:t>
      </w:r>
      <w:bookmarkEnd w:id="12"/>
      <w:bookmarkEnd w:id="13"/>
      <w:bookmarkEnd w:id="14"/>
      <w:bookmarkEnd w:id="15"/>
    </w:p>
    <w:p>
      <w:pPr>
        <w:autoSpaceDE w:val="0"/>
        <w:autoSpaceDN w:val="0"/>
        <w:spacing w:line="360" w:lineRule="auto"/>
        <w:ind w:firstLine="480" w:firstLineChars="200"/>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截止时间：</w:t>
      </w:r>
      <w:r>
        <w:rPr>
          <w:rFonts w:hint="eastAsia" w:ascii="宋体" w:hAnsi="宋体" w:eastAsia="宋体" w:cs="宋体"/>
          <w:sz w:val="24"/>
          <w:lang w:val="en-US" w:eastAsia="zh-CN"/>
        </w:rPr>
        <w:t>2024年7月19日10点00分</w:t>
      </w:r>
      <w:r>
        <w:rPr>
          <w:rFonts w:hint="eastAsia" w:asciiTheme="minorEastAsia" w:hAnsiTheme="minorEastAsia" w:eastAsiaTheme="minorEastAsia" w:cstheme="minorEastAsia"/>
          <w:bCs/>
          <w:sz w:val="24"/>
          <w:highlight w:val="none"/>
        </w:rPr>
        <w:t>（北京时间）</w:t>
      </w:r>
    </w:p>
    <w:p>
      <w:pPr>
        <w:autoSpaceDE w:val="0"/>
        <w:autoSpaceDN w:val="0"/>
        <w:spacing w:line="360" w:lineRule="auto"/>
        <w:ind w:firstLine="480" w:firstLineChars="200"/>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地点：加密电子响应文件须在投标截止时间前通过</w:t>
      </w:r>
      <w:r>
        <w:rPr>
          <w:rFonts w:hint="eastAsia" w:asciiTheme="minorEastAsia" w:hAnsiTheme="minorEastAsia" w:eastAsiaTheme="minorEastAsia" w:cstheme="minorEastAsia"/>
          <w:spacing w:val="-6"/>
          <w:sz w:val="24"/>
          <w:highlight w:val="none"/>
        </w:rPr>
        <w:t>周口市公共资源交易中心网</w:t>
      </w:r>
      <w:r>
        <w:rPr>
          <w:rFonts w:hint="eastAsia" w:asciiTheme="minorEastAsia" w:hAnsiTheme="minorEastAsia" w:eastAsiaTheme="minorEastAsia" w:cstheme="minorEastAsia"/>
          <w:sz w:val="24"/>
          <w:highlight w:val="none"/>
        </w:rPr>
        <w:t>（网址</w:t>
      </w:r>
      <w:r>
        <w:rPr>
          <w:rFonts w:hint="eastAsia" w:asciiTheme="minorEastAsia" w:hAnsiTheme="minorEastAsia" w:eastAsiaTheme="minorEastAsia" w:cstheme="minorEastAsia"/>
          <w:color w:val="000000"/>
          <w:sz w:val="24"/>
          <w:highlight w:val="none"/>
          <w:lang w:eastAsia="zh-CN"/>
        </w:rPr>
        <w:t>http://jyzx.zhoukou.gov.cn/</w:t>
      </w:r>
      <w:r>
        <w:rPr>
          <w:rFonts w:hint="eastAsia" w:asciiTheme="minorEastAsia" w:hAnsiTheme="minorEastAsia" w:eastAsiaTheme="minorEastAsia" w:cstheme="minorEastAsia"/>
          <w:sz w:val="24"/>
          <w:highlight w:val="none"/>
        </w:rPr>
        <w:t>）。</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16" w:name="_Toc35393802"/>
      <w:bookmarkStart w:id="17" w:name="_Toc28359016"/>
      <w:bookmarkStart w:id="18" w:name="_Toc28359093"/>
      <w:bookmarkStart w:id="19" w:name="_Toc35393633"/>
      <w:r>
        <w:rPr>
          <w:rFonts w:hint="eastAsia" w:asciiTheme="minorEastAsia" w:hAnsiTheme="minorEastAsia" w:eastAsiaTheme="minorEastAsia" w:cstheme="minorEastAsia"/>
          <w:sz w:val="24"/>
          <w:highlight w:val="none"/>
        </w:rPr>
        <w:t>五、开启（竞争性磋商方式必须填写）</w:t>
      </w:r>
      <w:bookmarkEnd w:id="16"/>
      <w:bookmarkEnd w:id="17"/>
      <w:bookmarkEnd w:id="18"/>
      <w:bookmarkEnd w:id="19"/>
    </w:p>
    <w:p>
      <w:pPr>
        <w:autoSpaceDE w:val="0"/>
        <w:autoSpaceDN w:val="0"/>
        <w:spacing w:line="360" w:lineRule="auto"/>
        <w:ind w:firstLine="480" w:firstLineChars="200"/>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时间：</w:t>
      </w:r>
      <w:r>
        <w:rPr>
          <w:rFonts w:hint="eastAsia" w:ascii="宋体" w:hAnsi="宋体" w:eastAsia="宋体" w:cs="宋体"/>
          <w:sz w:val="24"/>
          <w:lang w:val="en-US" w:eastAsia="zh-CN"/>
        </w:rPr>
        <w:t>2024年7月19日10点00分</w:t>
      </w:r>
      <w:r>
        <w:rPr>
          <w:rFonts w:hint="eastAsia" w:asciiTheme="minorEastAsia" w:hAnsiTheme="minorEastAsia" w:eastAsiaTheme="minorEastAsia" w:cstheme="minorEastAsia"/>
          <w:bCs/>
          <w:sz w:val="24"/>
          <w:highlight w:val="none"/>
        </w:rPr>
        <w:t>（北京时间）</w:t>
      </w:r>
    </w:p>
    <w:p>
      <w:pPr>
        <w:autoSpaceDE w:val="0"/>
        <w:autoSpaceDN w:val="0"/>
        <w:spacing w:line="360" w:lineRule="auto"/>
        <w:ind w:firstLine="480" w:firstLineChars="200"/>
        <w:jc w:val="left"/>
        <w:rPr>
          <w:rFonts w:asciiTheme="minorEastAsia" w:hAnsiTheme="minorEastAsia" w:eastAsiaTheme="minorEastAsia" w:cstheme="minorEastAsia"/>
          <w:bCs/>
          <w:sz w:val="24"/>
          <w:highlight w:val="none"/>
          <w:u w:val="single"/>
        </w:rPr>
      </w:pPr>
      <w:r>
        <w:rPr>
          <w:rFonts w:hint="eastAsia" w:asciiTheme="minorEastAsia" w:hAnsiTheme="minorEastAsia" w:eastAsiaTheme="minorEastAsia" w:cstheme="minorEastAsia"/>
          <w:sz w:val="24"/>
          <w:highlight w:val="none"/>
        </w:rPr>
        <w:t>地点：</w:t>
      </w:r>
      <w:r>
        <w:rPr>
          <w:rFonts w:hint="eastAsia" w:ascii="宋体" w:hAnsi="宋体" w:cs="宋体"/>
          <w:sz w:val="24"/>
          <w:highlight w:val="none"/>
        </w:rPr>
        <w:t>周口市公共资源交易中心开标室</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20" w:name="_Toc28359094"/>
      <w:bookmarkStart w:id="21" w:name="_Toc35393634"/>
      <w:bookmarkStart w:id="22" w:name="_Toc35393803"/>
      <w:bookmarkStart w:id="23" w:name="_Toc28359017"/>
      <w:r>
        <w:rPr>
          <w:rFonts w:hint="eastAsia" w:asciiTheme="minorEastAsia" w:hAnsiTheme="minorEastAsia" w:eastAsiaTheme="minorEastAsia" w:cstheme="minorEastAsia"/>
          <w:sz w:val="24"/>
          <w:highlight w:val="none"/>
        </w:rPr>
        <w:t>六、公告期限</w:t>
      </w:r>
      <w:bookmarkEnd w:id="20"/>
      <w:bookmarkEnd w:id="21"/>
      <w:bookmarkEnd w:id="22"/>
      <w:bookmarkEnd w:id="23"/>
    </w:p>
    <w:p>
      <w:pPr>
        <w:autoSpaceDE w:val="0"/>
        <w:autoSpaceDN w:val="0"/>
        <w:spacing w:line="360" w:lineRule="auto"/>
        <w:ind w:firstLine="480" w:firstLineChars="200"/>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自本公告发布之日起</w:t>
      </w:r>
      <w:r>
        <w:rPr>
          <w:rFonts w:hint="eastAsia" w:asciiTheme="minorEastAsia" w:hAnsiTheme="minorEastAsia" w:eastAsiaTheme="minorEastAsia" w:cstheme="minorEastAsia"/>
          <w:kern w:val="0"/>
          <w:sz w:val="24"/>
          <w:highlight w:val="none"/>
          <w:lang w:val="en-US" w:eastAsia="zh-CN"/>
        </w:rPr>
        <w:t>5</w:t>
      </w:r>
      <w:r>
        <w:rPr>
          <w:rFonts w:hint="eastAsia" w:asciiTheme="minorEastAsia" w:hAnsiTheme="minorEastAsia" w:eastAsiaTheme="minorEastAsia" w:cstheme="minorEastAsia"/>
          <w:kern w:val="0"/>
          <w:sz w:val="24"/>
          <w:highlight w:val="none"/>
        </w:rPr>
        <w:t>个工作日。</w:t>
      </w:r>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24" w:name="_Toc35393635"/>
      <w:bookmarkStart w:id="25" w:name="_Toc35393804"/>
      <w:r>
        <w:rPr>
          <w:rFonts w:hint="eastAsia" w:asciiTheme="minorEastAsia" w:hAnsiTheme="minorEastAsia" w:eastAsiaTheme="minorEastAsia" w:cstheme="minorEastAsia"/>
          <w:sz w:val="24"/>
          <w:highlight w:val="none"/>
        </w:rPr>
        <w:t>七、其他补充事宜</w:t>
      </w:r>
      <w:bookmarkEnd w:id="24"/>
      <w:bookmarkEnd w:id="25"/>
    </w:p>
    <w:p>
      <w:pPr>
        <w:pStyle w:val="3"/>
        <w:autoSpaceDE w:val="0"/>
        <w:autoSpaceDN w:val="0"/>
        <w:spacing w:line="360" w:lineRule="auto"/>
        <w:jc w:val="left"/>
        <w:rPr>
          <w:rFonts w:asciiTheme="minorEastAsia" w:hAnsiTheme="minorEastAsia" w:eastAsiaTheme="minorEastAsia" w:cstheme="minorEastAsia"/>
          <w:sz w:val="24"/>
          <w:highlight w:val="none"/>
        </w:rPr>
      </w:pPr>
      <w:bookmarkStart w:id="26" w:name="_Toc35393636"/>
      <w:bookmarkStart w:id="27" w:name="_Toc28359018"/>
      <w:bookmarkStart w:id="28" w:name="_Toc35393805"/>
      <w:bookmarkStart w:id="29" w:name="_Toc28359095"/>
      <w:r>
        <w:rPr>
          <w:rFonts w:hint="eastAsia" w:asciiTheme="minorEastAsia" w:hAnsiTheme="minorEastAsia" w:eastAsiaTheme="minorEastAsia" w:cstheme="minorEastAsia"/>
          <w:sz w:val="24"/>
          <w:highlight w:val="none"/>
        </w:rPr>
        <w:t>八、凡对本次采购提出询问，请按以下方式联系。</w:t>
      </w:r>
      <w:bookmarkEnd w:id="26"/>
      <w:bookmarkEnd w:id="27"/>
      <w:bookmarkEnd w:id="28"/>
      <w:bookmarkEnd w:id="29"/>
    </w:p>
    <w:p>
      <w:pPr>
        <w:spacing w:line="360" w:lineRule="auto"/>
        <w:ind w:firstLine="480" w:firstLineChars="200"/>
        <w:jc w:val="left"/>
        <w:rPr>
          <w:rFonts w:ascii="宋体" w:hAnsi="宋体" w:cs="宋体"/>
          <w:sz w:val="24"/>
        </w:rPr>
      </w:pPr>
      <w:r>
        <w:rPr>
          <w:rFonts w:hint="eastAsia" w:ascii="宋体" w:hAnsi="宋体" w:cs="宋体"/>
          <w:sz w:val="24"/>
        </w:rPr>
        <w:t>1.采购人信息</w:t>
      </w:r>
    </w:p>
    <w:p>
      <w:pPr>
        <w:spacing w:line="360" w:lineRule="auto"/>
        <w:ind w:firstLine="480" w:firstLineChars="200"/>
        <w:jc w:val="left"/>
        <w:rPr>
          <w:rFonts w:ascii="宋体" w:hAnsi="宋体" w:cs="宋体"/>
          <w:sz w:val="24"/>
        </w:rPr>
      </w:pPr>
      <w:r>
        <w:rPr>
          <w:rFonts w:hint="eastAsia" w:ascii="宋体" w:hAnsi="宋体" w:cs="宋体"/>
          <w:sz w:val="24"/>
        </w:rPr>
        <w:t>名 称：</w:t>
      </w:r>
      <w:r>
        <w:rPr>
          <w:rFonts w:hint="eastAsia" w:ascii="宋体" w:hAnsi="宋体" w:cs="宋体"/>
          <w:sz w:val="24"/>
          <w:lang w:eastAsia="zh-CN"/>
        </w:rPr>
        <w:t>周口市历史文化名城传承保护中心</w:t>
      </w:r>
      <w:r>
        <w:rPr>
          <w:rFonts w:hint="eastAsia" w:ascii="宋体" w:hAnsi="宋体" w:cs="宋体"/>
          <w:color w:val="auto"/>
          <w:spacing w:val="0"/>
          <w:position w:val="0"/>
          <w:sz w:val="24"/>
          <w:highlight w:val="none"/>
          <w:shd w:val="clear" w:color="auto" w:fill="auto"/>
          <w:lang w:val="en-US" w:eastAsia="zh-CN"/>
        </w:rPr>
        <w:t xml:space="preserve"> 　</w:t>
      </w:r>
      <w:r>
        <w:rPr>
          <w:rFonts w:hint="eastAsia" w:ascii="宋体" w:hAnsi="宋体" w:cs="宋体"/>
          <w:sz w:val="24"/>
        </w:rPr>
        <w:t>　　　　　　　　　　　</w:t>
      </w:r>
    </w:p>
    <w:p>
      <w:pPr>
        <w:spacing w:line="360" w:lineRule="auto"/>
        <w:ind w:firstLine="480" w:firstLineChars="200"/>
        <w:jc w:val="left"/>
        <w:rPr>
          <w:rFonts w:ascii="宋体" w:hAnsi="宋体" w:cs="宋体"/>
          <w:sz w:val="24"/>
        </w:rPr>
      </w:pPr>
      <w:r>
        <w:rPr>
          <w:rFonts w:hint="eastAsia" w:ascii="宋体" w:hAnsi="宋体" w:cs="宋体"/>
          <w:sz w:val="24"/>
        </w:rPr>
        <w:t>地址：</w:t>
      </w:r>
      <w:r>
        <w:rPr>
          <w:rFonts w:hint="eastAsia" w:ascii="宋体" w:hAnsi="宋体" w:cs="宋体"/>
          <w:color w:val="auto"/>
          <w:spacing w:val="0"/>
          <w:position w:val="0"/>
          <w:sz w:val="24"/>
          <w:highlight w:val="none"/>
          <w:shd w:val="clear" w:color="auto" w:fill="auto"/>
          <w:lang w:eastAsia="zh-CN"/>
        </w:rPr>
        <w:t>周口市市政府光明路5号楼　</w:t>
      </w:r>
      <w:r>
        <w:rPr>
          <w:rFonts w:hint="eastAsia" w:ascii="宋体" w:hAnsi="宋体" w:cs="宋体"/>
          <w:sz w:val="24"/>
        </w:rPr>
        <w:t>　　　　　　　　　　　</w:t>
      </w:r>
    </w:p>
    <w:p>
      <w:pPr>
        <w:spacing w:line="360" w:lineRule="auto"/>
        <w:ind w:firstLine="480" w:firstLineChars="200"/>
        <w:jc w:val="left"/>
        <w:rPr>
          <w:rFonts w:ascii="宋体" w:hAnsi="宋体" w:cs="宋体"/>
          <w:sz w:val="24"/>
        </w:rPr>
      </w:pPr>
      <w:r>
        <w:rPr>
          <w:rFonts w:hint="eastAsia" w:ascii="宋体" w:hAnsi="宋体" w:cs="宋体"/>
          <w:sz w:val="24"/>
          <w:highlight w:val="none"/>
        </w:rPr>
        <w:t>项目联系人：</w:t>
      </w:r>
      <w:r>
        <w:rPr>
          <w:rFonts w:hint="eastAsia" w:ascii="宋体" w:hAnsi="宋体" w:cs="宋体"/>
          <w:sz w:val="24"/>
          <w:szCs w:val="24"/>
          <w:highlight w:val="none"/>
          <w:lang w:val="en-US" w:eastAsia="zh-CN"/>
        </w:rPr>
        <w:t>李君华</w:t>
      </w:r>
      <w:r>
        <w:rPr>
          <w:rFonts w:hint="eastAsia" w:ascii="宋体" w:hAnsi="宋体" w:cs="宋体"/>
          <w:sz w:val="24"/>
          <w:highlight w:val="none"/>
        </w:rPr>
        <w:t xml:space="preserve">     联系方式：</w:t>
      </w:r>
      <w:r>
        <w:rPr>
          <w:rFonts w:hint="eastAsia" w:ascii="宋体" w:hAnsi="宋体" w:cs="宋体"/>
          <w:sz w:val="24"/>
          <w:szCs w:val="24"/>
          <w:highlight w:val="none"/>
          <w:lang w:val="en-US" w:eastAsia="zh-CN"/>
        </w:rPr>
        <w:t>15896778566</w:t>
      </w:r>
      <w:r>
        <w:rPr>
          <w:rFonts w:hint="eastAsia" w:ascii="宋体" w:hAnsi="宋体" w:cs="宋体"/>
          <w:sz w:val="24"/>
          <w:highlight w:val="none"/>
        </w:rPr>
        <w:t>　</w:t>
      </w:r>
      <w:r>
        <w:rPr>
          <w:rFonts w:hint="eastAsia" w:ascii="宋体" w:hAnsi="宋体" w:cs="宋体"/>
          <w:sz w:val="24"/>
        </w:rPr>
        <w:t xml:space="preserve">　　　　　　　　　　 </w:t>
      </w:r>
      <w:bookmarkStart w:id="30" w:name="_Toc28359009"/>
      <w:bookmarkStart w:id="31" w:name="_Toc28359086"/>
    </w:p>
    <w:p>
      <w:pPr>
        <w:spacing w:line="360" w:lineRule="auto"/>
        <w:ind w:firstLine="480" w:firstLineChars="200"/>
        <w:jc w:val="left"/>
        <w:rPr>
          <w:rFonts w:ascii="宋体" w:hAnsi="宋体" w:cs="宋体"/>
          <w:sz w:val="24"/>
        </w:rPr>
      </w:pPr>
      <w:r>
        <w:rPr>
          <w:rFonts w:hint="eastAsia" w:ascii="宋体" w:hAnsi="宋体" w:cs="宋体"/>
          <w:sz w:val="24"/>
        </w:rPr>
        <w:t>2.采购代理机构信息</w:t>
      </w:r>
      <w:bookmarkEnd w:id="30"/>
      <w:bookmarkEnd w:id="31"/>
    </w:p>
    <w:p>
      <w:pPr>
        <w:spacing w:line="360" w:lineRule="auto"/>
        <w:ind w:firstLine="480" w:firstLineChars="200"/>
        <w:jc w:val="left"/>
        <w:rPr>
          <w:rFonts w:ascii="宋体" w:hAnsi="宋体" w:cs="宋体"/>
          <w:sz w:val="24"/>
        </w:rPr>
      </w:pPr>
      <w:r>
        <w:rPr>
          <w:rFonts w:hint="eastAsia" w:ascii="宋体" w:hAnsi="宋体" w:cs="宋体"/>
          <w:sz w:val="24"/>
        </w:rPr>
        <w:t>名 称：周口市公共资源交易中心政府采购中心　　　　　　　　　　　　</w:t>
      </w:r>
    </w:p>
    <w:p>
      <w:pPr>
        <w:spacing w:line="360" w:lineRule="auto"/>
        <w:ind w:firstLine="480" w:firstLineChars="200"/>
        <w:jc w:val="left"/>
        <w:rPr>
          <w:rFonts w:ascii="宋体" w:hAnsi="宋体" w:cs="宋体"/>
          <w:sz w:val="24"/>
        </w:rPr>
      </w:pPr>
      <w:r>
        <w:rPr>
          <w:rFonts w:hint="eastAsia" w:ascii="宋体" w:hAnsi="宋体" w:cs="宋体"/>
          <w:sz w:val="24"/>
        </w:rPr>
        <w:t>地　址：周口市光明路与政通路交叉口向北100米路东</w:t>
      </w:r>
    </w:p>
    <w:p>
      <w:pPr>
        <w:spacing w:line="360" w:lineRule="auto"/>
        <w:ind w:firstLine="480" w:firstLineChars="200"/>
        <w:jc w:val="left"/>
        <w:rPr>
          <w:rFonts w:ascii="宋体" w:hAnsi="宋体" w:cs="宋体"/>
          <w:sz w:val="24"/>
        </w:rPr>
      </w:pPr>
      <w:r>
        <w:rPr>
          <w:rFonts w:hint="eastAsia" w:ascii="宋体" w:hAnsi="宋体" w:cs="宋体"/>
          <w:sz w:val="24"/>
        </w:rPr>
        <w:t xml:space="preserve">项目联系人： </w:t>
      </w:r>
      <w:r>
        <w:rPr>
          <w:rFonts w:hint="eastAsia" w:ascii="宋体" w:hAnsi="宋体" w:cs="宋体"/>
          <w:sz w:val="24"/>
          <w:lang w:val="en-US" w:eastAsia="zh-CN"/>
        </w:rPr>
        <w:t>张光</w:t>
      </w:r>
      <w:r>
        <w:rPr>
          <w:rFonts w:hint="eastAsia" w:ascii="宋体" w:hAnsi="宋体" w:cs="宋体"/>
          <w:sz w:val="24"/>
        </w:rPr>
        <w:t xml:space="preserve">    联系方式：</w:t>
      </w:r>
      <w:bookmarkStart w:id="32" w:name="_Toc28359087"/>
      <w:bookmarkStart w:id="33" w:name="_Toc28359010"/>
      <w:r>
        <w:rPr>
          <w:rFonts w:hint="eastAsia" w:ascii="宋体" w:hAnsi="宋体" w:cs="宋体"/>
          <w:sz w:val="24"/>
          <w:lang w:val="en-US" w:eastAsia="zh-CN"/>
        </w:rPr>
        <w:t>0394-8106517</w:t>
      </w:r>
      <w:r>
        <w:rPr>
          <w:rFonts w:hint="eastAsia" w:ascii="宋体" w:hAnsi="宋体" w:cs="宋体"/>
          <w:sz w:val="24"/>
        </w:rPr>
        <w:t>　　　　　　　　</w:t>
      </w:r>
    </w:p>
    <w:bookmarkEnd w:id="32"/>
    <w:bookmarkEnd w:id="33"/>
    <w:p>
      <w:pPr>
        <w:pStyle w:val="37"/>
        <w:spacing w:line="360" w:lineRule="auto"/>
        <w:ind w:left="0" w:leftChars="0" w:firstLine="638" w:firstLineChars="266"/>
        <w:jc w:val="left"/>
        <w:rPr>
          <w:rFonts w:hint="eastAsia" w:ascii="宋体" w:hAnsi="宋体" w:eastAsia="宋体" w:cs="宋体"/>
          <w:kern w:val="2"/>
          <w:sz w:val="24"/>
          <w:szCs w:val="24"/>
          <w:highlight w:val="none"/>
          <w:lang w:val="en-US" w:eastAsia="zh-CN" w:bidi="ar-SA"/>
        </w:rPr>
      </w:pPr>
      <w:r>
        <w:rPr>
          <w:rFonts w:hint="eastAsia" w:ascii="宋体" w:hAnsi="宋体" w:cs="宋体"/>
          <w:sz w:val="24"/>
        </w:rPr>
        <w:t>3.监督单位：</w:t>
      </w:r>
      <w:r>
        <w:rPr>
          <w:rFonts w:hint="eastAsia" w:ascii="宋体" w:hAnsi="宋体" w:eastAsia="宋体" w:cs="宋体"/>
          <w:kern w:val="2"/>
          <w:sz w:val="24"/>
          <w:szCs w:val="24"/>
          <w:highlight w:val="none"/>
          <w:lang w:val="en-US" w:eastAsia="zh-CN" w:bidi="ar-SA"/>
        </w:rPr>
        <w:t>周口市财政局政府采购监督管理科</w:t>
      </w:r>
    </w:p>
    <w:p>
      <w:pPr>
        <w:pStyle w:val="37"/>
        <w:ind w:firstLine="720" w:firstLineChars="300"/>
      </w:pPr>
      <w:r>
        <w:rPr>
          <w:rFonts w:hint="eastAsia" w:ascii="宋体" w:hAnsi="宋体" w:eastAsia="宋体" w:cs="宋体"/>
          <w:kern w:val="2"/>
          <w:sz w:val="24"/>
          <w:szCs w:val="24"/>
          <w:highlight w:val="none"/>
          <w:lang w:val="en-US" w:eastAsia="zh-CN" w:bidi="ar-SA"/>
        </w:rPr>
        <w:t xml:space="preserve">联系方式：0394-8106976 </w:t>
      </w:r>
    </w:p>
    <w:p>
      <w:pPr>
        <w:pStyle w:val="37"/>
        <w:ind w:firstLine="630" w:firstLineChars="300"/>
        <w:rPr>
          <w:highlight w:val="none"/>
        </w:rPr>
      </w:pPr>
    </w:p>
    <w:p>
      <w:pPr>
        <w:pStyle w:val="37"/>
        <w:rPr>
          <w:highlight w:val="none"/>
        </w:rPr>
      </w:pPr>
    </w:p>
    <w:p>
      <w:pPr>
        <w:pStyle w:val="10"/>
        <w:adjustRightInd w:val="0"/>
        <w:snapToGrid w:val="0"/>
        <w:spacing w:line="360" w:lineRule="auto"/>
        <w:ind w:left="0" w:leftChars="0" w:firstLine="3129" w:firstLineChars="1304"/>
        <w:rPr>
          <w:rFonts w:ascii="宋体" w:hAnsi="宋体" w:cs="宋体"/>
          <w:sz w:val="24"/>
          <w:highlight w:val="none"/>
        </w:rPr>
      </w:pPr>
      <w:r>
        <w:rPr>
          <w:rFonts w:hint="eastAsia" w:ascii="宋体" w:hAnsi="宋体" w:cs="宋体"/>
          <w:sz w:val="24"/>
          <w:highlight w:val="none"/>
        </w:rPr>
        <w:t>周口市公共资源交易中心政府采购中心</w:t>
      </w:r>
    </w:p>
    <w:p>
      <w:pPr>
        <w:pStyle w:val="22"/>
        <w:adjustRightInd w:val="0"/>
        <w:spacing w:line="360" w:lineRule="auto"/>
        <w:ind w:left="0" w:leftChars="0" w:firstLine="4324" w:firstLineChars="1802"/>
        <w:rPr>
          <w:rFonts w:ascii="宋体" w:hAnsi="宋体" w:cs="宋体"/>
          <w:color w:val="000000" w:themeColor="text1"/>
          <w:highlight w:val="none"/>
        </w:rPr>
      </w:pPr>
      <w:r>
        <w:rPr>
          <w:rFonts w:hint="eastAsia" w:ascii="宋体" w:hAnsi="宋体" w:cs="宋体"/>
          <w:color w:val="000000" w:themeColor="text1"/>
          <w:sz w:val="24"/>
          <w:szCs w:val="24"/>
          <w:highlight w:val="none"/>
          <w:lang w:val="en-US" w:eastAsia="zh-CN"/>
        </w:rPr>
        <w:t>2024年07月08日</w:t>
      </w:r>
      <w:r>
        <w:rPr>
          <w:rFonts w:hint="eastAsia" w:ascii="宋体" w:hAnsi="宋体" w:cs="宋体"/>
          <w:color w:val="000000" w:themeColor="text1"/>
          <w:sz w:val="24"/>
          <w:szCs w:val="24"/>
          <w:highlight w:val="none"/>
        </w:rPr>
        <w:t>　</w:t>
      </w:r>
    </w:p>
    <w:p>
      <w:pPr>
        <w:pStyle w:val="28"/>
        <w:adjustRightInd w:val="0"/>
        <w:snapToGrid w:val="0"/>
        <w:spacing w:line="360" w:lineRule="auto"/>
        <w:ind w:firstLine="0" w:firstLineChars="0"/>
        <w:rPr>
          <w:highlight w:val="none"/>
        </w:rPr>
      </w:pPr>
    </w:p>
    <w:p>
      <w:pPr>
        <w:pStyle w:val="28"/>
        <w:ind w:firstLine="0" w:firstLineChars="0"/>
        <w:rPr>
          <w:highlight w:val="none"/>
        </w:rPr>
      </w:pPr>
    </w:p>
    <w:p>
      <w:pPr>
        <w:jc w:val="center"/>
        <w:rPr>
          <w:rFonts w:ascii="宋体" w:hAnsi="宋体" w:cs="宋体"/>
          <w:b/>
          <w:sz w:val="32"/>
          <w:szCs w:val="32"/>
          <w:highlight w:val="none"/>
        </w:rPr>
      </w:pPr>
      <w:r>
        <w:rPr>
          <w:rFonts w:ascii="宋体" w:hAnsi="宋体" w:cs="宋体"/>
          <w:b/>
          <w:sz w:val="32"/>
          <w:szCs w:val="32"/>
          <w:highlight w:val="none"/>
        </w:rPr>
        <w:br w:type="page"/>
      </w:r>
      <w:r>
        <w:rPr>
          <w:rFonts w:hint="eastAsia" w:ascii="宋体" w:hAnsi="宋体" w:cs="宋体"/>
          <w:b/>
          <w:sz w:val="32"/>
          <w:szCs w:val="32"/>
          <w:highlight w:val="none"/>
        </w:rPr>
        <w:t>第二章    供应商须知</w:t>
      </w:r>
    </w:p>
    <w:tbl>
      <w:tblPr>
        <w:tblStyle w:val="29"/>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pPr>
              <w:jc w:val="center"/>
              <w:rPr>
                <w:rFonts w:ascii="宋体" w:hAnsi="宋体"/>
                <w:szCs w:val="21"/>
                <w:highlight w:val="none"/>
              </w:rPr>
            </w:pPr>
            <w:r>
              <w:rPr>
                <w:rFonts w:hint="eastAsia" w:ascii="宋体" w:hAnsi="宋体" w:cs="楷体_GB2312"/>
                <w:sz w:val="32"/>
                <w:szCs w:val="32"/>
                <w:highlight w:val="none"/>
              </w:rPr>
              <w:t>供应商须知前附表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序号</w:t>
            </w: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条款</w:t>
            </w:r>
          </w:p>
        </w:tc>
        <w:tc>
          <w:tcPr>
            <w:tcW w:w="6615" w:type="dxa"/>
            <w:vAlign w:val="center"/>
          </w:tcPr>
          <w:p>
            <w:pPr>
              <w:rPr>
                <w:rFonts w:ascii="宋体" w:hAnsi="宋体" w:cs="宋体"/>
                <w:sz w:val="24"/>
                <w:highlight w:val="none"/>
              </w:rPr>
            </w:pPr>
            <w:r>
              <w:rPr>
                <w:rFonts w:hint="eastAsia" w:ascii="宋体" w:hAnsi="宋体" w:cs="宋体"/>
                <w:sz w:val="24"/>
                <w:highlight w:val="none"/>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jc w:val="center"/>
              <w:rPr>
                <w:rFonts w:ascii="宋体" w:hAnsi="宋体" w:cs="宋体"/>
                <w:color w:val="0C0C0C" w:themeColor="text1" w:themeTint="F2"/>
                <w:sz w:val="24"/>
                <w:highlight w:val="none"/>
              </w:rPr>
            </w:pPr>
            <w:r>
              <w:rPr>
                <w:rFonts w:hint="eastAsia" w:ascii="宋体" w:hAnsi="宋体" w:cs="宋体"/>
                <w:color w:val="0C0C0C" w:themeColor="text1" w:themeTint="F2"/>
                <w:sz w:val="24"/>
                <w:highlight w:val="none"/>
              </w:rPr>
              <w:t>项目概况</w:t>
            </w:r>
          </w:p>
        </w:tc>
        <w:tc>
          <w:tcPr>
            <w:tcW w:w="6615" w:type="dxa"/>
            <w:vAlign w:val="center"/>
          </w:tcPr>
          <w:p>
            <w:pPr>
              <w:rPr>
                <w:rFonts w:hint="eastAsia" w:ascii="宋体" w:hAnsi="宋体" w:eastAsia="宋体" w:cs="宋体"/>
                <w:color w:val="0C0C0C" w:themeColor="text1" w:themeTint="F2"/>
                <w:sz w:val="24"/>
                <w:highlight w:val="none"/>
                <w:lang w:eastAsia="zh-CN"/>
              </w:rPr>
            </w:pPr>
            <w:r>
              <w:rPr>
                <w:rFonts w:hint="eastAsia" w:ascii="宋体" w:hAnsi="宋体" w:cs="宋体"/>
                <w:color w:val="0C0C0C" w:themeColor="text1" w:themeTint="F2"/>
                <w:sz w:val="24"/>
                <w:highlight w:val="none"/>
              </w:rPr>
              <w:t>项目名称：周口市历史文化名城传承保护中心周口市历史文化名城保护管理平台项目</w:t>
            </w:r>
          </w:p>
          <w:p>
            <w:pPr>
              <w:rPr>
                <w:rFonts w:hint="eastAsia" w:ascii="宋体" w:hAnsi="宋体" w:eastAsia="宋体" w:cs="宋体"/>
                <w:color w:val="0C0C0C" w:themeColor="text1" w:themeTint="F2"/>
                <w:sz w:val="24"/>
                <w:highlight w:val="none"/>
                <w:lang w:eastAsia="zh-CN"/>
              </w:rPr>
            </w:pPr>
            <w:r>
              <w:rPr>
                <w:rFonts w:hint="eastAsia" w:ascii="宋体" w:hAnsi="宋体" w:cs="宋体"/>
                <w:color w:val="0C0C0C" w:themeColor="text1" w:themeTint="F2"/>
                <w:sz w:val="24"/>
                <w:highlight w:val="none"/>
              </w:rPr>
              <w:t>采购内容：</w:t>
            </w:r>
            <w:r>
              <w:rPr>
                <w:rFonts w:hint="eastAsia" w:ascii="宋体" w:hAnsi="宋体" w:cs="宋体"/>
                <w:color w:val="0C0C0C" w:themeColor="text1" w:themeTint="F2"/>
                <w:sz w:val="24"/>
                <w:highlight w:val="none"/>
                <w:lang w:val="en-US" w:eastAsia="zh-CN"/>
              </w:rPr>
              <w:t>软件集成实施服务</w:t>
            </w:r>
          </w:p>
          <w:p>
            <w:pPr>
              <w:rPr>
                <w:rFonts w:hint="eastAsia" w:ascii="宋体" w:hAnsi="宋体" w:eastAsia="宋体" w:cs="宋体"/>
                <w:color w:val="0C0C0C" w:themeColor="text1" w:themeTint="F2"/>
                <w:sz w:val="24"/>
                <w:highlight w:val="none"/>
                <w:lang w:eastAsia="zh-CN"/>
              </w:rPr>
            </w:pPr>
            <w:r>
              <w:rPr>
                <w:rFonts w:hint="eastAsia" w:ascii="宋体" w:hAnsi="宋体" w:cs="宋体"/>
                <w:color w:val="0C0C0C" w:themeColor="text1" w:themeTint="F2"/>
                <w:sz w:val="24"/>
                <w:highlight w:val="none"/>
              </w:rPr>
              <w:t>采购人：</w:t>
            </w:r>
            <w:r>
              <w:rPr>
                <w:rFonts w:hint="eastAsia" w:ascii="宋体" w:hAnsi="宋体" w:cs="宋体"/>
                <w:color w:val="0C0C0C" w:themeColor="text1" w:themeTint="F2"/>
                <w:sz w:val="24"/>
                <w:highlight w:val="none"/>
                <w:lang w:eastAsia="zh-CN"/>
              </w:rPr>
              <w:t>周口市历史文化名城传承保护中心</w:t>
            </w:r>
            <w:r>
              <w:rPr>
                <w:rFonts w:hint="eastAsia" w:ascii="宋体" w:hAnsi="宋体" w:cs="宋体"/>
                <w:color w:val="0C0C0C" w:themeColor="text1" w:themeTint="F2"/>
                <w:sz w:val="24"/>
                <w:highlight w:val="none"/>
                <w:lang w:val="en-US" w:eastAsia="zh-CN"/>
              </w:rPr>
              <w:t xml:space="preserve"> 　</w:t>
            </w:r>
            <w:r>
              <w:rPr>
                <w:rFonts w:hint="eastAsia" w:ascii="宋体" w:hAnsi="宋体" w:cs="宋体"/>
                <w:color w:val="0C0C0C" w:themeColor="text1" w:themeTint="F2"/>
                <w:sz w:val="24"/>
                <w:highlight w:val="none"/>
                <w:lang w:eastAsia="zh-CN"/>
              </w:rPr>
              <w:t>　　　</w:t>
            </w:r>
          </w:p>
          <w:p>
            <w:pPr>
              <w:rPr>
                <w:rFonts w:ascii="宋体" w:hAnsi="宋体" w:cs="宋体"/>
                <w:color w:val="0C0C0C" w:themeColor="text1" w:themeTint="F2"/>
                <w:sz w:val="24"/>
                <w:highlight w:val="none"/>
              </w:rPr>
            </w:pPr>
            <w:r>
              <w:rPr>
                <w:rFonts w:hint="eastAsia" w:ascii="宋体" w:hAnsi="宋体" w:cs="宋体"/>
                <w:color w:val="0C0C0C" w:themeColor="text1" w:themeTint="F2"/>
                <w:sz w:val="24"/>
                <w:highlight w:val="none"/>
              </w:rPr>
              <w:t>采购代理机构：周口市公共资源交易中心政府采购中心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left="-4" w:leftChars="-4" w:hanging="4" w:hangingChars="2"/>
              <w:jc w:val="center"/>
              <w:rPr>
                <w:rFonts w:ascii="宋体" w:hAnsi="宋体" w:cs="宋体"/>
                <w:sz w:val="24"/>
                <w:highlight w:val="none"/>
              </w:rPr>
            </w:pPr>
            <w:r>
              <w:rPr>
                <w:rFonts w:hint="eastAsia" w:ascii="宋体" w:hAnsi="宋体" w:cs="宋体"/>
                <w:sz w:val="24"/>
                <w:highlight w:val="none"/>
              </w:rPr>
              <w:t>对供应商的资格要求</w:t>
            </w:r>
          </w:p>
        </w:tc>
        <w:tc>
          <w:tcPr>
            <w:tcW w:w="6615" w:type="dxa"/>
            <w:vAlign w:val="center"/>
          </w:tcPr>
          <w:p>
            <w:pPr>
              <w:spacing w:before="156" w:beforeLines="50"/>
              <w:ind w:left="-4" w:leftChars="-4" w:hanging="4" w:hangingChars="2"/>
              <w:rPr>
                <w:rFonts w:ascii="宋体" w:hAnsi="宋体" w:cs="宋体"/>
                <w:sz w:val="24"/>
                <w:highlight w:val="none"/>
              </w:rPr>
            </w:pPr>
            <w:r>
              <w:rPr>
                <w:rFonts w:hint="eastAsia" w:ascii="宋体" w:hAnsi="宋体" w:cs="宋体"/>
                <w:sz w:val="24"/>
                <w:highlight w:val="none"/>
              </w:rPr>
              <w:t>见竞争性磋商邀请函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报价费用</w:t>
            </w:r>
          </w:p>
        </w:tc>
        <w:tc>
          <w:tcPr>
            <w:tcW w:w="6615" w:type="dxa"/>
            <w:vAlign w:val="center"/>
          </w:tcPr>
          <w:p>
            <w:pPr>
              <w:rPr>
                <w:rFonts w:ascii="宋体" w:hAnsi="宋体" w:cs="宋体"/>
                <w:sz w:val="24"/>
                <w:highlight w:val="none"/>
              </w:rPr>
            </w:pPr>
            <w:r>
              <w:rPr>
                <w:rFonts w:hint="eastAsia" w:ascii="宋体" w:hAnsi="宋体" w:cs="宋体"/>
                <w:sz w:val="24"/>
                <w:highlight w:val="none"/>
              </w:rPr>
              <w:t>无论报价和磋商的过程和结果如何，供应商自行</w:t>
            </w:r>
            <w:r>
              <w:rPr>
                <w:rFonts w:hint="eastAsia" w:ascii="宋体" w:hAnsi="宋体" w:cs="宋体"/>
                <w:sz w:val="24"/>
                <w:highlight w:val="none"/>
                <w:lang w:val="en-US" w:eastAsia="zh-CN"/>
              </w:rPr>
              <w:t>承诺</w:t>
            </w:r>
            <w:r>
              <w:rPr>
                <w:rFonts w:hint="eastAsia" w:ascii="宋体" w:hAnsi="宋体" w:cs="宋体"/>
                <w:sz w:val="24"/>
                <w:highlight w:val="none"/>
              </w:rPr>
              <w:t>承担所有与参加报价及磋商有关活动的全部费用。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pPr>
              <w:numPr>
                <w:ilvl w:val="0"/>
                <w:numId w:val="1"/>
              </w:numPr>
              <w:spacing w:before="156" w:beforeLines="50"/>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响应文件语言</w:t>
            </w:r>
          </w:p>
        </w:tc>
        <w:tc>
          <w:tcPr>
            <w:tcW w:w="6615" w:type="dxa"/>
            <w:vAlign w:val="center"/>
          </w:tcPr>
          <w:p>
            <w:pPr>
              <w:snapToGrid w:val="0"/>
              <w:rPr>
                <w:rFonts w:ascii="宋体" w:hAnsi="宋体" w:cs="宋体"/>
                <w:sz w:val="24"/>
                <w:highlight w:val="none"/>
              </w:rPr>
            </w:pPr>
            <w:r>
              <w:rPr>
                <w:rFonts w:hint="eastAsia" w:ascii="宋体" w:hAnsi="宋体" w:cs="宋体"/>
                <w:sz w:val="24"/>
                <w:highlight w:val="none"/>
              </w:rPr>
              <w:t>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156" w:beforeLines="50"/>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报价货币</w:t>
            </w:r>
          </w:p>
        </w:tc>
        <w:tc>
          <w:tcPr>
            <w:tcW w:w="6615" w:type="dxa"/>
            <w:vAlign w:val="center"/>
          </w:tcPr>
          <w:p>
            <w:pPr>
              <w:rPr>
                <w:rFonts w:ascii="宋体" w:hAnsi="宋体" w:cs="宋体"/>
                <w:sz w:val="24"/>
                <w:highlight w:val="none"/>
              </w:rPr>
            </w:pPr>
            <w:r>
              <w:rPr>
                <w:rFonts w:hint="eastAsia" w:ascii="宋体" w:hAnsi="宋体" w:cs="宋体"/>
                <w:sz w:val="24"/>
                <w:highlight w:val="none"/>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报价范围及说明</w:t>
            </w:r>
          </w:p>
        </w:tc>
        <w:tc>
          <w:tcPr>
            <w:tcW w:w="6615" w:type="dxa"/>
            <w:vAlign w:val="center"/>
          </w:tcPr>
          <w:p>
            <w:pPr>
              <w:rPr>
                <w:rFonts w:ascii="宋体" w:hAnsi="宋体" w:cs="宋体"/>
                <w:sz w:val="24"/>
                <w:highlight w:val="none"/>
              </w:rPr>
            </w:pPr>
            <w:r>
              <w:rPr>
                <w:rFonts w:hint="eastAsia" w:ascii="宋体" w:hAnsi="宋体" w:cs="宋体"/>
                <w:color w:val="000000"/>
                <w:sz w:val="24"/>
                <w:highlight w:val="none"/>
              </w:rPr>
              <w:t>报价包括本项目所招标的服务、保险、税费、验收</w:t>
            </w:r>
            <w:r>
              <w:rPr>
                <w:rFonts w:hint="eastAsia" w:ascii="宋体" w:hAnsi="宋体" w:cs="宋体"/>
                <w:sz w:val="24"/>
                <w:highlight w:val="none"/>
              </w:rPr>
              <w:t>等（采购项目技术规格、参数及要求）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响应文件有效期</w:t>
            </w:r>
          </w:p>
        </w:tc>
        <w:tc>
          <w:tcPr>
            <w:tcW w:w="6615" w:type="dxa"/>
            <w:vAlign w:val="center"/>
          </w:tcPr>
          <w:p>
            <w:pPr>
              <w:rPr>
                <w:rFonts w:ascii="宋体" w:hAnsi="宋体" w:cs="宋体"/>
                <w:sz w:val="24"/>
                <w:highlight w:val="none"/>
              </w:rPr>
            </w:pPr>
            <w:r>
              <w:rPr>
                <w:rFonts w:hint="eastAsia" w:ascii="宋体" w:hAnsi="宋体" w:cs="宋体"/>
                <w:sz w:val="24"/>
                <w:highlight w:val="none"/>
              </w:rPr>
              <w:t>响应文件递交截止期后60日内有效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tabs>
                <w:tab w:val="left" w:pos="8640"/>
              </w:tabs>
              <w:spacing w:before="156" w:beforeLines="50"/>
              <w:ind w:left="-2" w:leftChars="-1"/>
              <w:jc w:val="center"/>
              <w:rPr>
                <w:rFonts w:ascii="宋体" w:hAnsi="宋体" w:cs="宋体"/>
                <w:sz w:val="24"/>
                <w:highlight w:val="none"/>
              </w:rPr>
            </w:pPr>
            <w:r>
              <w:rPr>
                <w:rFonts w:hint="eastAsia" w:ascii="宋体" w:hAnsi="宋体" w:cs="宋体"/>
                <w:sz w:val="24"/>
                <w:highlight w:val="none"/>
              </w:rPr>
              <w:t>响应文件的组成</w:t>
            </w:r>
          </w:p>
        </w:tc>
        <w:tc>
          <w:tcPr>
            <w:tcW w:w="6615" w:type="dxa"/>
            <w:vAlign w:val="center"/>
          </w:tcPr>
          <w:p>
            <w:pPr>
              <w:rPr>
                <w:rFonts w:ascii="宋体" w:hAnsi="宋体" w:cs="宋体"/>
                <w:sz w:val="24"/>
                <w:highlight w:val="none"/>
              </w:rPr>
            </w:pPr>
            <w:r>
              <w:rPr>
                <w:rFonts w:hint="eastAsia" w:ascii="宋体" w:hAnsi="宋体" w:cs="宋体"/>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tabs>
                <w:tab w:val="left" w:pos="8640"/>
              </w:tabs>
              <w:spacing w:before="156" w:beforeLines="50"/>
              <w:ind w:left="-2" w:leftChars="-1"/>
              <w:jc w:val="center"/>
              <w:rPr>
                <w:rFonts w:ascii="宋体" w:hAnsi="宋体" w:cs="宋体"/>
                <w:sz w:val="24"/>
                <w:highlight w:val="none"/>
              </w:rPr>
            </w:pPr>
            <w:r>
              <w:rPr>
                <w:rFonts w:hint="eastAsia" w:ascii="宋体" w:hAnsi="宋体" w:cs="宋体"/>
                <w:sz w:val="24"/>
                <w:highlight w:val="none"/>
              </w:rPr>
              <w:t>响应文件封面要求</w:t>
            </w:r>
          </w:p>
        </w:tc>
        <w:tc>
          <w:tcPr>
            <w:tcW w:w="6615" w:type="dxa"/>
            <w:vAlign w:val="center"/>
          </w:tcPr>
          <w:p>
            <w:pPr>
              <w:tabs>
                <w:tab w:val="left" w:pos="8640"/>
              </w:tabs>
              <w:rPr>
                <w:rFonts w:ascii="宋体" w:hAnsi="宋体" w:cs="宋体"/>
                <w:sz w:val="24"/>
                <w:highlight w:val="none"/>
              </w:rPr>
            </w:pPr>
            <w:r>
              <w:rPr>
                <w:rFonts w:hint="eastAsia" w:ascii="宋体" w:hAnsi="宋体" w:cs="宋体"/>
                <w:sz w:val="24"/>
                <w:highlight w:val="none"/>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响应文件份数要求</w:t>
            </w:r>
          </w:p>
        </w:tc>
        <w:tc>
          <w:tcPr>
            <w:tcW w:w="6615" w:type="dxa"/>
            <w:vAlign w:val="center"/>
          </w:tcPr>
          <w:p>
            <w:pPr>
              <w:tabs>
                <w:tab w:val="left" w:pos="8640"/>
              </w:tabs>
              <w:ind w:left="-2" w:leftChars="-1"/>
              <w:rPr>
                <w:rFonts w:ascii="宋体" w:hAnsi="宋体" w:cs="宋体"/>
                <w:sz w:val="24"/>
                <w:highlight w:val="none"/>
              </w:rPr>
            </w:pPr>
            <w:r>
              <w:rPr>
                <w:rFonts w:hint="eastAsia" w:ascii="宋体" w:hAnsi="宋体" w:cs="宋体"/>
                <w:sz w:val="24"/>
                <w:highlight w:val="none"/>
              </w:rPr>
              <w:t>加密的电子投标文件须在投标截止时间前成功上传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响应文件装订和密封要求</w:t>
            </w:r>
          </w:p>
        </w:tc>
        <w:tc>
          <w:tcPr>
            <w:tcW w:w="6615" w:type="dxa"/>
            <w:vAlign w:val="center"/>
          </w:tcPr>
          <w:p>
            <w:pPr>
              <w:rPr>
                <w:rFonts w:ascii="宋体" w:hAnsi="宋体" w:cs="宋体"/>
                <w:sz w:val="24"/>
                <w:highlight w:val="none"/>
              </w:rPr>
            </w:pPr>
            <w:r>
              <w:rPr>
                <w:rFonts w:hint="eastAsia" w:ascii="宋体" w:hAnsi="宋体" w:cs="宋体"/>
                <w:sz w:val="24"/>
                <w:highlight w:val="none"/>
              </w:rPr>
              <w:t>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竞争性磋商文件的澄清</w:t>
            </w:r>
          </w:p>
        </w:tc>
        <w:tc>
          <w:tcPr>
            <w:tcW w:w="6615" w:type="dxa"/>
            <w:vAlign w:val="center"/>
          </w:tcPr>
          <w:p>
            <w:pPr>
              <w:rPr>
                <w:rFonts w:ascii="宋体" w:hAnsi="宋体" w:cs="宋体"/>
                <w:sz w:val="24"/>
                <w:highlight w:val="none"/>
              </w:rPr>
            </w:pPr>
            <w:r>
              <w:rPr>
                <w:rFonts w:hint="eastAsia" w:ascii="宋体" w:hAnsi="宋体" w:cs="宋体"/>
                <w:sz w:val="24"/>
                <w:highlight w:val="none"/>
              </w:rPr>
              <w:t>对竞争性磋商文件进行的澄清，以网上公告的方式通知供应商。澄清或修改的内容可能影响响应文件编制的，采购人、采购代理机构应当在提交响应文件截止时间至少5日前。</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响应文件递交截止时间</w:t>
            </w:r>
          </w:p>
        </w:tc>
        <w:tc>
          <w:tcPr>
            <w:tcW w:w="6615" w:type="dxa"/>
            <w:vAlign w:val="center"/>
          </w:tcPr>
          <w:p>
            <w:pPr>
              <w:ind w:firstLine="240" w:firstLineChars="100"/>
              <w:rPr>
                <w:rFonts w:ascii="宋体" w:hAnsi="宋体" w:cs="宋体"/>
                <w:sz w:val="24"/>
                <w:highlight w:val="none"/>
              </w:rPr>
            </w:pPr>
            <w:r>
              <w:rPr>
                <w:rFonts w:hint="eastAsia" w:ascii="宋体" w:hAnsi="宋体" w:eastAsia="宋体" w:cs="宋体"/>
                <w:sz w:val="24"/>
                <w:lang w:val="en-US" w:eastAsia="zh-CN"/>
              </w:rPr>
              <w:t>2024年7月19日10点00分</w:t>
            </w:r>
            <w:r>
              <w:rPr>
                <w:rFonts w:hint="eastAsia" w:ascii="宋体" w:hAnsi="宋体" w:cs="宋体"/>
                <w:sz w:val="24"/>
                <w:highlight w:val="none"/>
              </w:rPr>
              <w:t xml:space="preserve">（见磋商公告）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响应文件递交地点</w:t>
            </w:r>
          </w:p>
        </w:tc>
        <w:tc>
          <w:tcPr>
            <w:tcW w:w="6615" w:type="dxa"/>
            <w:vAlign w:val="center"/>
          </w:tcPr>
          <w:p>
            <w:pPr>
              <w:rPr>
                <w:rFonts w:ascii="宋体" w:hAnsi="宋体"/>
                <w:sz w:val="24"/>
                <w:highlight w:val="none"/>
              </w:rPr>
            </w:pPr>
            <w:r>
              <w:rPr>
                <w:rFonts w:hint="eastAsia" w:ascii="宋体" w:hAnsi="宋体"/>
                <w:sz w:val="24"/>
                <w:highlight w:val="none"/>
              </w:rPr>
              <w:t>周口市公共资源交易中心网</w:t>
            </w:r>
          </w:p>
          <w:p>
            <w:pPr>
              <w:rPr>
                <w:rFonts w:ascii="宋体" w:hAnsi="宋体" w:cs="宋体" w:eastAsiaTheme="minorEastAsia"/>
                <w:sz w:val="24"/>
                <w:highlight w:val="none"/>
              </w:rPr>
            </w:pPr>
            <w:r>
              <w:rPr>
                <w:rFonts w:hint="eastAsia" w:ascii="宋体" w:hAnsi="宋体"/>
                <w:sz w:val="24"/>
                <w:highlight w:val="none"/>
              </w:rPr>
              <w:t>网址：周口市公共资源电子交易服务平台会员系统（网址</w:t>
            </w:r>
            <w:r>
              <w:rPr>
                <w:rFonts w:hint="eastAsia" w:asciiTheme="minorEastAsia" w:hAnsiTheme="minorEastAsia" w:eastAsiaTheme="minorEastAsia"/>
                <w:color w:val="000000"/>
                <w:sz w:val="24"/>
                <w:szCs w:val="24"/>
                <w:highlight w:val="none"/>
                <w:lang w:eastAsia="zh-CN"/>
              </w:rPr>
              <w:t>http://jyzx.zhoukou.gov.cn/</w:t>
            </w:r>
            <w:r>
              <w:rPr>
                <w:rFonts w:hint="eastAsia" w:asciiTheme="minorEastAsia" w:hAnsiTheme="minorEastAsia" w:eastAsiaTheme="minorEastAsia"/>
                <w:color w:val="000000"/>
                <w:sz w:val="24"/>
                <w:szCs w:val="24"/>
                <w:highlight w:val="none"/>
              </w:rPr>
              <w:t>）</w:t>
            </w:r>
          </w:p>
          <w:p>
            <w:pPr>
              <w:spacing w:line="560" w:lineRule="exact"/>
              <w:rPr>
                <w:rFonts w:ascii="宋体" w:hAnsi="宋体" w:cs="宋体"/>
                <w:sz w:val="24"/>
                <w:highlight w:val="none"/>
              </w:rPr>
            </w:pPr>
            <w:r>
              <w:rPr>
                <w:rFonts w:hint="eastAsia" w:ascii="宋体" w:hAnsi="宋体" w:cs="宋体"/>
                <w:sz w:val="24"/>
                <w:highlight w:val="none"/>
              </w:rPr>
              <w:t>（本项目实行网上远程开标无须到现场提交响应文件）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磋商时间</w:t>
            </w:r>
          </w:p>
        </w:tc>
        <w:tc>
          <w:tcPr>
            <w:tcW w:w="6615" w:type="dxa"/>
            <w:vAlign w:val="center"/>
          </w:tcPr>
          <w:p>
            <w:pPr>
              <w:tabs>
                <w:tab w:val="left" w:pos="8640"/>
              </w:tabs>
              <w:ind w:left="-2" w:leftChars="-1" w:firstLine="240" w:firstLineChars="100"/>
              <w:rPr>
                <w:rFonts w:ascii="宋体" w:hAnsi="宋体" w:cs="宋体"/>
                <w:sz w:val="24"/>
                <w:highlight w:val="none"/>
              </w:rPr>
            </w:pPr>
            <w:r>
              <w:rPr>
                <w:rFonts w:hint="eastAsia" w:ascii="宋体" w:hAnsi="宋体" w:eastAsia="宋体" w:cs="宋体"/>
                <w:sz w:val="24"/>
                <w:lang w:val="en-US" w:eastAsia="zh-CN"/>
              </w:rPr>
              <w:t>2024年7月19日10点00分</w:t>
            </w:r>
            <w:r>
              <w:rPr>
                <w:rFonts w:hint="eastAsia" w:ascii="宋体" w:hAnsi="宋体" w:cs="宋体"/>
                <w:sz w:val="24"/>
                <w:highlight w:val="none"/>
              </w:rPr>
              <w:t>见磋商公告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磋商程序和内容</w:t>
            </w:r>
          </w:p>
        </w:tc>
        <w:tc>
          <w:tcPr>
            <w:tcW w:w="6615" w:type="dxa"/>
            <w:vAlign w:val="center"/>
          </w:tcPr>
          <w:p>
            <w:pPr>
              <w:tabs>
                <w:tab w:val="left" w:pos="8640"/>
              </w:tabs>
              <w:rPr>
                <w:rFonts w:ascii="宋体" w:hAnsi="宋体" w:cs="宋体"/>
                <w:sz w:val="24"/>
                <w:highlight w:val="none"/>
              </w:rPr>
            </w:pPr>
            <w:r>
              <w:rPr>
                <w:rFonts w:hint="eastAsia" w:ascii="宋体" w:hAnsi="宋体" w:cs="宋体"/>
                <w:sz w:val="24"/>
                <w:highlight w:val="none"/>
              </w:rPr>
              <w:t>详见磋商文件第二章</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sz w:val="24"/>
                <w:highlight w:val="none"/>
              </w:rPr>
            </w:pPr>
            <w:r>
              <w:rPr>
                <w:rFonts w:hint="eastAsia" w:ascii="宋体" w:hAnsi="宋体" w:cs="宋体"/>
                <w:sz w:val="24"/>
                <w:highlight w:val="none"/>
              </w:rPr>
              <w:t>授予合同</w:t>
            </w:r>
          </w:p>
        </w:tc>
        <w:tc>
          <w:tcPr>
            <w:tcW w:w="6615" w:type="dxa"/>
            <w:vAlign w:val="center"/>
          </w:tcPr>
          <w:p>
            <w:pPr>
              <w:tabs>
                <w:tab w:val="left" w:pos="8640"/>
              </w:tabs>
              <w:jc w:val="left"/>
              <w:rPr>
                <w:rFonts w:ascii="宋体" w:hAnsi="宋体" w:cs="宋体"/>
                <w:sz w:val="24"/>
                <w:highlight w:val="none"/>
              </w:rPr>
            </w:pPr>
            <w:r>
              <w:rPr>
                <w:rFonts w:hint="eastAsia" w:ascii="宋体" w:hAnsi="宋体" w:cs="宋体"/>
                <w:sz w:val="24"/>
                <w:highlight w:val="none"/>
              </w:rPr>
              <w:t>采购人根据磋商小组的推荐意见，确定成交供应商。采购代理机构向成交供应商发出成交通知书。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cs="宋体"/>
                <w:sz w:val="24"/>
                <w:highlight w:val="none"/>
              </w:rPr>
            </w:pPr>
            <w:r>
              <w:rPr>
                <w:rFonts w:hint="eastAsia" w:ascii="宋体" w:hAnsi="宋体" w:cs="宋体"/>
                <w:sz w:val="24"/>
                <w:highlight w:val="none"/>
              </w:rPr>
              <w:t>签订合同</w:t>
            </w:r>
          </w:p>
        </w:tc>
        <w:tc>
          <w:tcPr>
            <w:tcW w:w="6615" w:type="dxa"/>
            <w:vAlign w:val="center"/>
          </w:tcPr>
          <w:p>
            <w:pPr>
              <w:tabs>
                <w:tab w:val="left" w:pos="8640"/>
              </w:tabs>
              <w:ind w:left="-2" w:leftChars="-1"/>
              <w:rPr>
                <w:rFonts w:ascii="宋体" w:hAnsi="宋体" w:cs="宋体"/>
                <w:sz w:val="24"/>
                <w:highlight w:val="none"/>
              </w:rPr>
            </w:pPr>
            <w:r>
              <w:rPr>
                <w:rFonts w:hint="eastAsia" w:ascii="宋体" w:hAnsi="宋体" w:cs="宋体"/>
                <w:sz w:val="24"/>
                <w:highlight w:val="none"/>
              </w:rPr>
              <w:t>1）接到成交通知书30天内，成交供应商应与采购人签订采购合同。</w:t>
            </w:r>
          </w:p>
          <w:p>
            <w:pPr>
              <w:tabs>
                <w:tab w:val="left" w:pos="8640"/>
              </w:tabs>
              <w:ind w:left="-2" w:leftChars="-1"/>
              <w:rPr>
                <w:rFonts w:ascii="宋体" w:hAnsi="宋体" w:cs="宋体"/>
                <w:sz w:val="24"/>
                <w:highlight w:val="none"/>
              </w:rPr>
            </w:pPr>
            <w:r>
              <w:rPr>
                <w:rFonts w:hint="eastAsia" w:ascii="宋体" w:hAnsi="宋体" w:cs="宋体"/>
                <w:sz w:val="24"/>
                <w:highlight w:val="none"/>
              </w:rPr>
              <w:t>2）本磋商文件、响应文件及磋商、评审过程中有关澄清、承诺文件的内容，将作为签订合同的主要内容。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cs="宋体"/>
                <w:sz w:val="24"/>
                <w:highlight w:val="none"/>
              </w:rPr>
            </w:pPr>
            <w:r>
              <w:rPr>
                <w:rFonts w:hint="eastAsia" w:ascii="宋体" w:hAnsi="宋体" w:cs="宋体"/>
                <w:sz w:val="24"/>
                <w:highlight w:val="none"/>
              </w:rPr>
              <w:t>投标保证金</w:t>
            </w:r>
          </w:p>
        </w:tc>
        <w:tc>
          <w:tcPr>
            <w:tcW w:w="6615" w:type="dxa"/>
            <w:vAlign w:val="center"/>
          </w:tcPr>
          <w:p>
            <w:pPr>
              <w:rPr>
                <w:rFonts w:hint="eastAsia"/>
                <w:highlight w:val="none"/>
              </w:rPr>
            </w:pPr>
            <w:r>
              <w:rPr>
                <w:rFonts w:hint="eastAsia" w:ascii="宋体" w:hAnsi="宋体" w:cs="宋体"/>
                <w:sz w:val="24"/>
                <w:szCs w:val="24"/>
                <w:highlight w:val="none"/>
              </w:rPr>
              <w:t>不需要缴纳投标保证金</w:t>
            </w:r>
            <w:r>
              <w:rPr>
                <w:rFonts w:hint="eastAsia"/>
                <w:sz w:val="24"/>
                <w:szCs w:val="24"/>
                <w:highlight w:val="none"/>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jc w:val="center"/>
              <w:rPr>
                <w:rFonts w:ascii="宋体" w:hAnsi="宋体" w:cs="宋体"/>
                <w:color w:val="auto"/>
                <w:sz w:val="24"/>
                <w:highlight w:val="none"/>
              </w:rPr>
            </w:pPr>
            <w:r>
              <w:rPr>
                <w:rFonts w:hint="eastAsia" w:ascii="宋体" w:hAnsi="宋体" w:cs="宋体"/>
                <w:color w:val="auto"/>
                <w:sz w:val="24"/>
                <w:highlight w:val="none"/>
              </w:rPr>
              <w:t>服务期限</w:t>
            </w:r>
          </w:p>
        </w:tc>
        <w:tc>
          <w:tcPr>
            <w:tcW w:w="6615" w:type="dxa"/>
            <w:vAlign w:val="center"/>
          </w:tcPr>
          <w:p>
            <w:pPr>
              <w:jc w:val="left"/>
              <w:rPr>
                <w:rFonts w:ascii="宋体" w:hAnsi="宋体" w:cs="宋体"/>
                <w:color w:val="auto"/>
                <w:sz w:val="24"/>
                <w:highlight w:val="none"/>
              </w:rPr>
            </w:pPr>
            <w:r>
              <w:rPr>
                <w:rFonts w:hint="eastAsia" w:asciiTheme="minorEastAsia" w:hAnsiTheme="minorEastAsia" w:cstheme="minorEastAsia"/>
                <w:sz w:val="24"/>
                <w:szCs w:val="24"/>
                <w:highlight w:val="none"/>
                <w:lang w:val="en-US" w:eastAsia="zh-CN"/>
              </w:rPr>
              <w:t>2年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cs="宋体"/>
                <w:sz w:val="24"/>
                <w:highlight w:val="none"/>
              </w:rPr>
            </w:pPr>
            <w:r>
              <w:rPr>
                <w:rFonts w:hint="eastAsia" w:ascii="宋体" w:hAnsi="宋体" w:cs="宋体"/>
                <w:sz w:val="24"/>
                <w:highlight w:val="none"/>
              </w:rPr>
              <w:t>付款方式</w:t>
            </w:r>
          </w:p>
        </w:tc>
        <w:tc>
          <w:tcPr>
            <w:tcW w:w="6615" w:type="dxa"/>
            <w:vAlign w:val="center"/>
          </w:tcPr>
          <w:p>
            <w:pPr>
              <w:spacing w:before="156" w:beforeLines="50"/>
              <w:ind w:firstLine="14" w:firstLineChars="6"/>
              <w:jc w:val="left"/>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采用二期支付。</w:t>
            </w:r>
          </w:p>
          <w:p>
            <w:pPr>
              <w:spacing w:before="156" w:beforeLines="50"/>
              <w:ind w:firstLine="14" w:firstLineChars="6"/>
              <w:jc w:val="left"/>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第一期：合同签订后支付40%。</w:t>
            </w:r>
          </w:p>
          <w:p>
            <w:pPr>
              <w:spacing w:before="156" w:beforeLines="50"/>
              <w:ind w:firstLine="14" w:firstLineChars="6"/>
              <w:jc w:val="left"/>
              <w:rPr>
                <w:rFonts w:hint="default" w:eastAsia="宋体"/>
                <w:highlight w:val="none"/>
                <w:lang w:val="en-US" w:eastAsia="zh-CN"/>
              </w:rPr>
            </w:pPr>
            <w:r>
              <w:rPr>
                <w:rFonts w:hint="default" w:ascii="宋体" w:hAnsi="宋体" w:eastAsia="宋体" w:cs="宋体"/>
                <w:sz w:val="24"/>
                <w:highlight w:val="none"/>
                <w:lang w:val="en-US" w:eastAsia="zh-CN"/>
              </w:rPr>
              <w:t>第二期：通过验收后支付60%。</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ascii="宋体" w:hAnsi="宋体" w:cs="宋体"/>
                <w:sz w:val="24"/>
                <w:highlight w:val="none"/>
              </w:rPr>
            </w:pPr>
            <w:r>
              <w:rPr>
                <w:rFonts w:hint="eastAsia" w:ascii="宋体" w:hAnsi="宋体" w:cs="宋体"/>
                <w:sz w:val="24"/>
                <w:highlight w:val="none"/>
              </w:rPr>
              <w:t>勘察现场</w:t>
            </w:r>
          </w:p>
        </w:tc>
        <w:tc>
          <w:tcPr>
            <w:tcW w:w="6615" w:type="dxa"/>
            <w:vAlign w:val="center"/>
          </w:tcPr>
          <w:p>
            <w:pPr>
              <w:tabs>
                <w:tab w:val="left" w:pos="8640"/>
              </w:tabs>
              <w:jc w:val="left"/>
              <w:rPr>
                <w:rFonts w:hint="eastAsia" w:ascii="宋体" w:hAnsi="宋体" w:eastAsia="宋体" w:cs="宋体"/>
                <w:sz w:val="24"/>
                <w:highlight w:val="none"/>
                <w:lang w:eastAsia="zh-CN"/>
              </w:rPr>
            </w:pPr>
            <w:r>
              <w:rPr>
                <w:rFonts w:hint="eastAsia" w:ascii="宋体" w:hAnsi="宋体" w:cs="宋体"/>
                <w:sz w:val="24"/>
                <w:highlight w:val="none"/>
              </w:rPr>
              <w:t xml:space="preserve"> </w:t>
            </w:r>
            <w:r>
              <w:rPr>
                <w:rFonts w:hint="eastAsia" w:ascii="宋体" w:hAnsi="宋体" w:cs="宋体"/>
                <w:sz w:val="24"/>
                <w:highlight w:val="none"/>
                <w:lang w:val="en-US" w:eastAsia="zh-CN"/>
              </w:rPr>
              <w:t>不组织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jc w:val="center"/>
              <w:rPr>
                <w:rFonts w:ascii="宋体" w:hAnsi="宋体" w:cs="宋体"/>
                <w:b w:val="0"/>
                <w:bCs w:val="0"/>
                <w:sz w:val="24"/>
                <w:highlight w:val="none"/>
              </w:rPr>
            </w:pPr>
            <w:r>
              <w:rPr>
                <w:rFonts w:hint="eastAsia" w:ascii="宋体" w:hAnsi="宋体" w:cs="宋体"/>
                <w:b w:val="0"/>
                <w:bCs w:val="0"/>
                <w:sz w:val="24"/>
                <w:highlight w:val="none"/>
              </w:rPr>
              <w:t>报价</w:t>
            </w:r>
          </w:p>
        </w:tc>
        <w:tc>
          <w:tcPr>
            <w:tcW w:w="6615" w:type="dxa"/>
            <w:vAlign w:val="center"/>
          </w:tcPr>
          <w:p>
            <w:pPr>
              <w:tabs>
                <w:tab w:val="left" w:pos="8640"/>
              </w:tabs>
              <w:jc w:val="left"/>
              <w:rPr>
                <w:rFonts w:ascii="宋体" w:hAnsi="宋体" w:cs="宋体"/>
                <w:b w:val="0"/>
                <w:bCs w:val="0"/>
                <w:sz w:val="24"/>
                <w:highlight w:val="none"/>
                <w:u w:val="single"/>
              </w:rPr>
            </w:pPr>
            <w:r>
              <w:rPr>
                <w:rFonts w:hint="eastAsia" w:ascii="宋体" w:hAnsi="宋体" w:cs="宋体"/>
                <w:b w:val="0"/>
                <w:bCs w:val="0"/>
                <w:sz w:val="24"/>
                <w:highlight w:val="none"/>
              </w:rPr>
              <w:t>一次报价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pPr>
              <w:numPr>
                <w:ilvl w:val="0"/>
                <w:numId w:val="1"/>
              </w:numPr>
              <w:spacing w:before="156" w:beforeLines="50"/>
              <w:jc w:val="center"/>
              <w:rPr>
                <w:rFonts w:ascii="宋体" w:hAnsi="宋体" w:cs="宋体"/>
                <w:sz w:val="24"/>
                <w:highlight w:val="none"/>
              </w:rPr>
            </w:pPr>
          </w:p>
        </w:tc>
        <w:tc>
          <w:tcPr>
            <w:tcW w:w="1995" w:type="dxa"/>
            <w:vAlign w:val="center"/>
          </w:tcPr>
          <w:p>
            <w:pPr>
              <w:spacing w:before="156" w:beforeLines="50"/>
              <w:ind w:firstLine="14" w:firstLineChars="6"/>
              <w:jc w:val="center"/>
              <w:rPr>
                <w:rFonts w:hint="eastAsia" w:ascii="宋体" w:hAnsi="宋体" w:cs="宋体"/>
                <w:b/>
                <w:bCs/>
                <w:sz w:val="24"/>
                <w:highlight w:val="none"/>
              </w:rPr>
            </w:pPr>
            <w:r>
              <w:rPr>
                <w:rFonts w:hint="eastAsia" w:ascii="宋体" w:hAnsi="宋体" w:eastAsia="宋体" w:cs="宋体"/>
                <w:b/>
                <w:bCs/>
                <w:color w:val="000000"/>
                <w:sz w:val="24"/>
                <w:szCs w:val="24"/>
                <w:lang w:val="en-US"/>
              </w:rPr>
              <w:t>本项目所属行业</w:t>
            </w:r>
          </w:p>
        </w:tc>
        <w:tc>
          <w:tcPr>
            <w:tcW w:w="6615" w:type="dxa"/>
            <w:vAlign w:val="center"/>
          </w:tcPr>
          <w:p>
            <w:pPr>
              <w:tabs>
                <w:tab w:val="left" w:pos="8640"/>
              </w:tabs>
              <w:jc w:val="left"/>
              <w:rPr>
                <w:rFonts w:hint="eastAsia" w:ascii="宋体" w:hAnsi="宋体" w:cs="宋体"/>
                <w:b/>
                <w:bCs/>
                <w:sz w:val="24"/>
                <w:highlight w:val="none"/>
              </w:rPr>
            </w:pPr>
            <w:r>
              <w:rPr>
                <w:rFonts w:hint="eastAsia" w:ascii="宋体" w:hAnsi="宋体" w:cs="宋体"/>
                <w:b/>
                <w:bCs/>
                <w:sz w:val="24"/>
                <w:highlight w:val="none"/>
              </w:rPr>
              <w:t>其他未列明行业</w:t>
            </w:r>
          </w:p>
        </w:tc>
      </w:tr>
    </w:tbl>
    <w:p>
      <w:pPr>
        <w:pStyle w:val="28"/>
        <w:ind w:firstLine="0" w:firstLineChars="0"/>
        <w:rPr>
          <w:rFonts w:hint="eastAsia" w:ascii="宋体" w:hAnsi="宋体" w:cs="宋体"/>
          <w:b/>
          <w:sz w:val="30"/>
          <w:szCs w:val="30"/>
          <w:highlight w:val="none"/>
        </w:rPr>
      </w:pPr>
    </w:p>
    <w:p>
      <w:pPr>
        <w:rPr>
          <w:rFonts w:hint="eastAsia" w:ascii="宋体" w:hAnsi="宋体" w:cs="宋体"/>
          <w:b/>
          <w:sz w:val="30"/>
          <w:szCs w:val="30"/>
          <w:highlight w:val="none"/>
        </w:rPr>
      </w:pPr>
      <w:r>
        <w:rPr>
          <w:rFonts w:hint="eastAsia" w:ascii="宋体" w:hAnsi="宋体" w:cs="宋体"/>
          <w:b/>
          <w:sz w:val="30"/>
          <w:szCs w:val="30"/>
          <w:highlight w:val="none"/>
        </w:rPr>
        <w:br w:type="page"/>
      </w:r>
    </w:p>
    <w:p>
      <w:pPr>
        <w:spacing w:line="720" w:lineRule="auto"/>
        <w:jc w:val="center"/>
        <w:rPr>
          <w:rFonts w:ascii="宋体" w:hAnsi="宋体" w:cs="宋体"/>
          <w:b/>
          <w:sz w:val="30"/>
          <w:szCs w:val="30"/>
          <w:highlight w:val="none"/>
        </w:rPr>
      </w:pPr>
      <w:r>
        <w:rPr>
          <w:rFonts w:hint="eastAsia" w:ascii="宋体" w:hAnsi="宋体" w:cs="宋体"/>
          <w:b/>
          <w:sz w:val="30"/>
          <w:szCs w:val="30"/>
          <w:highlight w:val="none"/>
        </w:rPr>
        <w:t>一、总则</w:t>
      </w:r>
    </w:p>
    <w:p>
      <w:pPr>
        <w:spacing w:line="560" w:lineRule="exact"/>
        <w:ind w:firstLine="482" w:firstLineChars="200"/>
        <w:rPr>
          <w:rFonts w:ascii="宋体" w:hAnsi="宋体" w:cs="宋体"/>
          <w:sz w:val="24"/>
          <w:highlight w:val="none"/>
        </w:rPr>
      </w:pPr>
      <w:r>
        <w:rPr>
          <w:rFonts w:hint="eastAsia" w:ascii="宋体" w:hAnsi="宋体" w:cs="宋体"/>
          <w:b/>
          <w:sz w:val="24"/>
          <w:highlight w:val="none"/>
        </w:rPr>
        <w:t>1．适用范围</w:t>
      </w:r>
    </w:p>
    <w:p>
      <w:pPr>
        <w:spacing w:line="560" w:lineRule="exact"/>
        <w:ind w:firstLine="480" w:firstLineChars="200"/>
        <w:rPr>
          <w:rFonts w:ascii="宋体" w:hAnsi="宋体" w:cs="宋体"/>
          <w:bCs/>
          <w:sz w:val="24"/>
          <w:highlight w:val="none"/>
        </w:rPr>
      </w:pPr>
      <w:r>
        <w:rPr>
          <w:rFonts w:hint="eastAsia" w:ascii="宋体" w:hAnsi="宋体" w:cs="宋体"/>
          <w:sz w:val="24"/>
          <w:highlight w:val="none"/>
        </w:rPr>
        <w:t>1.1本竞争性磋商文件仅适用于本次竞争性磋商邀请函中所述</w:t>
      </w:r>
      <w:r>
        <w:rPr>
          <w:rFonts w:hint="eastAsia" w:ascii="宋体" w:hAnsi="宋体" w:cs="宋体"/>
          <w:bCs/>
          <w:sz w:val="24"/>
          <w:highlight w:val="none"/>
        </w:rPr>
        <w:t>项目。</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2．定义</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2.1“采购代理机构”：周口市公共资源交易中心政府采购中心。</w:t>
      </w:r>
    </w:p>
    <w:p>
      <w:pPr>
        <w:tabs>
          <w:tab w:val="left" w:pos="0"/>
        </w:tabs>
        <w:spacing w:line="560" w:lineRule="exact"/>
        <w:ind w:firstLine="480" w:firstLineChars="200"/>
        <w:rPr>
          <w:rFonts w:hint="eastAsia" w:ascii="宋体" w:hAnsi="宋体" w:eastAsia="宋体" w:cs="宋体"/>
          <w:sz w:val="24"/>
          <w:highlight w:val="none"/>
          <w:lang w:eastAsia="zh-CN"/>
        </w:rPr>
      </w:pPr>
      <w:r>
        <w:rPr>
          <w:rFonts w:hint="eastAsia" w:ascii="宋体" w:hAnsi="宋体" w:cs="宋体"/>
          <w:sz w:val="24"/>
          <w:highlight w:val="none"/>
        </w:rPr>
        <w:t>2.2“采购人”：周口市历史文化名城传承保护中心</w:t>
      </w:r>
      <w:r>
        <w:rPr>
          <w:rFonts w:hint="eastAsia" w:ascii="宋体" w:hAnsi="宋体" w:cs="宋体"/>
          <w:color w:val="0C0C0C" w:themeColor="text1" w:themeTint="F2"/>
          <w:sz w:val="24"/>
          <w:highlight w:val="none"/>
          <w:lang w:val="en-US" w:eastAsia="zh-CN"/>
        </w:rPr>
        <w:t xml:space="preserve"> 　</w:t>
      </w:r>
      <w:r>
        <w:rPr>
          <w:rFonts w:hint="eastAsia" w:ascii="宋体" w:hAnsi="宋体" w:cs="宋体"/>
          <w:sz w:val="24"/>
          <w:highlight w:val="none"/>
          <w:lang w:eastAsia="zh-CN"/>
        </w:rPr>
        <w:t>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2.3“供应商”系指按竞争性磋商文件规定取得竞争性磋商文件并参加竞争性磋商活动的法人、其他组织或者自然人。</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2.4“供应商代表”：系指代表供应商参加本次竞争性磋商活动的供应商的法定代表人或其委托代理人。</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2.5“服务”：系指本项目所采购的服务及其他要求等。</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2.7“重大违法记录”系指供应商因违法经营受到刑事处罚或者责令停产停业、吊销许可证或者执照、较大数额罚款等行政处罚。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2.8“不具备良好的商业信誉”是指：</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（1）有重大违法记录的（满三年的除外）；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（2）被各级财政部门列入政府采购严重违法失信行为信息记录的（期限已满的除外）；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（3）被各级政府采购监督管理部门禁止在一定期限内参加政府采购活动等处罚的（期限已满的除外）；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（4）被各级法院列入失信名单的（已依法解除的除外）；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（5）法律法规规定的其他情形。</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3.采购预算</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3.1本次采购预算：见公告。</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4.合格的供应商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4.1.1符合</w:t>
      </w:r>
      <w:r>
        <w:rPr>
          <w:rFonts w:hint="eastAsia" w:ascii="宋体" w:hAnsi="宋体" w:cs="宋体"/>
          <w:color w:val="000000"/>
          <w:sz w:val="24"/>
          <w:highlight w:val="none"/>
        </w:rPr>
        <w:t>供应商资格条件（详见第一部分供应商资格条件）</w:t>
      </w:r>
    </w:p>
    <w:p>
      <w:pPr>
        <w:widowControl/>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4.1.2参加政府采购活动前三年内，在经营活动中没有重大违法记录的声明函；</w:t>
      </w:r>
    </w:p>
    <w:p>
      <w:pPr>
        <w:widowControl/>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4.1.3 政府采购供应商诚信承诺书；</w:t>
      </w:r>
    </w:p>
    <w:p>
      <w:pPr>
        <w:pStyle w:val="77"/>
        <w:spacing w:line="360" w:lineRule="auto"/>
        <w:ind w:firstLine="480" w:firstLineChars="200"/>
        <w:rPr>
          <w:rFonts w:hAnsi="宋体" w:eastAsia="宋体"/>
          <w:color w:val="000000"/>
          <w:sz w:val="24"/>
          <w:highlight w:val="none"/>
        </w:rPr>
      </w:pPr>
      <w:r>
        <w:rPr>
          <w:rFonts w:hint="eastAsia" w:hAnsi="宋体" w:eastAsia="宋体"/>
          <w:color w:val="000000"/>
          <w:sz w:val="24"/>
          <w:highlight w:val="none"/>
        </w:rPr>
        <w:t>4.</w:t>
      </w:r>
      <w:r>
        <w:rPr>
          <w:rFonts w:hint="eastAsia" w:hAnsi="宋体" w:eastAsia="宋体"/>
          <w:color w:val="000000"/>
          <w:sz w:val="24"/>
          <w:highlight w:val="none"/>
          <w:lang w:val="en-US"/>
        </w:rPr>
        <w:t>1.4 供应商</w:t>
      </w:r>
      <w:r>
        <w:rPr>
          <w:rFonts w:hint="eastAsia" w:hAnsi="宋体" w:eastAsia="宋体"/>
          <w:color w:val="000000"/>
          <w:sz w:val="24"/>
          <w:highlight w:val="none"/>
        </w:rPr>
        <w:t>自觉抵制政府采购领域商业贿赂行为承诺书；</w:t>
      </w:r>
    </w:p>
    <w:p>
      <w:pPr>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 xml:space="preserve">4.2 </w:t>
      </w:r>
      <w:r>
        <w:rPr>
          <w:rFonts w:hint="eastAsia" w:ascii="宋体" w:hAnsi="宋体" w:cs="宋体"/>
          <w:color w:val="000000"/>
          <w:kern w:val="0"/>
          <w:sz w:val="24"/>
          <w:highlight w:val="none"/>
        </w:rPr>
        <w:t>供应商需提供售后服务体系与承诺</w:t>
      </w:r>
      <w:r>
        <w:rPr>
          <w:rFonts w:hint="eastAsia" w:ascii="宋体" w:hAnsi="宋体" w:cs="宋体"/>
          <w:color w:val="000000"/>
          <w:kern w:val="0"/>
          <w:sz w:val="24"/>
          <w:highlight w:val="none"/>
          <w:lang w:val="zh-CN"/>
        </w:rPr>
        <w:t>。</w:t>
      </w:r>
    </w:p>
    <w:p>
      <w:pPr>
        <w:pStyle w:val="77"/>
        <w:spacing w:line="360" w:lineRule="auto"/>
        <w:ind w:firstLine="480" w:firstLineChars="200"/>
        <w:rPr>
          <w:rFonts w:hAnsi="宋体" w:eastAsia="宋体"/>
          <w:color w:val="000000"/>
          <w:sz w:val="24"/>
          <w:highlight w:val="none"/>
        </w:rPr>
      </w:pPr>
      <w:r>
        <w:rPr>
          <w:rFonts w:hint="eastAsia" w:hAnsi="宋体" w:eastAsia="宋体"/>
          <w:color w:val="000000"/>
          <w:sz w:val="24"/>
          <w:highlight w:val="none"/>
        </w:rPr>
        <w:t>4.</w:t>
      </w:r>
      <w:r>
        <w:rPr>
          <w:rFonts w:hint="eastAsia" w:hAnsi="宋体" w:eastAsia="宋体"/>
          <w:color w:val="000000"/>
          <w:sz w:val="24"/>
          <w:highlight w:val="none"/>
          <w:lang w:val="en-US"/>
        </w:rPr>
        <w:t>3</w:t>
      </w:r>
      <w:r>
        <w:rPr>
          <w:rFonts w:hint="eastAsia" w:hAnsi="宋体" w:eastAsia="宋体"/>
          <w:color w:val="000000"/>
          <w:sz w:val="24"/>
          <w:highlight w:val="none"/>
        </w:rPr>
        <w:t>符合本竞争性磋商文件规定的供应商资格要求及项目要求的其它条件，并按照要求提供相关证明材料。</w:t>
      </w:r>
    </w:p>
    <w:p>
      <w:pPr>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4.4供应商应遵守国家法律、法规有关竞争性磋商的规定。</w:t>
      </w:r>
    </w:p>
    <w:p>
      <w:pPr>
        <w:autoSpaceDE w:val="0"/>
        <w:autoSpaceDN w:val="0"/>
        <w:adjustRightInd w:val="0"/>
        <w:snapToGrid w:val="0"/>
        <w:spacing w:line="360" w:lineRule="auto"/>
        <w:ind w:firstLine="480" w:firstLineChars="200"/>
        <w:rPr>
          <w:rFonts w:ascii="宋体" w:hAnsi="宋体" w:cs="宋体"/>
          <w:color w:val="000000"/>
          <w:kern w:val="0"/>
          <w:sz w:val="24"/>
          <w:highlight w:val="none"/>
          <w:lang w:val="zh-CN"/>
        </w:rPr>
      </w:pPr>
      <w:r>
        <w:rPr>
          <w:rFonts w:hint="eastAsia" w:ascii="宋体" w:hAnsi="宋体" w:cs="宋体"/>
          <w:color w:val="000000"/>
          <w:kern w:val="0"/>
          <w:sz w:val="24"/>
          <w:highlight w:val="none"/>
          <w:lang w:val="zh-CN"/>
        </w:rPr>
        <w:t>4.5 凡通过磋商小组符合性审查的供应商均为合格供应商。未通过符合性审查的供应商为不合格供应商。</w:t>
      </w:r>
    </w:p>
    <w:p>
      <w:pPr>
        <w:spacing w:line="560" w:lineRule="exact"/>
        <w:ind w:firstLine="480" w:firstLineChars="200"/>
        <w:rPr>
          <w:rFonts w:ascii="宋体" w:hAnsi="宋体" w:cs="宋体"/>
          <w:sz w:val="24"/>
          <w:highlight w:val="none"/>
        </w:rPr>
      </w:pPr>
      <w:r>
        <w:rPr>
          <w:rFonts w:hint="eastAsia" w:ascii="宋体" w:hAnsi="宋体" w:cs="宋体"/>
          <w:color w:val="000000"/>
          <w:kern w:val="0"/>
          <w:sz w:val="24"/>
          <w:highlight w:val="none"/>
          <w:lang w:val="zh-CN"/>
        </w:rPr>
        <w:t>注：</w:t>
      </w:r>
      <w:r>
        <w:rPr>
          <w:rFonts w:hint="eastAsia" w:ascii="宋体" w:hAnsi="宋体" w:cs="宋体"/>
          <w:sz w:val="24"/>
          <w:highlight w:val="none"/>
        </w:rPr>
        <w:t>单位负责人为同一人或者存在直接控股、管理关系的不同供应商，不得参加同一合同项下的政府采购活动，并提供承诺。</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 xml:space="preserve">5.竞争性磋商文件的约束力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5.l供应商一旦参加竞争性磋商，即被认为接受了本竞争性磋商文件中的所有条款和规定。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5.3本磋商文件由采购人负责解释。</w:t>
      </w:r>
    </w:p>
    <w:p>
      <w:pPr>
        <w:pStyle w:val="28"/>
        <w:ind w:firstLine="480"/>
        <w:rPr>
          <w:rFonts w:ascii="宋体" w:hAnsi="宋体" w:eastAsia="宋体" w:cs="宋体"/>
          <w:sz w:val="24"/>
          <w:highlight w:val="none"/>
        </w:rPr>
      </w:pPr>
    </w:p>
    <w:p>
      <w:pPr>
        <w:spacing w:line="720" w:lineRule="auto"/>
        <w:jc w:val="center"/>
        <w:rPr>
          <w:rFonts w:ascii="宋体" w:hAnsi="宋体" w:cs="宋体"/>
          <w:b/>
          <w:sz w:val="24"/>
          <w:highlight w:val="none"/>
        </w:rPr>
      </w:pPr>
      <w:r>
        <w:rPr>
          <w:rFonts w:hint="eastAsia" w:ascii="宋体" w:hAnsi="宋体" w:cs="宋体"/>
          <w:b/>
          <w:sz w:val="24"/>
          <w:highlight w:val="none"/>
        </w:rPr>
        <w:t>二、竞争性磋商文件</w:t>
      </w:r>
    </w:p>
    <w:p>
      <w:pPr>
        <w:tabs>
          <w:tab w:val="left" w:pos="632"/>
          <w:tab w:val="left" w:pos="790"/>
        </w:tabs>
        <w:spacing w:line="560" w:lineRule="exact"/>
        <w:ind w:firstLine="482" w:firstLineChars="200"/>
        <w:rPr>
          <w:rFonts w:ascii="宋体" w:hAnsi="宋体" w:cs="宋体"/>
          <w:b/>
          <w:sz w:val="24"/>
          <w:highlight w:val="none"/>
        </w:rPr>
      </w:pPr>
      <w:r>
        <w:rPr>
          <w:rFonts w:hint="eastAsia" w:ascii="宋体" w:hAnsi="宋体" w:cs="宋体"/>
          <w:b/>
          <w:sz w:val="24"/>
          <w:highlight w:val="none"/>
        </w:rPr>
        <w:t>6．竞争性磋商文件的组成</w:t>
      </w:r>
    </w:p>
    <w:p>
      <w:pPr>
        <w:autoSpaceDE w:val="0"/>
        <w:autoSpaceDN w:val="0"/>
        <w:adjustRightInd w:val="0"/>
        <w:spacing w:line="560" w:lineRule="exact"/>
        <w:ind w:firstLine="480" w:firstLineChars="200"/>
        <w:rPr>
          <w:rFonts w:ascii="宋体" w:hAnsi="宋体" w:cs="宋体"/>
          <w:sz w:val="24"/>
          <w:highlight w:val="none"/>
        </w:rPr>
      </w:pPr>
      <w:r>
        <w:rPr>
          <w:rFonts w:hint="eastAsia" w:ascii="宋体" w:hAnsi="宋体" w:cs="宋体"/>
          <w:sz w:val="24"/>
          <w:highlight w:val="none"/>
        </w:rPr>
        <w:t>6.1竞争性磋商</w:t>
      </w:r>
      <w:r>
        <w:rPr>
          <w:rFonts w:hint="eastAsia" w:ascii="宋体" w:hAnsi="宋体" w:cs="宋体"/>
          <w:sz w:val="24"/>
          <w:highlight w:val="none"/>
          <w:lang w:val="zh-CN"/>
        </w:rPr>
        <w:t>文件是用以阐明的采购需求、采购程序和合同格式等的规范性文件。竞争性磋商文件主要由以下部分组成：</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（1）竞争性磋商邀请函；</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（2）供应商须知；</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（3）采购需求；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（4）响应性文件内容及格式；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（5）合同主要条款。</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供应商应认真阅读招标文件中所有的事项、格式、条件、条款和规范等要求。如果有异议在规定的时间内提出，没有异议需做出“无异议”承诺书，承诺书作为响应文件的组织部分,否则为无效响应文件。</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6.3供应商被视为充分熟悉本采购项目所在地的与履行合同有关的各种情况，包括自然环境、气候条件、劳动力及公用设施等，本竞争性磋商文件不再对上述情况进行描述。</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6.4供应商必须详阅竞争性磋商文件的所有条款、文件及表格格式等。供应商若未按竞争性磋商文件的要求和规范编制、提交响应性文件，将有可能导致响应性文件被拒绝接受或被视为无效。</w:t>
      </w:r>
    </w:p>
    <w:p>
      <w:pPr>
        <w:widowControl/>
        <w:spacing w:line="560" w:lineRule="exact"/>
        <w:ind w:firstLine="482" w:firstLineChars="200"/>
        <w:rPr>
          <w:rFonts w:ascii="宋体" w:hAnsi="宋体" w:cs="宋体"/>
          <w:b/>
          <w:sz w:val="24"/>
          <w:highlight w:val="none"/>
        </w:rPr>
      </w:pPr>
      <w:r>
        <w:rPr>
          <w:rFonts w:hint="eastAsia" w:ascii="宋体" w:hAnsi="宋体" w:cs="宋体"/>
          <w:b/>
          <w:sz w:val="24"/>
          <w:highlight w:val="none"/>
        </w:rPr>
        <w:t>7.竞争性磋商文件的澄清与修改</w:t>
      </w:r>
    </w:p>
    <w:p>
      <w:pPr>
        <w:autoSpaceDE w:val="0"/>
        <w:autoSpaceDN w:val="0"/>
        <w:adjustRightInd w:val="0"/>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cs="宋体"/>
          <w:b/>
          <w:sz w:val="24"/>
          <w:highlight w:val="none"/>
        </w:rPr>
      </w:pPr>
      <w:r>
        <w:rPr>
          <w:rFonts w:hint="eastAsia" w:ascii="宋体" w:hAnsi="宋体" w:cs="宋体"/>
          <w:b/>
          <w:sz w:val="24"/>
          <w:highlight w:val="none"/>
        </w:rPr>
        <w:t>三、响应性文件的编制</w:t>
      </w:r>
    </w:p>
    <w:p>
      <w:pPr>
        <w:spacing w:line="560" w:lineRule="exact"/>
        <w:ind w:firstLine="482" w:firstLineChars="200"/>
        <w:rPr>
          <w:rFonts w:ascii="宋体" w:hAnsi="宋体" w:cs="宋体"/>
          <w:b/>
          <w:bCs/>
          <w:sz w:val="24"/>
          <w:highlight w:val="none"/>
        </w:rPr>
      </w:pPr>
      <w:r>
        <w:rPr>
          <w:rFonts w:hint="eastAsia" w:ascii="宋体" w:hAnsi="宋体" w:cs="宋体"/>
          <w:b/>
          <w:bCs/>
          <w:sz w:val="24"/>
          <w:highlight w:val="none"/>
        </w:rPr>
        <w:t>8.要求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8.1供应商应仔细阅读、并充分理解竞争性磋商文件的所有内容，按照竞争性磋商文件的要求编制、提交响应性文件。响应性文件应对竞争性磋商文件的要求作出实质性响应，并保证所提供的全部资料的真实性、合法性承</w:t>
      </w:r>
      <w:r>
        <w:rPr>
          <w:rFonts w:hint="eastAsia" w:ascii="宋体" w:hAnsi="宋体" w:cs="宋体"/>
          <w:sz w:val="2"/>
          <w:szCs w:val="2"/>
          <w:highlight w:val="none"/>
          <w:lang w:val="en-US" w:eastAsia="zh-CN"/>
        </w:rPr>
        <w:t xml:space="preserve">    </w:t>
      </w:r>
      <w:r>
        <w:rPr>
          <w:rFonts w:hint="eastAsia" w:ascii="宋体" w:hAnsi="宋体" w:cs="宋体"/>
          <w:sz w:val="24"/>
          <w:highlight w:val="none"/>
        </w:rPr>
        <w:t>诺，否则其响应性文件将作为无效处理。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8.2任何对竞争性磋商文件的忽略或误解不能作为响应性文件没有完全响应竞争性磋商文件的有效理由。</w:t>
      </w:r>
    </w:p>
    <w:p>
      <w:pPr>
        <w:spacing w:line="560" w:lineRule="exact"/>
        <w:ind w:firstLine="480" w:firstLineChars="200"/>
        <w:rPr>
          <w:rFonts w:ascii="宋体" w:hAnsi="宋体" w:cs="宋体"/>
          <w:i/>
          <w:iCs/>
          <w:sz w:val="24"/>
          <w:highlight w:val="none"/>
        </w:rPr>
      </w:pPr>
      <w:r>
        <w:rPr>
          <w:rFonts w:hint="eastAsia" w:ascii="宋体" w:hAnsi="宋体" w:cs="宋体"/>
          <w:sz w:val="24"/>
          <w:highlight w:val="none"/>
        </w:rPr>
        <w:t>8.3供应商没有按照竞争性磋商文件要求提供全部资料，或者供应商没有对竞争性磋商文件在各方面都作出实质性响应是供应商的风险，并可能导致其响应性文件被拒绝。</w:t>
      </w:r>
    </w:p>
    <w:p>
      <w:pPr>
        <w:widowControl/>
        <w:spacing w:line="560" w:lineRule="exact"/>
        <w:ind w:firstLine="482" w:firstLineChars="200"/>
        <w:rPr>
          <w:rFonts w:ascii="宋体" w:hAnsi="宋体" w:cs="宋体"/>
          <w:b/>
          <w:sz w:val="24"/>
          <w:highlight w:val="none"/>
        </w:rPr>
      </w:pPr>
      <w:r>
        <w:rPr>
          <w:rFonts w:hint="eastAsia" w:ascii="宋体" w:hAnsi="宋体" w:cs="宋体"/>
          <w:b/>
          <w:sz w:val="24"/>
          <w:highlight w:val="none"/>
        </w:rPr>
        <w:t xml:space="preserve">9.响应性文件的语言及度量衡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9.1响应性文件以及供应商与采购代理机构之间的所有书面往来都应用简体中文书写。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9.2供应商使用其他语言的，以中文翻译为准。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9.3关于计量单位，竞争性磋商文件已有明确规定的，使用竞争性磋商文件规定的计量单位；竞争性磋商文件没有规定的，应采用中华人民共和国法定计量单位。</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9.4本竞争性磋商文件所表述的时间均为北京时间。</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10.响应性文件的组成</w:t>
      </w:r>
    </w:p>
    <w:p>
      <w:pPr>
        <w:widowControl/>
        <w:spacing w:line="560" w:lineRule="exact"/>
        <w:ind w:firstLine="480" w:firstLineChars="200"/>
        <w:rPr>
          <w:rFonts w:hint="eastAsia" w:ascii="宋体" w:hAnsi="宋体" w:cs="宋体"/>
          <w:sz w:val="24"/>
          <w:highlight w:val="none"/>
        </w:rPr>
      </w:pPr>
      <w:r>
        <w:rPr>
          <w:rFonts w:hint="eastAsia" w:ascii="宋体" w:hAnsi="宋体" w:cs="宋体"/>
          <w:sz w:val="24"/>
          <w:highlight w:val="none"/>
        </w:rPr>
        <w:t>10.1响应性文件由</w:t>
      </w:r>
      <w:r>
        <w:rPr>
          <w:rFonts w:hint="eastAsia" w:ascii="宋体" w:hAnsi="宋体" w:cs="宋体"/>
          <w:bCs/>
          <w:sz w:val="24"/>
          <w:highlight w:val="none"/>
          <w:u w:val="single"/>
        </w:rPr>
        <w:t>资格性证明材料</w:t>
      </w:r>
      <w:r>
        <w:rPr>
          <w:rFonts w:hint="eastAsia" w:ascii="宋体" w:hAnsi="宋体" w:cs="宋体"/>
          <w:bCs/>
          <w:sz w:val="24"/>
          <w:highlight w:val="none"/>
        </w:rPr>
        <w:t>、</w:t>
      </w:r>
      <w:r>
        <w:rPr>
          <w:rFonts w:hint="eastAsia" w:ascii="宋体" w:hAnsi="宋体" w:cs="宋体"/>
          <w:bCs/>
          <w:sz w:val="24"/>
          <w:highlight w:val="none"/>
          <w:u w:val="single"/>
        </w:rPr>
        <w:t>符合性证明材料</w:t>
      </w:r>
      <w:r>
        <w:rPr>
          <w:rFonts w:hint="eastAsia" w:ascii="宋体" w:hAnsi="宋体" w:cs="宋体"/>
          <w:bCs/>
          <w:sz w:val="24"/>
          <w:highlight w:val="none"/>
        </w:rPr>
        <w:t>、</w:t>
      </w:r>
      <w:r>
        <w:rPr>
          <w:rFonts w:hint="eastAsia" w:ascii="宋体" w:hAnsi="宋体" w:cs="宋体"/>
          <w:bCs/>
          <w:sz w:val="24"/>
          <w:highlight w:val="none"/>
          <w:u w:val="single"/>
        </w:rPr>
        <w:t>其他材料</w:t>
      </w:r>
      <w:r>
        <w:rPr>
          <w:rFonts w:hint="eastAsia" w:ascii="宋体" w:hAnsi="宋体" w:cs="宋体"/>
          <w:sz w:val="24"/>
          <w:highlight w:val="none"/>
        </w:rPr>
        <w:t>三部分组成。具体内容和格式见竞争性磋商文件</w:t>
      </w:r>
      <w:r>
        <w:rPr>
          <w:rFonts w:hint="eastAsia" w:ascii="宋体" w:hAnsi="宋体" w:cs="宋体"/>
          <w:bCs/>
          <w:sz w:val="24"/>
          <w:highlight w:val="none"/>
        </w:rPr>
        <w:t>第四章</w:t>
      </w:r>
      <w:r>
        <w:rPr>
          <w:rFonts w:hint="eastAsia" w:ascii="宋体" w:hAnsi="宋体" w:cs="宋体"/>
          <w:sz w:val="24"/>
          <w:highlight w:val="none"/>
        </w:rPr>
        <w:t>。</w:t>
      </w:r>
    </w:p>
    <w:p>
      <w:pPr>
        <w:widowControl/>
        <w:spacing w:line="560" w:lineRule="exact"/>
        <w:ind w:firstLine="480" w:firstLineChars="200"/>
        <w:rPr>
          <w:rFonts w:hint="eastAsia" w:ascii="宋体" w:hAnsi="宋体" w:cs="宋体"/>
          <w:sz w:val="24"/>
          <w:highlight w:val="none"/>
        </w:rPr>
      </w:pPr>
      <w:r>
        <w:rPr>
          <w:rFonts w:hint="eastAsia" w:ascii="宋体" w:hAnsi="宋体" w:cs="宋体"/>
          <w:sz w:val="24"/>
          <w:highlight w:val="none"/>
        </w:rPr>
        <w:t>10.2响应文件封面要求:列明项目名称、采购编号、供应商名称和地址等信息。</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11.响应性文件格式</w:t>
      </w:r>
    </w:p>
    <w:p>
      <w:pPr>
        <w:widowControl/>
        <w:spacing w:line="560" w:lineRule="exact"/>
        <w:ind w:firstLine="480" w:firstLineChars="200"/>
        <w:rPr>
          <w:rFonts w:ascii="宋体" w:hAnsi="宋体" w:cs="宋体"/>
          <w:sz w:val="24"/>
          <w:highlight w:val="none"/>
        </w:rPr>
      </w:pPr>
      <w:r>
        <w:rPr>
          <w:rFonts w:hint="eastAsia" w:ascii="宋体" w:hAnsi="宋体" w:cs="宋体"/>
          <w:sz w:val="24"/>
          <w:highlight w:val="none"/>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widowControl/>
        <w:spacing w:line="560" w:lineRule="exact"/>
        <w:ind w:firstLine="482" w:firstLineChars="200"/>
        <w:rPr>
          <w:rFonts w:ascii="宋体" w:hAnsi="宋体" w:cs="宋体"/>
          <w:b/>
          <w:bCs/>
          <w:kern w:val="0"/>
          <w:sz w:val="24"/>
          <w:highlight w:val="none"/>
        </w:rPr>
      </w:pPr>
      <w:r>
        <w:rPr>
          <w:rFonts w:hint="eastAsia" w:ascii="宋体" w:hAnsi="宋体" w:cs="宋体"/>
          <w:b/>
          <w:bCs/>
          <w:kern w:val="0"/>
          <w:sz w:val="24"/>
          <w:highlight w:val="none"/>
        </w:rPr>
        <w:t>12.竞争性磋商报价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12.1报价包括所投服务、保险、税费、检测、验收和交付后约定期限内免费维保等工作所发生的一切应有费用。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12.2经过磋商后进行的报价为供应商的最终报价。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12.3采购人不接受有选择的报价。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12.4最终报价不得超过采购预算。</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12.5报价均须以人民币为计算单位。</w:t>
      </w:r>
    </w:p>
    <w:p>
      <w:pPr>
        <w:spacing w:line="560" w:lineRule="exact"/>
        <w:ind w:firstLine="482" w:firstLineChars="200"/>
        <w:rPr>
          <w:rFonts w:ascii="宋体" w:hAnsi="宋体" w:cs="宋体"/>
          <w:b/>
          <w:bCs/>
          <w:sz w:val="24"/>
          <w:highlight w:val="none"/>
        </w:rPr>
      </w:pPr>
      <w:r>
        <w:rPr>
          <w:rFonts w:hint="eastAsia" w:ascii="宋体" w:hAnsi="宋体" w:cs="宋体"/>
          <w:b/>
          <w:bCs/>
          <w:sz w:val="24"/>
          <w:highlight w:val="none"/>
        </w:rPr>
        <w:t xml:space="preserve">13．响应性文件有效期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13.l响应性文件有效期为自竞争性磋商开始之日起60天，有效期短于此规定的响应性文件将被视为无效。</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exact"/>
        <w:ind w:firstLine="482" w:firstLineChars="200"/>
        <w:rPr>
          <w:rFonts w:ascii="宋体" w:hAnsi="宋体" w:cs="宋体"/>
          <w:b/>
          <w:bCs/>
          <w:sz w:val="24"/>
          <w:highlight w:val="none"/>
        </w:rPr>
      </w:pPr>
      <w:r>
        <w:rPr>
          <w:rFonts w:hint="eastAsia" w:ascii="宋体" w:hAnsi="宋体" w:cs="宋体"/>
          <w:b/>
          <w:bCs/>
          <w:sz w:val="24"/>
          <w:highlight w:val="none"/>
        </w:rPr>
        <w:t>14.响应性文件的签署、盖章</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14.1</w:t>
      </w:r>
      <w:r>
        <w:rPr>
          <w:rFonts w:hint="eastAsia" w:ascii="宋体" w:hAnsi="宋体" w:cs="宋体"/>
          <w:sz w:val="24"/>
          <w:highlight w:val="none"/>
          <w:lang w:val="zh-CN"/>
        </w:rPr>
        <w:t>响应性文件中凡是要求签署和加盖公章处均须由供应商的法定代表人或其委托代理人签字并加盖供应商公章。本竞争性磋商文件所表述（指定）的公章是指法人（供应商）行政公章，不包括专用章。</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14.3供应商提交的资料应证明其满足竞争性磋商文件要求，该文件可以是文字资料、图纸和数据等详细描述的资料。</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15电子投标文件制作，见周口市公共资源交易中心网站下载中心版块《投标单位-电子投标文件视频制作手册》的相关规定。</w:t>
      </w:r>
    </w:p>
    <w:p>
      <w:pPr>
        <w:numPr>
          <w:ilvl w:val="0"/>
          <w:numId w:val="2"/>
        </w:numPr>
        <w:spacing w:line="720" w:lineRule="auto"/>
        <w:jc w:val="center"/>
        <w:rPr>
          <w:rFonts w:ascii="宋体" w:hAnsi="宋体" w:cs="宋体"/>
          <w:b/>
          <w:sz w:val="24"/>
          <w:highlight w:val="none"/>
        </w:rPr>
      </w:pPr>
      <w:r>
        <w:rPr>
          <w:rFonts w:hint="eastAsia" w:ascii="宋体" w:hAnsi="宋体" w:cs="宋体"/>
          <w:b/>
          <w:sz w:val="24"/>
          <w:highlight w:val="none"/>
        </w:rPr>
        <w:t>响应性文件的递交</w:t>
      </w:r>
    </w:p>
    <w:p>
      <w:pPr>
        <w:autoSpaceDE w:val="0"/>
        <w:autoSpaceDN w:val="0"/>
        <w:adjustRightInd w:val="0"/>
        <w:spacing w:line="500" w:lineRule="exact"/>
        <w:ind w:firstLine="480" w:firstLineChars="200"/>
        <w:rPr>
          <w:rFonts w:ascii="宋体" w:hAnsi="宋体" w:cs="宋体"/>
          <w:sz w:val="24"/>
          <w:highlight w:val="none"/>
        </w:rPr>
      </w:pPr>
      <w:r>
        <w:rPr>
          <w:rFonts w:hint="eastAsia" w:ascii="宋体" w:hAnsi="宋体" w:cs="宋体"/>
          <w:sz w:val="24"/>
          <w:highlight w:val="none"/>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pPr>
        <w:spacing w:line="360" w:lineRule="auto"/>
        <w:ind w:firstLine="550"/>
        <w:rPr>
          <w:rFonts w:ascii="宋体" w:hAnsi="宋体" w:cs="宋体"/>
          <w:sz w:val="24"/>
          <w:highlight w:val="none"/>
        </w:rPr>
      </w:pPr>
      <w:r>
        <w:rPr>
          <w:rFonts w:hint="eastAsia" w:ascii="宋体" w:hAnsi="宋体" w:cs="宋体"/>
          <w:sz w:val="24"/>
          <w:highlight w:val="none"/>
        </w:rPr>
        <w:t>注：加密的电子投标文件的递交，见周口市公共资源交易中心网站下载中心版块《投标单位-电子投标文件视频制作手册》的相关规定。如未在招标文件规定的投标时间截止前上传网上响应文件，投标无效。</w:t>
      </w:r>
    </w:p>
    <w:p>
      <w:pPr>
        <w:autoSpaceDE w:val="0"/>
        <w:autoSpaceDN w:val="0"/>
        <w:adjustRightInd w:val="0"/>
        <w:spacing w:line="500" w:lineRule="exact"/>
        <w:ind w:firstLine="240" w:firstLineChars="100"/>
        <w:rPr>
          <w:rFonts w:ascii="宋体" w:hAnsi="宋体" w:cs="宋体"/>
          <w:sz w:val="24"/>
          <w:highlight w:val="none"/>
        </w:rPr>
      </w:pPr>
      <w:r>
        <w:rPr>
          <w:rFonts w:hint="eastAsia" w:ascii="宋体" w:hAnsi="宋体" w:cs="宋体"/>
          <w:sz w:val="24"/>
          <w:highlight w:val="none"/>
        </w:rPr>
        <w:t>供应商须使用单位CA证书进行电子响应文件远程解密，详见周口市公共资源电子交易中心网站（网址：</w:t>
      </w:r>
      <w:r>
        <w:rPr>
          <w:rFonts w:hint="eastAsia" w:ascii="宋体" w:hAnsi="宋体" w:cs="宋体"/>
          <w:sz w:val="24"/>
          <w:highlight w:val="none"/>
          <w:lang w:eastAsia="zh-CN"/>
        </w:rPr>
        <w:t>http://jyzx.zhoukou.gov.cn/</w:t>
      </w:r>
      <w:r>
        <w:rPr>
          <w:rFonts w:hint="eastAsia" w:ascii="宋体" w:hAnsi="宋体" w:cs="宋体"/>
          <w:sz w:val="24"/>
          <w:highlight w:val="none"/>
        </w:rPr>
        <w:t>）办事指南</w:t>
      </w:r>
      <w:r>
        <w:rPr>
          <w:rFonts w:hint="eastAsia" w:ascii="宋体" w:hAnsi="宋体" w:cs="宋体"/>
          <w:bCs/>
          <w:sz w:val="24"/>
          <w:highlight w:val="none"/>
        </w:rPr>
        <w:t>《不见面开标远程在线解密会员端操作手册操作指南》</w:t>
      </w:r>
      <w:r>
        <w:rPr>
          <w:rFonts w:hint="eastAsia" w:ascii="宋体" w:hAnsi="宋体" w:cs="宋体"/>
          <w:sz w:val="24"/>
          <w:highlight w:val="none"/>
        </w:rPr>
        <w:t>。</w:t>
      </w:r>
    </w:p>
    <w:p>
      <w:pPr>
        <w:spacing w:line="560" w:lineRule="exact"/>
        <w:rPr>
          <w:rFonts w:ascii="宋体" w:hAnsi="宋体" w:cs="宋体"/>
          <w:b/>
          <w:sz w:val="24"/>
          <w:highlight w:val="none"/>
        </w:rPr>
      </w:pPr>
      <w:r>
        <w:rPr>
          <w:rFonts w:hint="eastAsia" w:ascii="宋体" w:hAnsi="宋体" w:cs="宋体"/>
          <w:b/>
          <w:sz w:val="24"/>
          <w:highlight w:val="none"/>
        </w:rPr>
        <w:t>16.响应性文件的递交</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16.1供应商应在竞争性磋商邀请函中规定的截止日期和时间前，将响应性文件在会员系统成功上传，递交（接收）地点为竞争性磋商邀请函中规定的地址。</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16.2若采购人推迟了响应性文件接收截止时间，采购人和供应商受响应性文件接收截止时间制约的所有权利和义务均应以新的截止时间为准。 </w:t>
      </w:r>
    </w:p>
    <w:p>
      <w:pPr>
        <w:pStyle w:val="61"/>
        <w:spacing w:line="560" w:lineRule="exact"/>
        <w:ind w:firstLine="482" w:firstLineChars="200"/>
        <w:rPr>
          <w:rFonts w:ascii="宋体" w:hAnsi="宋体"/>
          <w:b/>
          <w:sz w:val="24"/>
          <w:szCs w:val="24"/>
          <w:highlight w:val="none"/>
        </w:rPr>
      </w:pPr>
      <w:r>
        <w:rPr>
          <w:rFonts w:hint="eastAsia" w:ascii="宋体" w:hAnsi="宋体"/>
          <w:b/>
          <w:bCs/>
          <w:sz w:val="24"/>
          <w:szCs w:val="24"/>
          <w:highlight w:val="none"/>
        </w:rPr>
        <w:t>17</w:t>
      </w:r>
      <w:r>
        <w:rPr>
          <w:rFonts w:hint="eastAsia" w:ascii="宋体" w:hAnsi="宋体"/>
          <w:b/>
          <w:sz w:val="24"/>
          <w:szCs w:val="24"/>
          <w:highlight w:val="none"/>
        </w:rPr>
        <w:t>.响应性文件的修改和撤回</w:t>
      </w:r>
    </w:p>
    <w:p>
      <w:pPr>
        <w:pStyle w:val="61"/>
        <w:spacing w:line="560" w:lineRule="exact"/>
        <w:ind w:left="279" w:leftChars="133" w:firstLine="240" w:firstLineChars="100"/>
        <w:rPr>
          <w:rFonts w:ascii="宋体" w:hAnsi="宋体"/>
          <w:b/>
          <w:bCs/>
          <w:sz w:val="24"/>
          <w:szCs w:val="24"/>
          <w:highlight w:val="none"/>
        </w:rPr>
      </w:pPr>
      <w:r>
        <w:rPr>
          <w:rFonts w:hint="eastAsia" w:ascii="宋体" w:hAnsi="宋体"/>
          <w:sz w:val="24"/>
          <w:szCs w:val="24"/>
          <w:highlight w:val="none"/>
        </w:rPr>
        <w:t>17.1供应商在提交响应性文件截止时间前，可以对已上传的响应文件进行撤回补充、修改或撤回，补充、修改之后进行再次上传，再次上传内容作为响应性文件的组成部分。</w:t>
      </w:r>
    </w:p>
    <w:p>
      <w:pPr>
        <w:pStyle w:val="61"/>
        <w:spacing w:line="560" w:lineRule="exact"/>
        <w:ind w:firstLine="480" w:firstLineChars="200"/>
        <w:rPr>
          <w:rFonts w:ascii="宋体" w:hAnsi="宋体"/>
          <w:sz w:val="24"/>
          <w:szCs w:val="24"/>
          <w:highlight w:val="none"/>
        </w:rPr>
      </w:pPr>
      <w:r>
        <w:rPr>
          <w:rFonts w:hint="eastAsia" w:ascii="宋体" w:hAnsi="宋体"/>
          <w:sz w:val="24"/>
          <w:szCs w:val="24"/>
          <w:highlight w:val="none"/>
        </w:rPr>
        <w:t xml:space="preserve">17.2响应性文件的补充、修改文件应按照本竞争性磋商文件有关规定进行密封、签署，修改后的加密的电子投标文件须在投标截止时间前成功上传。 </w:t>
      </w:r>
    </w:p>
    <w:p>
      <w:pPr>
        <w:pStyle w:val="61"/>
        <w:spacing w:line="560" w:lineRule="exact"/>
        <w:ind w:firstLine="480" w:firstLineChars="200"/>
        <w:rPr>
          <w:rFonts w:ascii="宋体" w:hAnsi="宋体"/>
          <w:sz w:val="24"/>
          <w:szCs w:val="24"/>
          <w:highlight w:val="none"/>
        </w:rPr>
      </w:pPr>
      <w:r>
        <w:rPr>
          <w:rFonts w:hint="eastAsia" w:ascii="宋体" w:hAnsi="宋体"/>
          <w:sz w:val="24"/>
          <w:szCs w:val="24"/>
          <w:highlight w:val="none"/>
        </w:rPr>
        <w:t>17.3供应商在响应性文件接收截止时间后不得修改、撤回响应性文件。供应商在响应性文件接收截止时间后修改响应性文件的，将被拒绝接受。</w:t>
      </w:r>
    </w:p>
    <w:p>
      <w:pPr>
        <w:pStyle w:val="61"/>
        <w:spacing w:line="560" w:lineRule="exact"/>
        <w:ind w:firstLine="480" w:firstLineChars="200"/>
        <w:rPr>
          <w:rFonts w:ascii="宋体" w:hAnsi="宋体"/>
          <w:sz w:val="24"/>
          <w:szCs w:val="24"/>
          <w:highlight w:val="none"/>
        </w:rPr>
      </w:pPr>
      <w:r>
        <w:rPr>
          <w:rFonts w:hint="eastAsia" w:ascii="宋体" w:hAnsi="宋体"/>
          <w:sz w:val="24"/>
          <w:szCs w:val="24"/>
          <w:highlight w:val="none"/>
        </w:rPr>
        <w:t>17.4供应商有下列情形之一的，采购人将拒绝接受其响应性文件：</w:t>
      </w:r>
    </w:p>
    <w:p>
      <w:pPr>
        <w:pStyle w:val="61"/>
        <w:spacing w:line="560" w:lineRule="exact"/>
        <w:ind w:firstLine="480" w:firstLineChars="200"/>
        <w:rPr>
          <w:rFonts w:ascii="宋体" w:hAnsi="宋体"/>
          <w:sz w:val="24"/>
          <w:szCs w:val="24"/>
          <w:highlight w:val="none"/>
        </w:rPr>
      </w:pPr>
      <w:r>
        <w:rPr>
          <w:rFonts w:hint="eastAsia" w:ascii="宋体" w:hAnsi="宋体"/>
          <w:sz w:val="24"/>
          <w:szCs w:val="24"/>
          <w:highlight w:val="none"/>
        </w:rPr>
        <w:t>17.4.1在竞争性磋商文件规定的响应性文件接收截止时间之后递交响应性文件的；</w:t>
      </w:r>
    </w:p>
    <w:p>
      <w:pPr>
        <w:pStyle w:val="61"/>
        <w:spacing w:line="560" w:lineRule="exact"/>
        <w:ind w:firstLine="480" w:firstLineChars="200"/>
        <w:rPr>
          <w:rFonts w:ascii="宋体" w:hAnsi="宋体"/>
          <w:sz w:val="24"/>
          <w:szCs w:val="24"/>
          <w:highlight w:val="none"/>
        </w:rPr>
      </w:pPr>
      <w:r>
        <w:rPr>
          <w:rFonts w:hint="eastAsia" w:ascii="宋体" w:hAnsi="宋体"/>
          <w:sz w:val="24"/>
          <w:szCs w:val="24"/>
          <w:highlight w:val="none"/>
        </w:rPr>
        <w:t>17.4.2响应性文件未按竞争性磋商文件规定密封、签署、盖章的；</w:t>
      </w:r>
    </w:p>
    <w:p>
      <w:pPr>
        <w:pStyle w:val="61"/>
        <w:spacing w:line="560" w:lineRule="exact"/>
        <w:ind w:firstLine="480" w:firstLineChars="200"/>
        <w:rPr>
          <w:rFonts w:ascii="宋体" w:hAnsi="宋体"/>
          <w:b/>
          <w:sz w:val="24"/>
          <w:szCs w:val="24"/>
          <w:highlight w:val="none"/>
        </w:rPr>
      </w:pPr>
      <w:r>
        <w:rPr>
          <w:rFonts w:hint="eastAsia" w:ascii="宋体" w:hAnsi="宋体"/>
          <w:sz w:val="24"/>
          <w:szCs w:val="24"/>
          <w:highlight w:val="none"/>
        </w:rPr>
        <w:t>17.4.3一个供应商不止递交一套响应性文件的。</w:t>
      </w:r>
    </w:p>
    <w:p>
      <w:pPr>
        <w:spacing w:line="720" w:lineRule="auto"/>
        <w:jc w:val="center"/>
        <w:rPr>
          <w:rFonts w:ascii="宋体" w:hAnsi="宋体" w:cs="宋体"/>
          <w:b/>
          <w:sz w:val="24"/>
          <w:highlight w:val="none"/>
        </w:rPr>
      </w:pPr>
      <w:r>
        <w:rPr>
          <w:rFonts w:hint="eastAsia" w:ascii="宋体" w:hAnsi="宋体" w:cs="宋体"/>
          <w:b/>
          <w:sz w:val="24"/>
          <w:highlight w:val="none"/>
        </w:rPr>
        <w:t>五、竞争性磋商</w:t>
      </w:r>
    </w:p>
    <w:p>
      <w:pPr>
        <w:spacing w:line="560" w:lineRule="exact"/>
        <w:ind w:firstLine="482" w:firstLineChars="200"/>
        <w:rPr>
          <w:rFonts w:ascii="宋体" w:hAnsi="宋体" w:cs="宋体"/>
          <w:b/>
          <w:sz w:val="24"/>
          <w:highlight w:val="none"/>
          <w:lang w:val="zh-CN"/>
        </w:rPr>
      </w:pPr>
      <w:r>
        <w:rPr>
          <w:rFonts w:hint="eastAsia" w:ascii="宋体" w:hAnsi="宋体" w:cs="宋体"/>
          <w:b/>
          <w:sz w:val="24"/>
          <w:highlight w:val="none"/>
        </w:rPr>
        <w:t>18.组建</w:t>
      </w:r>
      <w:r>
        <w:rPr>
          <w:rFonts w:hint="eastAsia" w:ascii="宋体" w:hAnsi="宋体" w:cs="宋体"/>
          <w:b/>
          <w:sz w:val="24"/>
          <w:highlight w:val="none"/>
          <w:lang w:val="zh-CN"/>
        </w:rPr>
        <w:t>竞争性磋商小组</w:t>
      </w:r>
    </w:p>
    <w:p>
      <w:pPr>
        <w:spacing w:line="560" w:lineRule="exact"/>
        <w:ind w:firstLine="480" w:firstLineChars="200"/>
        <w:rPr>
          <w:rFonts w:ascii="宋体" w:hAnsi="宋体" w:cs="宋体"/>
          <w:kern w:val="0"/>
          <w:sz w:val="24"/>
          <w:highlight w:val="none"/>
        </w:rPr>
      </w:pPr>
      <w:r>
        <w:rPr>
          <w:rFonts w:hint="eastAsia" w:ascii="宋体" w:hAnsi="宋体" w:cs="宋体"/>
          <w:kern w:val="0"/>
          <w:sz w:val="24"/>
          <w:highlight w:val="none"/>
        </w:rPr>
        <w:t>18.1采购人根据采购项目的特点依法组建竞争性磋商小组。</w:t>
      </w:r>
    </w:p>
    <w:p>
      <w:pPr>
        <w:spacing w:line="560" w:lineRule="exact"/>
        <w:ind w:firstLine="480" w:firstLineChars="200"/>
        <w:rPr>
          <w:rFonts w:ascii="宋体" w:hAnsi="宋体" w:cs="宋体"/>
          <w:kern w:val="0"/>
          <w:sz w:val="24"/>
          <w:highlight w:val="none"/>
        </w:rPr>
      </w:pPr>
      <w:r>
        <w:rPr>
          <w:rFonts w:hint="eastAsia" w:ascii="宋体" w:hAnsi="宋体" w:cs="宋体"/>
          <w:kern w:val="0"/>
          <w:sz w:val="24"/>
          <w:highlight w:val="none"/>
        </w:rPr>
        <w:t>18.2竞争性磋商小组</w:t>
      </w:r>
      <w:r>
        <w:rPr>
          <w:rFonts w:hint="eastAsia" w:ascii="宋体" w:hAnsi="宋体" w:cs="宋体"/>
          <w:bCs/>
          <w:kern w:val="0"/>
          <w:sz w:val="24"/>
          <w:highlight w:val="none"/>
        </w:rPr>
        <w:t>确认竞争性磋商文件，并</w:t>
      </w:r>
      <w:r>
        <w:rPr>
          <w:rFonts w:hint="eastAsia" w:ascii="宋体" w:hAnsi="宋体" w:cs="宋体"/>
          <w:kern w:val="0"/>
          <w:sz w:val="24"/>
          <w:highlight w:val="none"/>
        </w:rPr>
        <w:t>负责具体评审事务，根据有关法律法规和竞争性磋商文件规定的评审程序，按照评审方法及评审标准独立履行竞争性磋商小组职责。</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19.资格性和符合性审查</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exact"/>
        <w:ind w:firstLine="480" w:firstLineChars="200"/>
        <w:rPr>
          <w:rFonts w:ascii="宋体" w:hAnsi="宋体" w:cs="宋体"/>
          <w:b/>
          <w:bCs/>
          <w:sz w:val="24"/>
          <w:highlight w:val="none"/>
        </w:rPr>
      </w:pPr>
      <w:r>
        <w:rPr>
          <w:rFonts w:hint="eastAsia" w:ascii="宋体" w:hAnsi="宋体" w:cs="宋体"/>
          <w:sz w:val="24"/>
          <w:highlight w:val="none"/>
        </w:rPr>
        <w:t>19.1.1资格性审查的内容包括：竞争性磋商文件规定的供应商资格条件；</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19.2.1符合性审查的内容包括：</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（1）响应性文件的有效性(签署情况等)；</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（2）响应性文件的完整性；</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（3）对竞争性磋商文件的响应程度（是否存在重大负偏离等）。 </w:t>
      </w:r>
    </w:p>
    <w:p>
      <w:pPr>
        <w:spacing w:line="560" w:lineRule="exact"/>
        <w:ind w:firstLine="480" w:firstLineChars="200"/>
        <w:rPr>
          <w:rFonts w:ascii="宋体" w:hAnsi="宋体" w:cs="宋体"/>
          <w:sz w:val="24"/>
          <w:highlight w:val="none"/>
        </w:rPr>
      </w:pPr>
      <w:r>
        <w:rPr>
          <w:rFonts w:hint="eastAsia" w:ascii="宋体" w:hAnsi="宋体" w:cs="宋体"/>
          <w:sz w:val="24"/>
          <w:highlight w:val="none"/>
          <w:u w:val="single"/>
        </w:rPr>
        <w:t>以上资格性审查和符合性审查的内容只要有一条不满足，则响应性文件无效，将不进入竞争性磋商程序。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注意事项：资格性、符合性证明材料见竞争性磋商文件第四章规定。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19.3实质性响应的响应性文件是指与竞争性磋商文件的全部条款、条件和规格相符，没有重大偏离；重大负偏离的认定须经竞争性磋商小组三分之二以上同意。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19.5如果响应性文件实质上没有响应竞争性磋商文件的要求，将作为无效处理，供应商不得再对响应性文件进行任何修正从而使其响应性文件成为实质上响应的文件；</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19.6竞争性磋商小组审定响应性文件的响应性只根据响应性文件本身的内容而不寻求外部证据。</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19.7凡有下列情况之一的，其响应性文件也被视为未实质性响应竞争性磋商文件，按照无效处理（不再参加竞争性磋商）：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19.7.1未按竞争性磋商文件规定要求</w:t>
      </w:r>
      <w:r>
        <w:rPr>
          <w:rFonts w:hint="eastAsia" w:ascii="宋体" w:hAnsi="宋体" w:cs="宋体"/>
          <w:sz w:val="24"/>
          <w:highlight w:val="none"/>
          <w:lang w:val="zh-CN"/>
        </w:rPr>
        <w:t>签署、盖章的；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19.7.2资格证明文件不全的，或不符合竞争性磋商文件中规定的资格要求的；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19.7.3供应商代表未能出具有效身份证明，或与身份不符的；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19.7.4不符合竞争性磋商文件规定的实质性要求的；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19.7.5响应性文件内容不齐全或内容虚假的；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19.7.6响应性文件的实质性内容未使用中文表述；</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19.7.7响应性文件的内容修改处未按规定签名或盖章的；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19.7.8违反法律、行政法规、竞争性磋商文件规定的其他情形的。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19.7.9不同供应商的电子投标（响应）文件上传计算机的网卡 MAC 地址、CPU 序列号和硬盘序列号等硬件信息相同的;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19.7.10不同供应商的投标（响应）文件由同一电子设备编制，打印、复印、加密或者上传的；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19.7.11不同供应商的投标（响应）文件由同一人送达或者分发，或者不同供应商联系人为同一人或不同联系人的联系电话一致的；</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19.7.12不同供应商的投标（响应）文件的内容存在两处以上细节错误一致；</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19.7.13不同供应商的法定代表人、委托代理人、项目经理、项目负责人等由同一个单位缴纳社会保险或者领取报酬的；</w:t>
      </w:r>
    </w:p>
    <w:p>
      <w:pPr>
        <w:spacing w:line="360" w:lineRule="auto"/>
        <w:ind w:firstLine="480" w:firstLineChars="200"/>
        <w:rPr>
          <w:highlight w:val="none"/>
        </w:rPr>
      </w:pPr>
      <w:r>
        <w:rPr>
          <w:rFonts w:hint="eastAsia" w:ascii="宋体" w:hAnsi="宋体" w:cs="宋体"/>
          <w:sz w:val="24"/>
          <w:highlight w:val="none"/>
        </w:rPr>
        <w:t>19.7.14不同供应商投标（响应）文件中法定代表人或者负责人签字出自同一人之手。</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19.8在评审过程中，竞争性磋商小组发现供应商有下列情形之一的，视为供应商相互串通，按照无效处理并依据法律、法规追究其相关责任。具体表现形式如下：</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19.8.1不同供应商的响应性文件互相混装的；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19.8.2不同供应商授权同一人作为供应商委托代理人的；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19.8.3不同供应商的响应性文件载明的项目管理成员为同一人的；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19.8.4有证据证明供应商与采购人、采购代理机构或者其他供应商串通的其他情形；</w:t>
      </w:r>
    </w:p>
    <w:p>
      <w:pPr>
        <w:spacing w:line="560" w:lineRule="exact"/>
        <w:ind w:firstLine="480" w:firstLineChars="200"/>
        <w:rPr>
          <w:rFonts w:ascii="宋体" w:hAnsi="宋体" w:cs="宋体"/>
          <w:color w:val="FF0000"/>
          <w:sz w:val="24"/>
          <w:highlight w:val="none"/>
        </w:rPr>
      </w:pPr>
      <w:r>
        <w:rPr>
          <w:rFonts w:hint="eastAsia" w:ascii="宋体" w:hAnsi="宋体" w:cs="宋体"/>
          <w:sz w:val="24"/>
          <w:highlight w:val="none"/>
        </w:rPr>
        <w:t>19.8.5竞争性磋商小组认定的其他串通情形。</w:t>
      </w:r>
    </w:p>
    <w:p>
      <w:pPr>
        <w:pStyle w:val="43"/>
        <w:rPr>
          <w:rFonts w:ascii="宋体" w:hAnsi="宋体" w:cs="宋体"/>
          <w:sz w:val="24"/>
          <w:szCs w:val="24"/>
          <w:highlight w:val="none"/>
        </w:rPr>
      </w:pPr>
    </w:p>
    <w:tbl>
      <w:tblPr>
        <w:tblStyle w:val="29"/>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pPr>
              <w:pStyle w:val="78"/>
              <w:pBdr>
                <w:bottom w:val="none" w:color="auto" w:sz="0" w:space="0"/>
              </w:pBdr>
              <w:tabs>
                <w:tab w:val="clear" w:pos="4153"/>
                <w:tab w:val="clear" w:pos="8306"/>
              </w:tabs>
              <w:snapToGrid w:val="0"/>
              <w:spacing w:line="360" w:lineRule="auto"/>
              <w:ind w:right="-10"/>
              <w:textAlignment w:val="auto"/>
              <w:rPr>
                <w:rFonts w:ascii="宋体" w:hAnsi="宋体" w:cs="宋体"/>
                <w:b/>
                <w:kern w:val="2"/>
                <w:szCs w:val="24"/>
                <w:highlight w:val="none"/>
              </w:rPr>
            </w:pPr>
            <w:r>
              <w:rPr>
                <w:rFonts w:hint="eastAsia" w:ascii="宋体" w:hAnsi="宋体" w:cs="宋体"/>
                <w:b/>
                <w:kern w:val="2"/>
                <w:szCs w:val="24"/>
                <w:highlight w:val="none"/>
              </w:rPr>
              <w:t>项目符合性审查表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序号</w:t>
            </w:r>
          </w:p>
        </w:tc>
        <w:tc>
          <w:tcPr>
            <w:tcW w:w="2665" w:type="dxa"/>
            <w:tcBorders>
              <w:bottom w:val="single" w:color="auto" w:sz="4" w:space="0"/>
            </w:tcBorders>
            <w:vAlign w:val="center"/>
          </w:tcPr>
          <w:p>
            <w:pPr>
              <w:pStyle w:val="78"/>
              <w:pBdr>
                <w:bottom w:val="none" w:color="auto" w:sz="0" w:space="0"/>
              </w:pBdr>
              <w:tabs>
                <w:tab w:val="clear" w:pos="4153"/>
                <w:tab w:val="clear" w:pos="8306"/>
              </w:tabs>
              <w:snapToGrid w:val="0"/>
              <w:spacing w:line="360" w:lineRule="auto"/>
              <w:ind w:right="-10"/>
              <w:textAlignment w:val="auto"/>
              <w:rPr>
                <w:rFonts w:ascii="宋体" w:hAnsi="宋体" w:cs="宋体"/>
                <w:kern w:val="2"/>
                <w:szCs w:val="24"/>
                <w:highlight w:val="none"/>
              </w:rPr>
            </w:pPr>
            <w:r>
              <w:rPr>
                <w:rFonts w:hint="eastAsia" w:ascii="宋体" w:hAnsi="宋体" w:cs="宋体"/>
                <w:kern w:val="2"/>
                <w:szCs w:val="24"/>
                <w:highlight w:val="none"/>
              </w:rPr>
              <w:t>指标名称</w:t>
            </w:r>
          </w:p>
        </w:tc>
        <w:tc>
          <w:tcPr>
            <w:tcW w:w="1937"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指标要求</w:t>
            </w:r>
          </w:p>
        </w:tc>
        <w:tc>
          <w:tcPr>
            <w:tcW w:w="825"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是否</w:t>
            </w:r>
          </w:p>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通过</w:t>
            </w:r>
          </w:p>
        </w:tc>
        <w:tc>
          <w:tcPr>
            <w:tcW w:w="2371" w:type="dxa"/>
            <w:tcBorders>
              <w:bottom w:val="single" w:color="auto" w:sz="4" w:space="0"/>
            </w:tcBorders>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投标文件格式及</w:t>
            </w:r>
          </w:p>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营业执照</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2</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法定代表人及身份证</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3</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纳税凭证和社保证明</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4</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财务审计报告</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5</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“信用中国”“中国政府采购网”查询</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6</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投标文件签字盖章格式</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7</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合格供应商的声明函和承诺书</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8</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服务期</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9</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bCs/>
                <w:sz w:val="24"/>
                <w:highlight w:val="none"/>
              </w:rPr>
              <w:t>投标有效期</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10</w:t>
            </w:r>
          </w:p>
        </w:tc>
        <w:tc>
          <w:tcPr>
            <w:tcW w:w="2665"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服务技术要求</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11</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其他实质性要求</w:t>
            </w:r>
          </w:p>
        </w:tc>
        <w:tc>
          <w:tcPr>
            <w:tcW w:w="1937" w:type="dxa"/>
            <w:vAlign w:val="center"/>
          </w:tcPr>
          <w:p>
            <w:pPr>
              <w:spacing w:after="50" w:line="360" w:lineRule="auto"/>
              <w:ind w:right="-10"/>
              <w:jc w:val="center"/>
              <w:rPr>
                <w:rFonts w:ascii="宋体" w:hAnsi="宋体" w:cs="宋体"/>
                <w:sz w:val="24"/>
                <w:highlight w:val="none"/>
              </w:rPr>
            </w:pPr>
            <w:r>
              <w:rPr>
                <w:rFonts w:hint="eastAsia" w:ascii="宋体" w:hAnsi="宋体" w:cs="宋体"/>
                <w:sz w:val="24"/>
                <w:highlight w:val="none"/>
              </w:rPr>
              <w:t>见招标文件</w:t>
            </w: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见投标文件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12</w:t>
            </w:r>
          </w:p>
        </w:tc>
        <w:tc>
          <w:tcPr>
            <w:tcW w:w="2665" w:type="dxa"/>
            <w:vAlign w:val="center"/>
          </w:tcPr>
          <w:p>
            <w:pPr>
              <w:spacing w:after="50" w:line="360" w:lineRule="auto"/>
              <w:ind w:right="-10"/>
              <w:jc w:val="center"/>
              <w:rPr>
                <w:rFonts w:ascii="宋体" w:hAnsi="宋体" w:cs="宋体"/>
                <w:bCs/>
                <w:sz w:val="24"/>
                <w:highlight w:val="none"/>
              </w:rPr>
            </w:pPr>
          </w:p>
        </w:tc>
        <w:tc>
          <w:tcPr>
            <w:tcW w:w="1937" w:type="dxa"/>
            <w:vAlign w:val="center"/>
          </w:tcPr>
          <w:p>
            <w:pPr>
              <w:spacing w:after="50" w:line="360" w:lineRule="auto"/>
              <w:ind w:right="-10"/>
              <w:jc w:val="center"/>
              <w:rPr>
                <w:rFonts w:ascii="宋体" w:hAnsi="宋体" w:cs="宋体"/>
                <w:sz w:val="24"/>
                <w:highlight w:val="none"/>
              </w:rPr>
            </w:pP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13</w:t>
            </w:r>
          </w:p>
        </w:tc>
        <w:tc>
          <w:tcPr>
            <w:tcW w:w="2665" w:type="dxa"/>
            <w:vAlign w:val="center"/>
          </w:tcPr>
          <w:p>
            <w:pPr>
              <w:spacing w:after="50" w:line="360" w:lineRule="auto"/>
              <w:ind w:right="-10"/>
              <w:jc w:val="center"/>
              <w:rPr>
                <w:rFonts w:ascii="宋体" w:hAnsi="宋体" w:cs="宋体"/>
                <w:sz w:val="24"/>
                <w:highlight w:val="none"/>
              </w:rPr>
            </w:pPr>
          </w:p>
        </w:tc>
        <w:tc>
          <w:tcPr>
            <w:tcW w:w="1937" w:type="dxa"/>
            <w:vAlign w:val="center"/>
          </w:tcPr>
          <w:p>
            <w:pPr>
              <w:spacing w:after="50" w:line="360" w:lineRule="auto"/>
              <w:ind w:right="-10"/>
              <w:jc w:val="center"/>
              <w:rPr>
                <w:rFonts w:ascii="宋体" w:hAnsi="宋体" w:cs="宋体"/>
                <w:sz w:val="24"/>
                <w:highlight w:val="none"/>
              </w:rPr>
            </w:pPr>
          </w:p>
        </w:tc>
        <w:tc>
          <w:tcPr>
            <w:tcW w:w="825" w:type="dxa"/>
            <w:vAlign w:val="center"/>
          </w:tcPr>
          <w:p>
            <w:pPr>
              <w:adjustRightInd w:val="0"/>
              <w:snapToGrid w:val="0"/>
              <w:spacing w:line="360" w:lineRule="auto"/>
              <w:ind w:right="-10"/>
              <w:rPr>
                <w:rFonts w:ascii="宋体" w:hAnsi="宋体" w:cs="宋体"/>
                <w:sz w:val="24"/>
                <w:highlight w:val="none"/>
              </w:rPr>
            </w:pPr>
          </w:p>
        </w:tc>
        <w:tc>
          <w:tcPr>
            <w:tcW w:w="2371" w:type="dxa"/>
            <w:vAlign w:val="center"/>
          </w:tcPr>
          <w:p>
            <w:pPr>
              <w:adjustRightInd w:val="0"/>
              <w:snapToGrid w:val="0"/>
              <w:spacing w:line="360" w:lineRule="auto"/>
              <w:ind w:right="-10"/>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sz w:val="24"/>
                <w:highlight w:val="none"/>
              </w:rPr>
              <w:t>14</w:t>
            </w:r>
          </w:p>
        </w:tc>
        <w:tc>
          <w:tcPr>
            <w:tcW w:w="2665" w:type="dxa"/>
            <w:vAlign w:val="center"/>
          </w:tcPr>
          <w:p>
            <w:pPr>
              <w:spacing w:after="50" w:line="360" w:lineRule="auto"/>
              <w:ind w:right="-10"/>
              <w:jc w:val="center"/>
              <w:rPr>
                <w:rFonts w:ascii="宋体" w:hAnsi="宋体" w:cs="宋体"/>
                <w:bCs/>
                <w:sz w:val="24"/>
                <w:highlight w:val="none"/>
              </w:rPr>
            </w:pPr>
            <w:r>
              <w:rPr>
                <w:rFonts w:hint="eastAsia" w:ascii="宋体" w:hAnsi="宋体" w:cs="宋体"/>
                <w:bCs/>
                <w:sz w:val="24"/>
                <w:highlight w:val="none"/>
              </w:rPr>
              <w:t>结论</w:t>
            </w:r>
          </w:p>
        </w:tc>
        <w:tc>
          <w:tcPr>
            <w:tcW w:w="5133" w:type="dxa"/>
            <w:gridSpan w:val="3"/>
            <w:vAlign w:val="center"/>
          </w:tcPr>
          <w:p>
            <w:pPr>
              <w:adjustRightInd w:val="0"/>
              <w:snapToGrid w:val="0"/>
              <w:spacing w:line="360" w:lineRule="auto"/>
              <w:ind w:right="-10"/>
              <w:jc w:val="center"/>
              <w:rPr>
                <w:rFonts w:ascii="宋体" w:hAnsi="宋体" w:cs="宋体"/>
                <w:sz w:val="24"/>
                <w:highlight w:val="none"/>
              </w:rPr>
            </w:pPr>
            <w:r>
              <w:rPr>
                <w:rFonts w:hint="eastAsia" w:ascii="宋体" w:hAnsi="宋体" w:cs="宋体"/>
                <w:bCs/>
                <w:sz w:val="24"/>
                <w:highlight w:val="none"/>
              </w:rPr>
              <w:t>是否通过审查</w:t>
            </w:r>
          </w:p>
        </w:tc>
      </w:tr>
    </w:tbl>
    <w:p>
      <w:pPr>
        <w:pStyle w:val="43"/>
        <w:rPr>
          <w:rFonts w:ascii="宋体" w:hAnsi="宋体" w:cs="宋体"/>
          <w:sz w:val="24"/>
          <w:szCs w:val="24"/>
          <w:highlight w:val="none"/>
        </w:rPr>
      </w:pPr>
    </w:p>
    <w:p>
      <w:pPr>
        <w:pStyle w:val="43"/>
        <w:rPr>
          <w:rFonts w:ascii="宋体" w:hAnsi="宋体" w:cs="宋体"/>
          <w:sz w:val="24"/>
          <w:szCs w:val="24"/>
          <w:highlight w:val="none"/>
        </w:rPr>
      </w:pP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20.响应性文件的澄清</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20.3供应商拒不进行澄清、说明、补正的，或者不能在竞争性磋商小组规定时间内作出书面澄清、说明、补正的，其响应性文件将被作为无效处理。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20.4供应商的书面澄清材料作为响应性文件的补充。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20.5竞争性磋商小组不得接受供应商主动提出的澄清和解释。 </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20.6并非每个供应商都将被询问、澄清。</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21.竞争性磋商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21.1资格性审查和符合性审查合格的供应商，将进入本次竞争性磋商程序。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21.2竞争性磋商将按照供应商的签到顺序进行。</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21.3磋商内容包括：</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21.3.1按照竞争性磋商文件中商务部分的内容，对照供应商提交的响应文件逐一进行比较各项指标和要求。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21.3.2按照竞争性磋商文件中技术部分的内容，对照供应商提交的响应文件逐一进行比较各项指标和要求。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21.3.3按照竞争性磋商文件中合同条款部分的内容，对照供应商提交的响应文件逐一进行比较各项指标和要求。</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21.3.4在磋商中，磋商的任何一方不得透露与磋商有关的其他供应商的技术资料及其他信息。</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21.4</w:t>
      </w:r>
      <w:r>
        <w:rPr>
          <w:rFonts w:hint="eastAsia" w:ascii="宋体" w:hAnsi="宋体" w:cs="宋体"/>
          <w:sz w:val="24"/>
          <w:highlight w:val="none"/>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rPr>
        <w:t>21.4.1</w:t>
      </w:r>
      <w:r>
        <w:rPr>
          <w:rFonts w:hint="eastAsia" w:ascii="宋体" w:hAnsi="宋体" w:cs="宋体"/>
          <w:sz w:val="24"/>
          <w:highlight w:val="none"/>
          <w:lang w:val="zh-CN"/>
        </w:rPr>
        <w:t>对竞争性磋商文件作出实质性变动是竞争性磋商文件的有效组成部分，竞争性磋商小组应当及时以书面形式同时通知所有参加竞争性磋商的供应商。</w:t>
      </w:r>
    </w:p>
    <w:p>
      <w:pPr>
        <w:spacing w:line="560" w:lineRule="exact"/>
        <w:ind w:firstLine="480" w:firstLineChars="200"/>
        <w:rPr>
          <w:rFonts w:ascii="宋体" w:hAnsi="宋体" w:cs="宋体"/>
          <w:sz w:val="24"/>
          <w:highlight w:val="none"/>
          <w:lang w:val="zh-CN"/>
        </w:rPr>
      </w:pPr>
      <w:r>
        <w:rPr>
          <w:rFonts w:hint="eastAsia" w:ascii="宋体" w:hAnsi="宋体" w:cs="宋体"/>
          <w:sz w:val="24"/>
          <w:highlight w:val="none"/>
          <w:lang w:val="zh-CN"/>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21.5报价</w:t>
      </w:r>
    </w:p>
    <w:p>
      <w:pPr>
        <w:pStyle w:val="37"/>
        <w:ind w:firstLine="480" w:firstLineChars="200"/>
        <w:rPr>
          <w:rFonts w:ascii="宋体" w:hAnsi="宋体" w:cs="宋体"/>
          <w:color w:val="FF0000"/>
          <w:sz w:val="24"/>
          <w:highlight w:val="none"/>
        </w:rPr>
      </w:pPr>
      <w:r>
        <w:rPr>
          <w:rFonts w:hint="eastAsia" w:ascii="宋体" w:hAnsi="宋体" w:cs="宋体"/>
          <w:color w:val="auto"/>
          <w:sz w:val="24"/>
          <w:highlight w:val="none"/>
          <w:lang w:val="zh-CN"/>
        </w:rPr>
        <w:t>一次报价依据</w:t>
      </w:r>
      <w:r>
        <w:rPr>
          <w:rFonts w:hint="eastAsia" w:ascii="宋体" w:hAnsi="宋体" w:cs="宋体"/>
          <w:color w:val="auto"/>
          <w:sz w:val="24"/>
          <w:highlight w:val="none"/>
        </w:rPr>
        <w:t>是</w:t>
      </w:r>
      <w:r>
        <w:rPr>
          <w:rFonts w:hint="eastAsia" w:ascii="宋体" w:hAnsi="宋体" w:cs="宋体"/>
          <w:color w:val="auto"/>
          <w:sz w:val="24"/>
          <w:highlight w:val="none"/>
          <w:lang w:val="zh-CN"/>
        </w:rPr>
        <w:t>供应商的投标函和开标记录表</w:t>
      </w:r>
    </w:p>
    <w:p>
      <w:pPr>
        <w:pStyle w:val="37"/>
        <w:ind w:firstLine="240"/>
        <w:rPr>
          <w:rFonts w:ascii="宋体" w:hAnsi="宋体" w:cs="宋体"/>
          <w:color w:val="FF0000"/>
          <w:sz w:val="24"/>
          <w:highlight w:val="none"/>
        </w:rPr>
      </w:pPr>
    </w:p>
    <w:p>
      <w:pPr>
        <w:rPr>
          <w:rFonts w:hint="eastAsia" w:ascii="宋体" w:hAnsi="宋体" w:cs="宋体"/>
          <w:b/>
          <w:sz w:val="24"/>
          <w:highlight w:val="none"/>
        </w:rPr>
      </w:pPr>
      <w:r>
        <w:rPr>
          <w:rFonts w:hint="eastAsia" w:ascii="宋体" w:hAnsi="宋体" w:cs="宋体"/>
          <w:b/>
          <w:sz w:val="24"/>
          <w:highlight w:val="none"/>
        </w:rPr>
        <w:br w:type="page"/>
      </w:r>
    </w:p>
    <w:p>
      <w:pPr>
        <w:spacing w:line="720" w:lineRule="auto"/>
        <w:jc w:val="center"/>
        <w:rPr>
          <w:rFonts w:ascii="宋体" w:hAnsi="宋体" w:cs="宋体"/>
          <w:b/>
          <w:color w:val="0C0C0C" w:themeColor="text1" w:themeTint="F2"/>
          <w:sz w:val="24"/>
          <w:highlight w:val="none"/>
        </w:rPr>
      </w:pPr>
      <w:r>
        <w:rPr>
          <w:rFonts w:hint="eastAsia" w:ascii="宋体" w:hAnsi="宋体" w:cs="宋体"/>
          <w:b/>
          <w:color w:val="0C0C0C" w:themeColor="text1" w:themeTint="F2"/>
          <w:sz w:val="24"/>
          <w:highlight w:val="none"/>
        </w:rPr>
        <w:t>六、评定标准</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22.竞争性磋商过程及保密原则</w:t>
      </w:r>
    </w:p>
    <w:p>
      <w:pPr>
        <w:spacing w:line="460" w:lineRule="exact"/>
        <w:ind w:firstLine="480" w:firstLineChars="200"/>
        <w:rPr>
          <w:rFonts w:ascii="宋体" w:hAnsi="宋体" w:cs="宋体"/>
          <w:bCs/>
          <w:sz w:val="24"/>
          <w:highlight w:val="none"/>
        </w:rPr>
      </w:pPr>
      <w:r>
        <w:rPr>
          <w:rFonts w:hint="eastAsia" w:ascii="宋体" w:hAnsi="宋体" w:cs="宋体"/>
          <w:bCs/>
          <w:sz w:val="24"/>
          <w:highlight w:val="none"/>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exact"/>
        <w:ind w:firstLine="480" w:firstLineChars="200"/>
        <w:rPr>
          <w:rFonts w:hint="eastAsia" w:ascii="宋体" w:hAnsi="宋体" w:cs="宋体"/>
          <w:bCs/>
          <w:sz w:val="24"/>
          <w:highlight w:val="none"/>
        </w:rPr>
      </w:pPr>
      <w:r>
        <w:rPr>
          <w:rFonts w:hint="eastAsia" w:ascii="宋体" w:hAnsi="宋体" w:cs="宋体"/>
          <w:bCs/>
          <w:sz w:val="24"/>
          <w:highlight w:val="none"/>
        </w:rPr>
        <w:t>采购代理机构在评标结束后1个工作日内将评标报告送采购人。采购人自收到评标报告之日起５个工作日内，在评标报告确定的中标候选人名单中确定中标人。</w:t>
      </w:r>
    </w:p>
    <w:p>
      <w:pPr>
        <w:pStyle w:val="16"/>
        <w:spacing w:after="0" w:line="560" w:lineRule="exact"/>
        <w:ind w:left="0" w:leftChars="0" w:firstLine="480" w:firstLineChars="200"/>
        <w:rPr>
          <w:rFonts w:ascii="宋体" w:hAnsi="宋体" w:cs="宋体"/>
          <w:bCs/>
          <w:sz w:val="24"/>
          <w:highlight w:val="none"/>
        </w:rPr>
      </w:pPr>
      <w:r>
        <w:rPr>
          <w:rFonts w:hint="eastAsia" w:ascii="宋体" w:hAnsi="宋体" w:cs="宋体"/>
          <w:bCs/>
          <w:sz w:val="24"/>
          <w:highlight w:val="none"/>
        </w:rPr>
        <w:t>22.2对通过初步审查的响应文件，采用百分制综合评分法进行评价。</w:t>
      </w:r>
    </w:p>
    <w:p>
      <w:pPr>
        <w:spacing w:line="360" w:lineRule="auto"/>
        <w:ind w:right="-92" w:rightChars="-44"/>
        <w:rPr>
          <w:rFonts w:hint="eastAsia" w:ascii="宋体" w:hAnsi="宋体" w:cs="宋体"/>
          <w:sz w:val="24"/>
          <w:highlight w:val="none"/>
        </w:rPr>
      </w:pPr>
      <w:r>
        <w:rPr>
          <w:rFonts w:hint="eastAsia" w:ascii="宋体" w:hAnsi="宋体" w:cs="宋体"/>
          <w:sz w:val="24"/>
          <w:highlight w:val="none"/>
        </w:rPr>
        <w:t>评标方法：</w:t>
      </w:r>
    </w:p>
    <w:tbl>
      <w:tblPr>
        <w:tblStyle w:val="2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2154"/>
        <w:gridCol w:w="3426"/>
        <w:gridCol w:w="2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jc w:val="center"/>
        </w:trPr>
        <w:tc>
          <w:tcPr>
            <w:tcW w:w="627" w:type="pct"/>
            <w:vAlign w:val="center"/>
          </w:tcPr>
          <w:p>
            <w:pPr>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评分指标</w:t>
            </w:r>
          </w:p>
        </w:tc>
        <w:tc>
          <w:tcPr>
            <w:tcW w:w="1189" w:type="pct"/>
            <w:vAlign w:val="center"/>
          </w:tcPr>
          <w:p>
            <w:pPr>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分值</w:t>
            </w:r>
          </w:p>
        </w:tc>
        <w:tc>
          <w:tcPr>
            <w:tcW w:w="1891" w:type="pct"/>
            <w:vAlign w:val="center"/>
          </w:tcPr>
          <w:p>
            <w:pPr>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指标说明及评分标准</w:t>
            </w:r>
          </w:p>
        </w:tc>
        <w:tc>
          <w:tcPr>
            <w:tcW w:w="1291" w:type="pct"/>
            <w:vAlign w:val="center"/>
          </w:tcPr>
          <w:p>
            <w:pPr>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Align w:val="center"/>
          </w:tcPr>
          <w:p>
            <w:pPr>
              <w:widowControl/>
              <w:jc w:val="left"/>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报价得分（</w:t>
            </w:r>
            <w:r>
              <w:rPr>
                <w:rFonts w:hint="eastAsia" w:ascii="宋体" w:hAnsi="宋体" w:cs="宋体"/>
                <w:b/>
                <w:bCs/>
                <w:color w:val="000000" w:themeColor="text1"/>
                <w:sz w:val="24"/>
                <w:szCs w:val="24"/>
                <w:lang w:val="en-US" w:eastAsia="zh-CN"/>
              </w:rPr>
              <w:t>10</w:t>
            </w:r>
            <w:r>
              <w:rPr>
                <w:rFonts w:hint="eastAsia" w:ascii="宋体" w:hAnsi="宋体" w:eastAsia="宋体" w:cs="宋体"/>
                <w:b/>
                <w:bCs/>
                <w:color w:val="000000" w:themeColor="text1"/>
                <w:sz w:val="24"/>
                <w:szCs w:val="24"/>
              </w:rPr>
              <w:t>分）</w:t>
            </w:r>
          </w:p>
        </w:tc>
        <w:tc>
          <w:tcPr>
            <w:tcW w:w="1189" w:type="pct"/>
            <w:vAlign w:val="center"/>
          </w:tcPr>
          <w:p>
            <w:pPr>
              <w:widowControl/>
              <w:jc w:val="center"/>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报价</w:t>
            </w:r>
          </w:p>
          <w:p>
            <w:pPr>
              <w:widowControl/>
              <w:jc w:val="center"/>
              <w:rPr>
                <w:rFonts w:hint="eastAsia" w:ascii="宋体" w:hAnsi="宋体" w:eastAsia="宋体" w:cs="宋体"/>
                <w:color w:val="000000" w:themeColor="text1"/>
                <w:sz w:val="24"/>
                <w:szCs w:val="24"/>
              </w:rPr>
            </w:pPr>
            <w:r>
              <w:rPr>
                <w:rFonts w:hint="eastAsia" w:ascii="宋体" w:hAnsi="宋体" w:eastAsia="宋体" w:cs="宋体"/>
                <w:b/>
                <w:bCs/>
                <w:color w:val="000000" w:themeColor="text1"/>
                <w:sz w:val="24"/>
                <w:szCs w:val="24"/>
              </w:rPr>
              <w:t>（</w:t>
            </w:r>
            <w:r>
              <w:rPr>
                <w:rFonts w:hint="eastAsia" w:ascii="宋体" w:hAnsi="宋体" w:cs="宋体"/>
                <w:b/>
                <w:bCs/>
                <w:color w:val="000000" w:themeColor="text1"/>
                <w:sz w:val="24"/>
                <w:szCs w:val="24"/>
                <w:lang w:val="en-US" w:eastAsia="zh-CN"/>
              </w:rPr>
              <w:t>10</w:t>
            </w:r>
            <w:r>
              <w:rPr>
                <w:rFonts w:hint="eastAsia" w:ascii="宋体" w:hAnsi="宋体" w:eastAsia="宋体" w:cs="宋体"/>
                <w:b/>
                <w:bCs/>
                <w:color w:val="000000" w:themeColor="text1"/>
                <w:sz w:val="24"/>
                <w:szCs w:val="24"/>
              </w:rPr>
              <w:t>分）</w:t>
            </w:r>
          </w:p>
        </w:tc>
        <w:tc>
          <w:tcPr>
            <w:tcW w:w="3183" w:type="pct"/>
            <w:gridSpan w:val="2"/>
            <w:vAlign w:val="center"/>
          </w:tcPr>
          <w:p>
            <w:pPr>
              <w:ind w:firstLine="480" w:firstLineChars="200"/>
              <w:rPr>
                <w:rFonts w:hint="eastAsia" w:ascii="宋体" w:hAnsi="宋体" w:eastAsia="宋体" w:cs="宋体"/>
                <w:bCs/>
                <w:sz w:val="24"/>
                <w:szCs w:val="24"/>
              </w:rPr>
            </w:pPr>
            <w:r>
              <w:rPr>
                <w:rFonts w:hint="eastAsia" w:ascii="宋体" w:hAnsi="宋体" w:eastAsia="宋体" w:cs="宋体"/>
                <w:bCs/>
                <w:sz w:val="24"/>
                <w:szCs w:val="24"/>
              </w:rPr>
              <w:t>满足磋商文件要求且最后报价最低的供应商的价格为磋商基准价，其价格分为满分。其他供应商的价格分统一按照下列公式计算：</w:t>
            </w:r>
          </w:p>
          <w:p>
            <w:pPr>
              <w:ind w:firstLine="480" w:firstLineChars="200"/>
              <w:rPr>
                <w:rFonts w:hint="default" w:ascii="宋体" w:hAnsi="宋体" w:eastAsia="宋体" w:cs="宋体"/>
                <w:bCs/>
                <w:sz w:val="24"/>
                <w:szCs w:val="24"/>
                <w:lang w:val="en-US" w:eastAsia="zh-CN"/>
              </w:rPr>
            </w:pPr>
            <w:r>
              <w:rPr>
                <w:rFonts w:hint="eastAsia" w:ascii="宋体" w:hAnsi="宋体" w:eastAsia="宋体" w:cs="宋体"/>
                <w:bCs/>
                <w:sz w:val="24"/>
                <w:szCs w:val="24"/>
              </w:rPr>
              <w:t>磋商报价得分=（磋商基准价/最后磋商报价）</w:t>
            </w:r>
            <w:r>
              <w:rPr>
                <w:rFonts w:hint="eastAsia" w:ascii="宋体" w:hAnsi="宋体" w:eastAsia="宋体" w:cs="宋体"/>
                <w:bCs/>
                <w:sz w:val="24"/>
                <w:szCs w:val="24"/>
                <w:lang w:val="en-US" w:eastAsia="zh-CN"/>
              </w:rPr>
              <w:t>×</w:t>
            </w:r>
            <w:r>
              <w:rPr>
                <w:rFonts w:hint="eastAsia" w:ascii="宋体" w:hAnsi="宋体" w:cs="宋体"/>
                <w:bCs/>
                <w:sz w:val="24"/>
                <w:szCs w:val="24"/>
                <w:lang w:val="en-US" w:eastAsia="zh-CN"/>
              </w:rPr>
              <w:t>10</w:t>
            </w:r>
          </w:p>
          <w:p>
            <w:pPr>
              <w:tabs>
                <w:tab w:val="left" w:pos="5130"/>
              </w:tabs>
              <w:adjustRightInd w:val="0"/>
              <w:snapToGrid w:val="0"/>
              <w:spacing w:line="360" w:lineRule="auto"/>
              <w:rPr>
                <w:rFonts w:hint="eastAsia" w:ascii="宋体" w:hAnsi="宋体" w:eastAsia="宋体" w:cs="宋体"/>
                <w:bCs/>
                <w:sz w:val="24"/>
                <w:szCs w:val="24"/>
              </w:rPr>
            </w:pPr>
            <w:r>
              <w:rPr>
                <w:rFonts w:hint="eastAsia" w:ascii="宋体" w:hAnsi="宋体" w:eastAsia="宋体" w:cs="宋体"/>
                <w:bCs/>
                <w:sz w:val="24"/>
                <w:szCs w:val="24"/>
              </w:rPr>
              <w:t>备注：价格分计算保留小数点后二位。</w:t>
            </w:r>
          </w:p>
          <w:p>
            <w:pPr>
              <w:pStyle w:val="27"/>
              <w:ind w:right="-21" w:firstLine="0" w:firstLineChars="0"/>
              <w:rPr>
                <w:rFonts w:hint="eastAsia" w:ascii="宋体" w:hAnsi="宋体" w:eastAsia="宋体" w:cs="宋体"/>
                <w:bCs/>
                <w:sz w:val="24"/>
                <w:szCs w:val="24"/>
              </w:rPr>
            </w:pPr>
            <w:r>
              <w:rPr>
                <w:rFonts w:hint="eastAsia" w:ascii="宋体" w:hAnsi="宋体" w:eastAsia="宋体" w:cs="宋体"/>
                <w:bCs/>
                <w:sz w:val="24"/>
                <w:szCs w:val="24"/>
              </w:rPr>
              <w:t>根据财政部、工信部关于印发《政府采购促进中小企业发展管理办法》的通知（财库〔2020〕46号 ）文件规定：</w:t>
            </w:r>
          </w:p>
          <w:p>
            <w:pPr>
              <w:pStyle w:val="27"/>
              <w:ind w:right="-21" w:firstLine="0" w:firstLineChars="0"/>
              <w:rPr>
                <w:rFonts w:hint="eastAsia" w:ascii="宋体" w:hAnsi="宋体" w:eastAsia="宋体" w:cs="宋体"/>
                <w:bCs/>
                <w:sz w:val="24"/>
                <w:szCs w:val="24"/>
              </w:rPr>
            </w:pPr>
            <w:r>
              <w:rPr>
                <w:rFonts w:hint="eastAsia" w:ascii="宋体" w:hAnsi="宋体" w:eastAsia="宋体" w:cs="宋体"/>
                <w:bCs/>
                <w:sz w:val="24"/>
                <w:szCs w:val="24"/>
              </w:rPr>
              <w:t>（1）对小微企业报价给予</w:t>
            </w:r>
            <w:r>
              <w:rPr>
                <w:rFonts w:hint="eastAsia" w:ascii="宋体" w:hAnsi="宋体" w:cs="宋体"/>
                <w:bCs/>
                <w:sz w:val="24"/>
                <w:szCs w:val="24"/>
                <w:lang w:val="en-US" w:eastAsia="zh-CN"/>
              </w:rPr>
              <w:t>20</w:t>
            </w:r>
            <w:r>
              <w:rPr>
                <w:rFonts w:hint="eastAsia" w:ascii="宋体" w:hAnsi="宋体" w:eastAsia="宋体" w:cs="宋体"/>
                <w:bCs/>
                <w:sz w:val="24"/>
                <w:szCs w:val="24"/>
              </w:rPr>
              <w:t>%扣除，请按照《政府采购促进中小企业发展管理办法》要求提供中小企业声明函。</w:t>
            </w:r>
          </w:p>
          <w:p>
            <w:pPr>
              <w:pStyle w:val="27"/>
              <w:ind w:right="-21" w:firstLine="0" w:firstLineChars="0"/>
              <w:rPr>
                <w:rFonts w:hint="eastAsia" w:ascii="宋体" w:hAnsi="宋体" w:eastAsia="宋体" w:cs="宋体"/>
                <w:bCs/>
                <w:sz w:val="24"/>
                <w:szCs w:val="24"/>
              </w:rPr>
            </w:pPr>
            <w:r>
              <w:rPr>
                <w:rFonts w:hint="eastAsia" w:ascii="宋体" w:hAnsi="宋体" w:eastAsia="宋体" w:cs="宋体"/>
                <w:bCs/>
                <w:sz w:val="24"/>
                <w:szCs w:val="24"/>
              </w:rPr>
              <w:t>（2）关于监狱企业：视同小微企业。须提供由省级以上监狱管理局、戒毒管理局（含新疆生产建设兵团）出具的属于监狱企业的证明文件，否则不考虑价格扣除。</w:t>
            </w:r>
          </w:p>
          <w:p>
            <w:pPr>
              <w:pStyle w:val="27"/>
              <w:ind w:right="-21" w:firstLine="0" w:firstLineChars="0"/>
              <w:rPr>
                <w:rFonts w:hint="eastAsia" w:ascii="宋体" w:hAnsi="宋体" w:eastAsia="宋体" w:cs="宋体"/>
                <w:bCs/>
                <w:sz w:val="24"/>
                <w:szCs w:val="24"/>
              </w:rPr>
            </w:pPr>
            <w:r>
              <w:rPr>
                <w:rFonts w:hint="eastAsia" w:ascii="宋体" w:hAnsi="宋体" w:eastAsia="宋体" w:cs="宋体"/>
                <w:bCs/>
                <w:sz w:val="24"/>
                <w:szCs w:val="24"/>
              </w:rPr>
              <w:t>（3）关于残疾人福利性单位：视同小微企业。须提供完整的“残疾人福利性单位声明函”，否则在价格评审时不予考虑价格扣除。残疾人福利性单位属于小型、微型企业的，不重复享受政策。</w:t>
            </w:r>
          </w:p>
          <w:p>
            <w:pPr>
              <w:widowControl/>
              <w:snapToGrid w:val="0"/>
              <w:spacing w:line="276" w:lineRule="auto"/>
              <w:jc w:val="left"/>
              <w:rPr>
                <w:rFonts w:hint="eastAsia" w:ascii="宋体" w:hAnsi="宋体" w:eastAsia="宋体" w:cs="宋体"/>
                <w:sz w:val="24"/>
                <w:szCs w:val="24"/>
              </w:rPr>
            </w:pPr>
            <w:r>
              <w:rPr>
                <w:rFonts w:hint="eastAsia" w:ascii="宋体" w:hAnsi="宋体" w:eastAsia="宋体" w:cs="宋体"/>
                <w:bCs/>
                <w:sz w:val="24"/>
                <w:szCs w:val="24"/>
              </w:rPr>
              <w:t>（4）没有提供有效证明材料的供应商将被视为不接受投标总价的扣除，用原投标总价参与评审。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restart"/>
            <w:vAlign w:val="center"/>
          </w:tcPr>
          <w:p>
            <w:pPr>
              <w:widowControl/>
              <w:jc w:val="center"/>
              <w:rPr>
                <w:rFonts w:hint="eastAsia" w:ascii="宋体" w:hAnsi="宋体" w:eastAsia="宋体" w:cs="宋体"/>
                <w:b w:val="0"/>
                <w:bCs w:val="0"/>
                <w:color w:val="000000" w:themeColor="text1"/>
                <w:sz w:val="24"/>
                <w:szCs w:val="24"/>
                <w:highlight w:val="none"/>
                <w:lang w:val="en-US" w:eastAsia="zh-CN"/>
              </w:rPr>
            </w:pPr>
            <w:r>
              <w:rPr>
                <w:rFonts w:hint="eastAsia" w:ascii="宋体" w:hAnsi="宋体" w:eastAsia="宋体" w:cs="宋体"/>
                <w:b w:val="0"/>
                <w:bCs w:val="0"/>
                <w:color w:val="000000" w:themeColor="text1"/>
                <w:sz w:val="24"/>
                <w:szCs w:val="24"/>
                <w:highlight w:val="none"/>
                <w:lang w:val="en-US" w:eastAsia="zh-CN"/>
              </w:rPr>
              <w:t>技术部分</w:t>
            </w:r>
          </w:p>
          <w:p>
            <w:pPr>
              <w:widowControl/>
              <w:jc w:val="center"/>
              <w:rPr>
                <w:rFonts w:hint="eastAsia" w:ascii="宋体" w:hAnsi="宋体" w:eastAsia="宋体" w:cs="宋体"/>
                <w:b w:val="0"/>
                <w:bCs w:val="0"/>
                <w:color w:val="000000" w:themeColor="text1"/>
                <w:sz w:val="24"/>
                <w:szCs w:val="24"/>
              </w:rPr>
            </w:pPr>
            <w:r>
              <w:rPr>
                <w:rFonts w:hint="eastAsia" w:ascii="宋体" w:hAnsi="宋体" w:eastAsia="宋体" w:cs="宋体"/>
                <w:b w:val="0"/>
                <w:bCs w:val="0"/>
                <w:color w:val="000000" w:themeColor="text1"/>
                <w:sz w:val="24"/>
                <w:szCs w:val="24"/>
                <w:highlight w:val="none"/>
                <w:lang w:val="en-US" w:eastAsia="zh-CN"/>
              </w:rPr>
              <w:t>（</w:t>
            </w:r>
            <w:r>
              <w:rPr>
                <w:rFonts w:hint="eastAsia" w:ascii="宋体" w:hAnsi="宋体" w:cs="宋体"/>
                <w:b w:val="0"/>
                <w:bCs w:val="0"/>
                <w:color w:val="000000" w:themeColor="text1"/>
                <w:sz w:val="24"/>
                <w:szCs w:val="24"/>
                <w:highlight w:val="none"/>
                <w:lang w:val="en-US" w:eastAsia="zh-CN"/>
              </w:rPr>
              <w:t>70</w:t>
            </w:r>
            <w:r>
              <w:rPr>
                <w:rFonts w:hint="eastAsia" w:ascii="宋体" w:hAnsi="宋体" w:eastAsia="宋体" w:cs="宋体"/>
                <w:b w:val="0"/>
                <w:bCs w:val="0"/>
                <w:color w:val="000000" w:themeColor="text1"/>
                <w:sz w:val="24"/>
                <w:szCs w:val="24"/>
                <w:highlight w:val="none"/>
                <w:lang w:val="en-US" w:eastAsia="zh-CN"/>
              </w:rPr>
              <w:t>分）</w:t>
            </w:r>
          </w:p>
        </w:tc>
        <w:tc>
          <w:tcPr>
            <w:tcW w:w="1189" w:type="pct"/>
            <w:vAlign w:val="center"/>
          </w:tcPr>
          <w:p>
            <w:pPr>
              <w:keepNext w:val="0"/>
              <w:keepLines w:val="0"/>
              <w:widowControl/>
              <w:suppressLineNumbers w:val="0"/>
              <w:jc w:val="center"/>
              <w:textAlignment w:val="center"/>
              <w:rPr>
                <w:rFonts w:hint="eastAsia" w:ascii="宋体" w:hAnsi="宋体" w:eastAsia="宋体" w:cs="宋体"/>
                <w:b w:val="0"/>
                <w:bCs w:val="0"/>
                <w:color w:val="000000" w:themeColor="text1"/>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整体架构</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（15分）</w:t>
            </w:r>
          </w:p>
        </w:tc>
        <w:tc>
          <w:tcPr>
            <w:tcW w:w="3183" w:type="pct"/>
            <w:gridSpan w:val="2"/>
            <w:vAlign w:val="center"/>
          </w:tcPr>
          <w:p>
            <w:pPr>
              <w:keepNext w:val="0"/>
              <w:keepLines w:val="0"/>
              <w:widowControl/>
              <w:suppressLineNumbers w:val="0"/>
              <w:jc w:val="left"/>
              <w:textAlignment w:val="center"/>
              <w:rPr>
                <w:rFonts w:hint="default" w:ascii="宋体" w:hAnsi="宋体" w:eastAsia="宋体" w:cs="宋体"/>
                <w:b w:val="0"/>
                <w:bCs w:val="0"/>
                <w:color w:val="000000" w:themeColor="text1"/>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要求平台架构使用基于业界标准化的RESTFul风格实现；平台架构应体现前后端分离设计，要求提供采用客户端渲染相关技术栈的技术方案；平台架构应体现微服务群设计，要求提供包含服务治理、服务扩展、服务优化、服务监控等的技术方案；平台架构应体现安全性设计，要求提供应用、数据存储、网络拓扑、数据传输的技术方案；提供得15分，缺项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lang w:val="en-US" w:eastAsia="zh-CN"/>
              </w:rPr>
            </w:pPr>
          </w:p>
        </w:tc>
        <w:tc>
          <w:tcPr>
            <w:tcW w:w="1189" w:type="pct"/>
            <w:vAlign w:val="center"/>
          </w:tcPr>
          <w:p>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技术方案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（15分）</w:t>
            </w:r>
          </w:p>
        </w:tc>
        <w:tc>
          <w:tcPr>
            <w:tcW w:w="3183" w:type="pct"/>
            <w:gridSpan w:val="2"/>
            <w:vAlign w:val="center"/>
          </w:tcPr>
          <w:p>
            <w:pPr>
              <w:keepNext w:val="0"/>
              <w:keepLines w:val="0"/>
              <w:widowControl/>
              <w:suppressLineNumbers w:val="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针对本项目提供技术方案的得15分；不提供不得分。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lang w:val="en-US" w:eastAsia="zh-CN"/>
              </w:rPr>
            </w:pPr>
          </w:p>
        </w:tc>
        <w:tc>
          <w:tcPr>
            <w:tcW w:w="1189" w:type="pct"/>
            <w:vAlign w:val="center"/>
          </w:tcPr>
          <w:p>
            <w:pPr>
              <w:keepNext w:val="0"/>
              <w:keepLines w:val="0"/>
              <w:widowControl/>
              <w:suppressLineNumbers w:val="0"/>
              <w:jc w:val="center"/>
              <w:textAlignment w:val="center"/>
              <w:rPr>
                <w:rFonts w:hint="eastAsia"/>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实施方案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（10分）</w:t>
            </w:r>
          </w:p>
        </w:tc>
        <w:tc>
          <w:tcPr>
            <w:tcW w:w="3183" w:type="pct"/>
            <w:gridSpan w:val="2"/>
            <w:vAlign w:val="center"/>
          </w:tcPr>
          <w:p>
            <w:pPr>
              <w:keepNext w:val="0"/>
              <w:keepLines w:val="0"/>
              <w:widowControl/>
              <w:suppressLineNumbers w:val="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根据项目制定服务方案的得10分，不提供不得分。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lang w:val="en-US" w:eastAsia="zh-CN"/>
              </w:rPr>
            </w:pPr>
          </w:p>
        </w:tc>
        <w:tc>
          <w:tcPr>
            <w:tcW w:w="1189" w:type="pct"/>
            <w:vAlign w:val="center"/>
          </w:tcPr>
          <w:p>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运行维护方案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（10分） </w:t>
            </w:r>
          </w:p>
        </w:tc>
        <w:tc>
          <w:tcPr>
            <w:tcW w:w="3183" w:type="pct"/>
            <w:gridSpan w:val="2"/>
            <w:vAlign w:val="center"/>
          </w:tcPr>
          <w:p>
            <w:pPr>
              <w:keepNext w:val="0"/>
              <w:keepLines w:val="0"/>
              <w:widowControl/>
              <w:suppressLineNumbers w:val="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运行内容满足要求，</w:t>
            </w:r>
            <w:r>
              <w:rPr>
                <w:rFonts w:hint="eastAsia" w:ascii="宋体" w:hAnsi="宋体" w:cs="宋体"/>
                <w:i w:val="0"/>
                <w:iCs w:val="0"/>
                <w:color w:val="000000"/>
                <w:kern w:val="0"/>
                <w:sz w:val="24"/>
                <w:szCs w:val="24"/>
                <w:u w:val="none"/>
                <w:lang w:val="en-US" w:eastAsia="zh-CN" w:bidi="ar"/>
              </w:rPr>
              <w:t>有</w:t>
            </w:r>
            <w:r>
              <w:rPr>
                <w:rFonts w:hint="eastAsia" w:ascii="宋体" w:hAnsi="宋体" w:eastAsia="宋体" w:cs="宋体"/>
                <w:i w:val="0"/>
                <w:iCs w:val="0"/>
                <w:color w:val="000000"/>
                <w:kern w:val="0"/>
                <w:sz w:val="24"/>
                <w:szCs w:val="24"/>
                <w:u w:val="none"/>
                <w:lang w:val="en-US" w:eastAsia="zh-CN" w:bidi="ar"/>
              </w:rPr>
              <w:t>运维管理制度、运维人员组织安排、业务运行等服务保障措施</w:t>
            </w:r>
            <w:r>
              <w:rPr>
                <w:rFonts w:hint="eastAsia" w:ascii="宋体" w:hAnsi="宋体" w:cs="宋体"/>
                <w:i w:val="0"/>
                <w:iCs w:val="0"/>
                <w:color w:val="000000"/>
                <w:kern w:val="0"/>
                <w:sz w:val="24"/>
                <w:szCs w:val="24"/>
                <w:u w:val="none"/>
                <w:lang w:val="en-US" w:eastAsia="zh-CN" w:bidi="ar"/>
              </w:rPr>
              <w:t>的</w:t>
            </w:r>
            <w:r>
              <w:rPr>
                <w:rFonts w:hint="eastAsia" w:ascii="宋体" w:hAnsi="宋体" w:eastAsia="宋体" w:cs="宋体"/>
                <w:i w:val="0"/>
                <w:iCs w:val="0"/>
                <w:color w:val="000000"/>
                <w:kern w:val="0"/>
                <w:sz w:val="24"/>
                <w:szCs w:val="24"/>
                <w:u w:val="none"/>
                <w:lang w:val="en-US" w:eastAsia="zh-CN" w:bidi="ar"/>
              </w:rPr>
              <w:t>得10分；缺项或不提供不得分。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lang w:val="en-US" w:eastAsia="zh-CN"/>
              </w:rPr>
            </w:pPr>
          </w:p>
        </w:tc>
        <w:tc>
          <w:tcPr>
            <w:tcW w:w="1189" w:type="pct"/>
            <w:vAlign w:val="center"/>
          </w:tcPr>
          <w:p>
            <w:pPr>
              <w:keepNext w:val="0"/>
              <w:keepLines w:val="0"/>
              <w:widowControl/>
              <w:suppressLineNumbers w:val="0"/>
              <w:jc w:val="center"/>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信息安全服务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（10分）</w:t>
            </w:r>
          </w:p>
        </w:tc>
        <w:tc>
          <w:tcPr>
            <w:tcW w:w="3183" w:type="pct"/>
            <w:gridSpan w:val="2"/>
            <w:vAlign w:val="center"/>
          </w:tcPr>
          <w:p>
            <w:pPr>
              <w:keepNext w:val="0"/>
              <w:keepLines w:val="0"/>
              <w:widowControl/>
              <w:suppressLineNumbers w:val="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cs="宋体"/>
                <w:i w:val="0"/>
                <w:iCs w:val="0"/>
                <w:color w:val="000000"/>
                <w:kern w:val="0"/>
                <w:sz w:val="24"/>
                <w:szCs w:val="24"/>
                <w:u w:val="none"/>
                <w:lang w:val="en-US" w:eastAsia="zh-CN" w:bidi="ar"/>
              </w:rPr>
              <w:t>提供</w:t>
            </w:r>
            <w:r>
              <w:rPr>
                <w:rFonts w:hint="eastAsia" w:ascii="宋体" w:hAnsi="宋体" w:eastAsia="宋体" w:cs="宋体"/>
                <w:i w:val="0"/>
                <w:iCs w:val="0"/>
                <w:color w:val="000000"/>
                <w:kern w:val="0"/>
                <w:sz w:val="24"/>
                <w:szCs w:val="24"/>
                <w:u w:val="none"/>
                <w:lang w:val="en-US" w:eastAsia="zh-CN" w:bidi="ar"/>
              </w:rPr>
              <w:t>信息安全服务方案</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信息安全服务保障流程</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安全保障团队</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安全服务</w:t>
            </w:r>
            <w:r>
              <w:rPr>
                <w:rFonts w:hint="eastAsia" w:ascii="宋体" w:hAnsi="宋体" w:cs="宋体"/>
                <w:i w:val="0"/>
                <w:iCs w:val="0"/>
                <w:color w:val="000000"/>
                <w:kern w:val="0"/>
                <w:sz w:val="24"/>
                <w:szCs w:val="24"/>
                <w:u w:val="none"/>
                <w:lang w:val="en-US" w:eastAsia="zh-CN" w:bidi="ar"/>
              </w:rPr>
              <w:t>的</w:t>
            </w:r>
            <w:r>
              <w:rPr>
                <w:rFonts w:hint="eastAsia" w:ascii="宋体" w:hAnsi="宋体" w:eastAsia="宋体" w:cs="宋体"/>
                <w:i w:val="0"/>
                <w:iCs w:val="0"/>
                <w:color w:val="000000"/>
                <w:kern w:val="0"/>
                <w:sz w:val="24"/>
                <w:szCs w:val="24"/>
                <w:u w:val="none"/>
                <w:lang w:val="en-US" w:eastAsia="zh-CN" w:bidi="ar"/>
              </w:rPr>
              <w:t>得10分；缺项或不提供不得分。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lang w:val="en-US" w:eastAsia="zh-CN"/>
              </w:rPr>
            </w:pPr>
          </w:p>
        </w:tc>
        <w:tc>
          <w:tcPr>
            <w:tcW w:w="1189" w:type="pct"/>
            <w:vAlign w:val="center"/>
          </w:tcPr>
          <w:p>
            <w:pPr>
              <w:keepNext w:val="0"/>
              <w:keepLines w:val="0"/>
              <w:widowControl/>
              <w:suppressLineNumbers w:val="0"/>
              <w:jc w:val="center"/>
              <w:textAlignment w:val="center"/>
              <w:rPr>
                <w:rFonts w:hint="default"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培训方案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（5分）</w:t>
            </w:r>
          </w:p>
        </w:tc>
        <w:tc>
          <w:tcPr>
            <w:tcW w:w="3183" w:type="pct"/>
            <w:gridSpan w:val="2"/>
            <w:vAlign w:val="center"/>
          </w:tcPr>
          <w:p>
            <w:pPr>
              <w:keepNext w:val="0"/>
              <w:keepLines w:val="0"/>
              <w:widowControl/>
              <w:suppressLineNumbers w:val="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cs="宋体"/>
                <w:i w:val="0"/>
                <w:iCs w:val="0"/>
                <w:color w:val="000000"/>
                <w:kern w:val="0"/>
                <w:sz w:val="24"/>
                <w:szCs w:val="24"/>
                <w:u w:val="none"/>
                <w:lang w:val="en-US" w:eastAsia="zh-CN" w:bidi="ar"/>
              </w:rPr>
              <w:t>提供</w:t>
            </w:r>
            <w:r>
              <w:rPr>
                <w:rFonts w:hint="eastAsia" w:ascii="宋体" w:hAnsi="宋体" w:eastAsia="宋体" w:cs="宋体"/>
                <w:i w:val="0"/>
                <w:iCs w:val="0"/>
                <w:color w:val="000000"/>
                <w:kern w:val="0"/>
                <w:sz w:val="24"/>
                <w:szCs w:val="24"/>
                <w:u w:val="none"/>
                <w:lang w:val="en-US" w:eastAsia="zh-CN" w:bidi="ar"/>
              </w:rPr>
              <w:t>培训方案</w:t>
            </w:r>
            <w:r>
              <w:rPr>
                <w:rFonts w:hint="eastAsia" w:ascii="宋体" w:hAnsi="宋体" w:cs="宋体"/>
                <w:i w:val="0"/>
                <w:iCs w:val="0"/>
                <w:color w:val="000000"/>
                <w:kern w:val="0"/>
                <w:sz w:val="24"/>
                <w:szCs w:val="24"/>
                <w:u w:val="none"/>
                <w:lang w:val="en-US" w:eastAsia="zh-CN" w:bidi="ar"/>
              </w:rPr>
              <w:t>的</w:t>
            </w:r>
            <w:r>
              <w:rPr>
                <w:rFonts w:hint="eastAsia" w:ascii="宋体" w:hAnsi="宋体" w:eastAsia="宋体" w:cs="宋体"/>
                <w:i w:val="0"/>
                <w:iCs w:val="0"/>
                <w:color w:val="000000"/>
                <w:kern w:val="0"/>
                <w:sz w:val="24"/>
                <w:szCs w:val="24"/>
                <w:u w:val="none"/>
                <w:lang w:val="en-US" w:eastAsia="zh-CN" w:bidi="ar"/>
              </w:rPr>
              <w:t>得5分，不提供不得分。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lang w:val="en-US" w:eastAsia="zh-CN"/>
              </w:rPr>
            </w:pPr>
          </w:p>
        </w:tc>
        <w:tc>
          <w:tcPr>
            <w:tcW w:w="1189" w:type="pct"/>
            <w:vAlign w:val="center"/>
          </w:tcPr>
          <w:p>
            <w:pPr>
              <w:keepNext w:val="0"/>
              <w:keepLines w:val="0"/>
              <w:widowControl/>
              <w:suppressLineNumbers w:val="0"/>
              <w:jc w:val="center"/>
              <w:textAlignment w:val="center"/>
              <w:rPr>
                <w:rFonts w:hint="eastAsia" w:ascii="宋体" w:hAnsi="宋体" w:cs="宋体"/>
                <w:sz w:val="24"/>
                <w:szCs w:val="24"/>
                <w:highlight w:val="none"/>
              </w:rPr>
            </w:pPr>
            <w:r>
              <w:rPr>
                <w:rFonts w:hint="eastAsia" w:ascii="宋体" w:hAnsi="宋体" w:eastAsia="宋体" w:cs="宋体"/>
                <w:i w:val="0"/>
                <w:iCs w:val="0"/>
                <w:color w:val="000000"/>
                <w:kern w:val="0"/>
                <w:sz w:val="24"/>
                <w:szCs w:val="24"/>
                <w:u w:val="none"/>
                <w:lang w:val="en-US" w:eastAsia="zh-CN" w:bidi="ar"/>
              </w:rPr>
              <w:t>人员配备方案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（5分）</w:t>
            </w:r>
          </w:p>
        </w:tc>
        <w:tc>
          <w:tcPr>
            <w:tcW w:w="3183" w:type="pct"/>
            <w:gridSpan w:val="2"/>
            <w:vAlign w:val="center"/>
          </w:tcPr>
          <w:p>
            <w:pPr>
              <w:keepNext w:val="0"/>
              <w:keepLines w:val="0"/>
              <w:widowControl/>
              <w:suppressLineNumbers w:val="0"/>
              <w:jc w:val="left"/>
              <w:textAlignment w:val="center"/>
              <w:rPr>
                <w:rFonts w:hint="eastAsia" w:ascii="宋体" w:hAnsi="宋体" w:cs="宋体"/>
                <w:color w:val="000000" w:themeColor="text1"/>
                <w:sz w:val="24"/>
                <w:szCs w:val="24"/>
                <w:highlight w:val="none"/>
              </w:rPr>
            </w:pPr>
            <w:r>
              <w:rPr>
                <w:rFonts w:hint="eastAsia" w:ascii="宋体" w:hAnsi="宋体" w:eastAsia="宋体" w:cs="宋体"/>
                <w:i w:val="0"/>
                <w:iCs w:val="0"/>
                <w:color w:val="000000"/>
                <w:kern w:val="0"/>
                <w:sz w:val="24"/>
                <w:szCs w:val="24"/>
                <w:u w:val="none"/>
                <w:lang w:val="en-US" w:eastAsia="zh-CN" w:bidi="ar"/>
              </w:rPr>
              <w:t>提供人员配备方案的得5分，不提供不得分。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jc w:val="center"/>
        </w:trPr>
        <w:tc>
          <w:tcPr>
            <w:tcW w:w="627" w:type="pct"/>
            <w:vMerge w:val="restart"/>
            <w:vAlign w:val="center"/>
          </w:tcPr>
          <w:p>
            <w:pPr>
              <w:widowControl/>
              <w:jc w:val="center"/>
              <w:rPr>
                <w:rFonts w:hint="eastAsia" w:ascii="宋体" w:hAnsi="宋体" w:eastAsia="宋体" w:cs="宋体"/>
                <w:b w:val="0"/>
                <w:bCs w:val="0"/>
                <w:color w:val="000000" w:themeColor="text1"/>
                <w:sz w:val="24"/>
                <w:szCs w:val="24"/>
                <w:lang w:val="zh-CN"/>
              </w:rPr>
            </w:pPr>
            <w:r>
              <w:rPr>
                <w:rFonts w:hint="eastAsia" w:ascii="宋体" w:hAnsi="宋体" w:eastAsia="宋体" w:cs="宋体"/>
                <w:b w:val="0"/>
                <w:bCs w:val="0"/>
                <w:color w:val="000000" w:themeColor="text1"/>
                <w:sz w:val="24"/>
                <w:szCs w:val="24"/>
                <w:lang w:val="zh-CN"/>
              </w:rPr>
              <w:t>商务部分</w:t>
            </w:r>
          </w:p>
          <w:p>
            <w:pPr>
              <w:widowControl/>
              <w:jc w:val="center"/>
              <w:rPr>
                <w:rFonts w:hint="eastAsia" w:ascii="宋体" w:hAnsi="宋体" w:eastAsia="宋体" w:cs="宋体"/>
                <w:b w:val="0"/>
                <w:bCs w:val="0"/>
                <w:color w:val="000000" w:themeColor="text1"/>
                <w:sz w:val="24"/>
                <w:szCs w:val="24"/>
              </w:rPr>
            </w:pPr>
            <w:r>
              <w:rPr>
                <w:rFonts w:hint="eastAsia" w:ascii="宋体" w:hAnsi="宋体" w:eastAsia="宋体" w:cs="宋体"/>
                <w:b w:val="0"/>
                <w:bCs w:val="0"/>
                <w:color w:val="000000" w:themeColor="text1"/>
                <w:sz w:val="24"/>
                <w:szCs w:val="24"/>
                <w:lang w:val="zh-CN"/>
              </w:rPr>
              <w:t>（</w:t>
            </w:r>
            <w:r>
              <w:rPr>
                <w:rFonts w:hint="eastAsia" w:ascii="宋体" w:hAnsi="宋体" w:cs="宋体"/>
                <w:b w:val="0"/>
                <w:bCs w:val="0"/>
                <w:color w:val="000000" w:themeColor="text1"/>
                <w:sz w:val="24"/>
                <w:szCs w:val="24"/>
                <w:lang w:val="en-US" w:eastAsia="zh-CN"/>
              </w:rPr>
              <w:t>20</w:t>
            </w:r>
            <w:r>
              <w:rPr>
                <w:rFonts w:hint="eastAsia" w:ascii="宋体" w:hAnsi="宋体" w:eastAsia="宋体" w:cs="宋体"/>
                <w:b w:val="0"/>
                <w:bCs w:val="0"/>
                <w:color w:val="000000" w:themeColor="text1"/>
                <w:sz w:val="24"/>
                <w:szCs w:val="24"/>
                <w:lang w:val="zh-CN"/>
              </w:rPr>
              <w:t>分）</w:t>
            </w:r>
          </w:p>
        </w:tc>
        <w:tc>
          <w:tcPr>
            <w:tcW w:w="2154" w:type="dxa"/>
            <w:vAlign w:val="center"/>
          </w:tcPr>
          <w:p>
            <w:pPr>
              <w:keepNext w:val="0"/>
              <w:keepLines w:val="0"/>
              <w:widowControl/>
              <w:suppressLineNumbers w:val="0"/>
              <w:jc w:val="center"/>
              <w:textAlignment w:val="center"/>
              <w:rPr>
                <w:rFonts w:hint="eastAsia" w:ascii="宋体" w:hAnsi="宋体" w:eastAsia="宋体" w:cs="宋体"/>
                <w:b w:val="0"/>
                <w:bCs w:val="0"/>
                <w:color w:val="000000" w:themeColor="text1"/>
                <w:kern w:val="2"/>
                <w:sz w:val="24"/>
                <w:szCs w:val="24"/>
                <w:highlight w:val="none"/>
                <w:lang w:val="zh-CN" w:eastAsia="zh-CN" w:bidi="ar-SA"/>
              </w:rPr>
            </w:pPr>
            <w:r>
              <w:rPr>
                <w:rFonts w:hint="eastAsia" w:ascii="宋体" w:hAnsi="宋体" w:eastAsia="宋体" w:cs="宋体"/>
                <w:i w:val="0"/>
                <w:iCs w:val="0"/>
                <w:color w:val="000000"/>
                <w:kern w:val="0"/>
                <w:sz w:val="24"/>
                <w:szCs w:val="24"/>
                <w:u w:val="none"/>
                <w:lang w:val="en-US" w:eastAsia="zh-CN" w:bidi="ar"/>
              </w:rPr>
              <w:t>售后服务方案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（10分）</w:t>
            </w:r>
          </w:p>
        </w:tc>
        <w:tc>
          <w:tcPr>
            <w:tcW w:w="5767" w:type="dxa"/>
            <w:gridSpan w:val="2"/>
            <w:vAlign w:val="center"/>
          </w:tcPr>
          <w:p>
            <w:pPr>
              <w:keepNext w:val="0"/>
              <w:keepLines w:val="0"/>
              <w:widowControl/>
              <w:suppressLineNumbers w:val="0"/>
              <w:jc w:val="left"/>
              <w:textAlignment w:val="center"/>
              <w:rPr>
                <w:rFonts w:hint="eastAsia" w:ascii="宋体" w:hAnsi="宋体" w:eastAsia="宋体" w:cs="宋体"/>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提供售后服务方案方案内容包含但不限于：系统功能设计、服务体系、服务保障标准、服务响应及故障处理的得10分，缺项或不提供不得分。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27" w:type="pct"/>
            <w:vMerge w:val="continue"/>
            <w:vAlign w:val="center"/>
          </w:tcPr>
          <w:p>
            <w:pPr>
              <w:widowControl/>
              <w:jc w:val="center"/>
              <w:rPr>
                <w:rFonts w:hint="eastAsia" w:ascii="宋体" w:hAnsi="宋体" w:eastAsia="宋体" w:cs="宋体"/>
                <w:b w:val="0"/>
                <w:bCs w:val="0"/>
                <w:color w:val="000000" w:themeColor="text1"/>
                <w:sz w:val="24"/>
                <w:szCs w:val="24"/>
              </w:rPr>
            </w:pPr>
          </w:p>
        </w:tc>
        <w:tc>
          <w:tcPr>
            <w:tcW w:w="2154" w:type="dxa"/>
            <w:vAlign w:val="center"/>
          </w:tcPr>
          <w:p>
            <w:pPr>
              <w:keepNext w:val="0"/>
              <w:keepLines w:val="0"/>
              <w:widowControl/>
              <w:suppressLineNumbers w:val="0"/>
              <w:jc w:val="center"/>
              <w:textAlignment w:val="center"/>
              <w:rPr>
                <w:rFonts w:hint="eastAsia" w:ascii="宋体" w:hAnsi="宋体" w:eastAsia="宋体" w:cstheme="minorBidi"/>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企业实力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（10分）</w:t>
            </w:r>
          </w:p>
        </w:tc>
        <w:tc>
          <w:tcPr>
            <w:tcW w:w="5767" w:type="dxa"/>
            <w:gridSpan w:val="2"/>
            <w:vAlign w:val="center"/>
          </w:tcPr>
          <w:p>
            <w:pPr>
              <w:keepNext w:val="0"/>
              <w:keepLines w:val="0"/>
              <w:widowControl/>
              <w:suppressLineNumbers w:val="0"/>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投标人具有信息中华人民共和国基础电信业务经营许可证的得10分，不提供不得分。</w:t>
            </w:r>
          </w:p>
        </w:tc>
      </w:tr>
    </w:tbl>
    <w:p>
      <w:pPr>
        <w:spacing w:line="560" w:lineRule="exact"/>
        <w:rPr>
          <w:rFonts w:ascii="宋体" w:hAnsi="宋体" w:cs="宋体"/>
          <w:b/>
          <w:sz w:val="24"/>
          <w:highlight w:val="none"/>
        </w:rPr>
      </w:pPr>
      <w:r>
        <w:rPr>
          <w:rFonts w:hint="eastAsia" w:ascii="宋体" w:hAnsi="宋体" w:cs="宋体"/>
          <w:b/>
          <w:sz w:val="24"/>
          <w:highlight w:val="none"/>
        </w:rPr>
        <w:t xml:space="preserve"> 最终得分为磋商小组所有成员计分的算术平均值，计算保留小数点两位，小数点后第三位四舍五入。</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22.3磋商小组根据综合评分情况，按照评审得分由高到低顺序推荐成交候选供应商，并编写评审报告。综合得分相同的供应商，报价较低者优先；报价也相同的，由采购人自行确定。</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exact"/>
        <w:ind w:firstLine="480" w:firstLineChars="200"/>
        <w:rPr>
          <w:rFonts w:ascii="宋体" w:hAnsi="宋体" w:cs="宋体"/>
          <w:b/>
          <w:sz w:val="24"/>
          <w:highlight w:val="none"/>
        </w:rPr>
      </w:pPr>
      <w:r>
        <w:rPr>
          <w:rFonts w:hint="eastAsia" w:ascii="宋体" w:hAnsi="宋体" w:cs="宋体"/>
          <w:sz w:val="24"/>
          <w:highlight w:val="none"/>
        </w:rPr>
        <w:t>22.5若供应商的报价高于项目预算，磋商小组有权根据采购人意见及其实际情况，拒绝该报价。</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22.7在竞争性磋商期间，供应商不得向竞争性磋商小组成员询问其它供应商竞争性磋商情况，不得进行旨在影响成交结果的活动。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22.8在竞争性磋商期间，采购人将有专门人员与供应商进行联络。</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23.竞争性磋商终止</w:t>
      </w:r>
    </w:p>
    <w:p>
      <w:pPr>
        <w:spacing w:line="560" w:lineRule="exact"/>
        <w:ind w:firstLine="480" w:firstLineChars="200"/>
        <w:rPr>
          <w:rFonts w:ascii="宋体" w:hAnsi="宋体" w:cs="宋体"/>
          <w:b/>
          <w:sz w:val="24"/>
          <w:highlight w:val="none"/>
        </w:rPr>
      </w:pPr>
      <w:r>
        <w:rPr>
          <w:rFonts w:hint="eastAsia" w:ascii="宋体" w:hAnsi="宋体" w:cs="宋体"/>
          <w:bCs/>
          <w:sz w:val="24"/>
          <w:highlight w:val="none"/>
        </w:rPr>
        <w:t>23.1出现下列情形之一时，采购人有权宣布竞争性磋商终止，并将理由通知所有供应商：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（1）因情况变化，不再符合竞争性磋商适用情形的；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（2）出现影响采购公正的违法、违规行为的；</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（3）在采购过程中符合磋商文件要求的供应商不足3家的；</w:t>
      </w:r>
    </w:p>
    <w:p>
      <w:pPr>
        <w:spacing w:line="560" w:lineRule="exact"/>
        <w:ind w:firstLine="480" w:firstLineChars="200"/>
        <w:rPr>
          <w:rFonts w:ascii="宋体" w:hAnsi="宋体" w:cs="宋体"/>
          <w:b/>
          <w:sz w:val="24"/>
          <w:highlight w:val="none"/>
        </w:rPr>
      </w:pPr>
      <w:r>
        <w:rPr>
          <w:rFonts w:hint="eastAsia" w:ascii="宋体" w:hAnsi="宋体" w:cs="宋体"/>
          <w:sz w:val="24"/>
          <w:highlight w:val="none"/>
        </w:rPr>
        <w:t>（4）在采购活动中因重大变故，采购任务取消的；</w:t>
      </w:r>
    </w:p>
    <w:p>
      <w:pPr>
        <w:spacing w:line="720" w:lineRule="auto"/>
        <w:jc w:val="center"/>
        <w:rPr>
          <w:rFonts w:ascii="宋体" w:hAnsi="宋体" w:cs="宋体"/>
          <w:b/>
          <w:sz w:val="24"/>
          <w:highlight w:val="none"/>
        </w:rPr>
      </w:pPr>
      <w:r>
        <w:rPr>
          <w:rFonts w:hint="eastAsia" w:ascii="宋体" w:hAnsi="宋体" w:cs="宋体"/>
          <w:b/>
          <w:sz w:val="24"/>
          <w:highlight w:val="none"/>
        </w:rPr>
        <w:t>七、成交通知</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24.成交通知</w:t>
      </w:r>
    </w:p>
    <w:p>
      <w:pPr>
        <w:pStyle w:val="37"/>
        <w:spacing w:line="360" w:lineRule="auto"/>
        <w:ind w:firstLine="480" w:firstLineChars="200"/>
        <w:rPr>
          <w:rFonts w:ascii="宋体" w:hAnsi="宋体" w:cs="宋体"/>
          <w:sz w:val="24"/>
          <w:highlight w:val="none"/>
        </w:rPr>
      </w:pPr>
      <w:r>
        <w:rPr>
          <w:rFonts w:hint="eastAsia" w:ascii="宋体" w:hAnsi="宋体" w:cs="宋体"/>
          <w:sz w:val="24"/>
          <w:highlight w:val="none"/>
        </w:rPr>
        <w:t>24.1采购人应当自收到评审报告之日起5个工作日内在评审报告推荐的中标或者成交候选人中按顺序确定中标或者成交供应商。</w:t>
      </w:r>
    </w:p>
    <w:p>
      <w:pPr>
        <w:tabs>
          <w:tab w:val="left" w:pos="1800"/>
        </w:tabs>
        <w:spacing w:line="360" w:lineRule="auto"/>
        <w:ind w:firstLine="480" w:firstLineChars="200"/>
        <w:rPr>
          <w:rFonts w:ascii="宋体" w:hAnsi="宋体" w:cs="宋体"/>
          <w:sz w:val="24"/>
          <w:highlight w:val="none"/>
        </w:rPr>
      </w:pPr>
      <w:r>
        <w:rPr>
          <w:rFonts w:hint="eastAsia" w:ascii="宋体" w:hAnsi="宋体" w:cs="宋体"/>
          <w:sz w:val="24"/>
          <w:highlight w:val="none"/>
        </w:rPr>
        <w:t>24.2在发出成交公告后请采购人、中标人登录周口市公共资源交易中心网（</w:t>
      </w:r>
      <w:r>
        <w:rPr>
          <w:rFonts w:hint="eastAsia" w:ascii="宋体" w:hAnsi="宋体" w:cs="宋体"/>
          <w:sz w:val="24"/>
          <w:highlight w:val="none"/>
          <w:lang w:eastAsia="zh-CN"/>
        </w:rPr>
        <w:t>http://jyzx.zhoukou.gov.cn/</w:t>
      </w:r>
      <w:r>
        <w:rPr>
          <w:rFonts w:hint="eastAsia" w:ascii="宋体" w:hAnsi="宋体" w:cs="宋体"/>
          <w:sz w:val="24"/>
          <w:highlight w:val="none"/>
        </w:rPr>
        <w:t>）自行下载</w:t>
      </w:r>
      <w:r>
        <w:rPr>
          <w:rFonts w:hint="eastAsia" w:cs="宋体"/>
          <w:sz w:val="24"/>
          <w:highlight w:val="none"/>
        </w:rPr>
        <w:t>成交</w:t>
      </w:r>
      <w:r>
        <w:rPr>
          <w:rFonts w:hint="eastAsia" w:ascii="宋体" w:hAnsi="宋体" w:cs="宋体"/>
          <w:sz w:val="24"/>
          <w:highlight w:val="none"/>
        </w:rPr>
        <w:t>通知书。</w:t>
      </w:r>
    </w:p>
    <w:p>
      <w:pPr>
        <w:tabs>
          <w:tab w:val="left" w:pos="1800"/>
        </w:tabs>
        <w:spacing w:line="560" w:lineRule="exact"/>
        <w:ind w:firstLine="480" w:firstLineChars="200"/>
        <w:rPr>
          <w:rFonts w:ascii="宋体" w:hAnsi="宋体" w:cs="宋体"/>
          <w:sz w:val="24"/>
          <w:highlight w:val="none"/>
        </w:rPr>
      </w:pPr>
      <w:r>
        <w:rPr>
          <w:rFonts w:hint="eastAsia" w:ascii="宋体" w:hAnsi="宋体" w:cs="宋体"/>
          <w:sz w:val="24"/>
          <w:highlight w:val="none"/>
        </w:rPr>
        <w:t>24.3成交通知书对采购人和成交供应商具有同等法律效力。成交通知书发出后，采购人改变成交结果，或者成交供应商放弃成交，应当承担相应的法律责任。</w:t>
      </w:r>
    </w:p>
    <w:p>
      <w:pPr>
        <w:spacing w:line="720" w:lineRule="auto"/>
        <w:jc w:val="center"/>
        <w:rPr>
          <w:rFonts w:ascii="宋体" w:hAnsi="宋体" w:cs="宋体"/>
          <w:sz w:val="24"/>
          <w:highlight w:val="none"/>
        </w:rPr>
      </w:pPr>
      <w:r>
        <w:rPr>
          <w:rFonts w:hint="eastAsia" w:ascii="宋体" w:hAnsi="宋体" w:cs="宋体"/>
          <w:b/>
          <w:sz w:val="24"/>
          <w:highlight w:val="none"/>
        </w:rPr>
        <w:t>八、合同授予</w:t>
      </w:r>
    </w:p>
    <w:p>
      <w:pPr>
        <w:tabs>
          <w:tab w:val="left" w:pos="1620"/>
        </w:tabs>
        <w:spacing w:line="560" w:lineRule="exact"/>
        <w:ind w:firstLine="482" w:firstLineChars="200"/>
        <w:rPr>
          <w:rFonts w:ascii="宋体" w:hAnsi="宋体" w:cs="宋体"/>
          <w:b/>
          <w:sz w:val="24"/>
          <w:highlight w:val="none"/>
        </w:rPr>
      </w:pPr>
      <w:r>
        <w:rPr>
          <w:rFonts w:hint="eastAsia" w:ascii="宋体" w:hAnsi="宋体" w:cs="宋体"/>
          <w:b/>
          <w:sz w:val="24"/>
          <w:highlight w:val="none"/>
        </w:rPr>
        <w:t>25.签订合同及合同的执行</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25.1采购人、成交供应商按照竞争性磋商文件确定的合同文本签订政府采购合同。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承诺，未提供承诺的供应商将拒绝其参与本次政府采购活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25.2采购人不得向成交供应商提出超过竞争性磋商文件以外的任何要求作为签订合同的条件，不得与成交供应商订立背离竞争性磋商文件确定的合同文本协议。</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line="720" w:lineRule="auto"/>
        <w:jc w:val="center"/>
        <w:rPr>
          <w:rFonts w:ascii="宋体" w:hAnsi="宋体" w:cs="宋体"/>
          <w:b/>
          <w:sz w:val="24"/>
          <w:highlight w:val="none"/>
        </w:rPr>
      </w:pPr>
      <w:r>
        <w:rPr>
          <w:rFonts w:hint="eastAsia" w:ascii="宋体" w:hAnsi="宋体" w:cs="宋体"/>
          <w:b/>
          <w:sz w:val="24"/>
          <w:highlight w:val="none"/>
        </w:rPr>
        <w:t>九、质疑处理</w:t>
      </w:r>
    </w:p>
    <w:p>
      <w:pPr>
        <w:pStyle w:val="3"/>
        <w:spacing w:line="560" w:lineRule="exact"/>
        <w:ind w:firstLine="482" w:firstLineChars="200"/>
        <w:jc w:val="both"/>
        <w:rPr>
          <w:rFonts w:ascii="宋体" w:hAnsi="宋体" w:cs="宋体"/>
          <w:b/>
          <w:sz w:val="24"/>
          <w:highlight w:val="none"/>
        </w:rPr>
      </w:pPr>
      <w:r>
        <w:rPr>
          <w:rFonts w:hint="eastAsia" w:ascii="宋体" w:hAnsi="宋体" w:cs="宋体"/>
          <w:b/>
          <w:sz w:val="24"/>
          <w:highlight w:val="none"/>
        </w:rPr>
        <w:t>26.质疑程序及处理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26.1</w:t>
      </w:r>
      <w:r>
        <w:rPr>
          <w:rFonts w:hint="eastAsia" w:ascii="宋体" w:hAnsi="宋体" w:cs="宋体"/>
          <w:bCs/>
          <w:sz w:val="24"/>
          <w:highlight w:val="none"/>
        </w:rPr>
        <w:t>投标人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26.2采购人在收到供应商的书面质疑后七个工作日内做出答复，并以书面形式通知质疑供应商和其他供应商，但答复内容不得涉及商业秘密。</w:t>
      </w:r>
    </w:p>
    <w:p>
      <w:pPr>
        <w:spacing w:line="560" w:lineRule="exact"/>
        <w:ind w:firstLine="480" w:firstLineChars="200"/>
        <w:rPr>
          <w:rFonts w:ascii="宋体" w:hAnsi="宋体" w:cs="宋体"/>
          <w:bCs/>
          <w:sz w:val="24"/>
          <w:highlight w:val="none"/>
        </w:rPr>
      </w:pPr>
      <w:r>
        <w:rPr>
          <w:rFonts w:hint="eastAsia" w:ascii="宋体" w:hAnsi="宋体" w:cs="宋体"/>
          <w:sz w:val="24"/>
          <w:highlight w:val="none"/>
        </w:rPr>
        <w:t>26.3</w:t>
      </w:r>
      <w:r>
        <w:rPr>
          <w:rFonts w:hint="eastAsia" w:ascii="宋体" w:hAnsi="宋体" w:cs="宋体"/>
          <w:bCs/>
          <w:sz w:val="24"/>
          <w:highlight w:val="none"/>
        </w:rPr>
        <w:t>质疑供应商行使质疑权时，必须遵守“实事求是”和“谨慎性”原则，承担使用虚假材料或恶意方式质疑的法律责任，</w:t>
      </w:r>
      <w:r>
        <w:rPr>
          <w:rFonts w:hint="eastAsia" w:ascii="宋体" w:hAnsi="宋体" w:cs="宋体"/>
          <w:sz w:val="24"/>
          <w:highlight w:val="none"/>
        </w:rPr>
        <w:t>采购人</w:t>
      </w:r>
      <w:r>
        <w:rPr>
          <w:rFonts w:hint="eastAsia" w:ascii="宋体" w:hAnsi="宋体" w:cs="宋体"/>
          <w:bCs/>
          <w:sz w:val="24"/>
          <w:highlight w:val="none"/>
        </w:rPr>
        <w:t>将遵循“谁过错谁负担”的原则，由过错方提交相关的调查论证费用。</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line="560" w:lineRule="exact"/>
        <w:rPr>
          <w:rFonts w:ascii="宋体" w:hAnsi="宋体" w:cs="宋体"/>
          <w:sz w:val="24"/>
          <w:highlight w:val="none"/>
        </w:rPr>
        <w:sectPr>
          <w:footerReference r:id="rId4" w:type="default"/>
          <w:pgSz w:w="11907" w:h="16840"/>
          <w:pgMar w:top="2098" w:right="1474" w:bottom="1985" w:left="1588" w:header="851" w:footer="992" w:gutter="0"/>
          <w:pgNumType w:fmt="decimal" w:start="1"/>
          <w:cols w:space="720" w:num="1"/>
          <w:docGrid w:type="lines" w:linePitch="312" w:charSpace="0"/>
        </w:sectPr>
      </w:pPr>
    </w:p>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第三章 采购项目内容及要求</w:t>
      </w:r>
    </w:p>
    <w:p>
      <w:pPr>
        <w:spacing w:line="360" w:lineRule="auto"/>
        <w:ind w:firstLine="482" w:firstLineChars="200"/>
        <w:rPr>
          <w:rFonts w:hint="eastAsia" w:ascii="宋体" w:hAnsi="宋体" w:cs="宋体"/>
          <w:b/>
          <w:color w:val="auto"/>
          <w:sz w:val="24"/>
          <w:highlight w:val="none"/>
        </w:rPr>
      </w:pPr>
      <w:r>
        <w:rPr>
          <w:rFonts w:hint="eastAsia" w:asciiTheme="minorEastAsia" w:hAnsiTheme="minorEastAsia" w:cstheme="minorEastAsia"/>
          <w:b/>
          <w:bCs w:val="0"/>
          <w:sz w:val="24"/>
          <w:szCs w:val="24"/>
          <w:highlight w:val="none"/>
          <w:lang w:val="en-US" w:eastAsia="zh-CN"/>
        </w:rPr>
        <w:t>（1）</w:t>
      </w:r>
      <w:r>
        <w:rPr>
          <w:rFonts w:hint="eastAsia" w:ascii="宋体" w:hAnsi="宋体" w:cs="宋体"/>
          <w:b/>
          <w:color w:val="auto"/>
          <w:sz w:val="24"/>
          <w:highlight w:val="none"/>
        </w:rPr>
        <w:t>采购项目内容</w:t>
      </w:r>
    </w:p>
    <w:p>
      <w:pPr>
        <w:spacing w:line="360" w:lineRule="auto"/>
        <w:ind w:firstLine="240" w:firstLineChars="100"/>
        <w:jc w:val="left"/>
        <w:rPr>
          <w:rFonts w:asciiTheme="minorEastAsia" w:hAnsiTheme="minorEastAsia" w:cstheme="minorEastAsia"/>
          <w:sz w:val="24"/>
          <w:szCs w:val="24"/>
        </w:rPr>
      </w:pPr>
      <w:r>
        <w:rPr>
          <w:rFonts w:hint="eastAsia" w:asciiTheme="minorEastAsia" w:hAnsiTheme="minorEastAsia" w:cstheme="minorEastAsia"/>
          <w:sz w:val="24"/>
          <w:szCs w:val="24"/>
        </w:rPr>
        <w:t>（一）技术要求</w:t>
      </w:r>
    </w:p>
    <w:p>
      <w:pPr>
        <w:spacing w:line="360" w:lineRule="auto"/>
        <w:ind w:firstLine="480" w:firstLineChars="200"/>
        <w:rPr>
          <w:rFonts w:asciiTheme="minorEastAsia" w:hAnsiTheme="minorEastAsia" w:cstheme="minorEastAsia"/>
          <w:bCs/>
          <w:sz w:val="24"/>
          <w:szCs w:val="24"/>
        </w:rPr>
      </w:pPr>
      <w:r>
        <w:rPr>
          <w:rFonts w:hint="eastAsia" w:asciiTheme="minorEastAsia" w:hAnsiTheme="minorEastAsia" w:cstheme="minorEastAsia"/>
          <w:bCs/>
          <w:sz w:val="24"/>
          <w:szCs w:val="24"/>
        </w:rPr>
        <w:t>1、服务内容：</w:t>
      </w:r>
    </w:p>
    <w:p>
      <w:pPr>
        <w:spacing w:line="360" w:lineRule="auto"/>
        <w:ind w:firstLine="480" w:firstLineChars="200"/>
        <w:rPr>
          <w:rFonts w:asciiTheme="minorEastAsia" w:hAnsiTheme="minorEastAsia" w:cstheme="minorEastAsia"/>
          <w:bCs/>
          <w:sz w:val="24"/>
          <w:szCs w:val="24"/>
        </w:rPr>
      </w:pPr>
      <w:r>
        <w:rPr>
          <w:rFonts w:hint="eastAsia" w:asciiTheme="minorEastAsia" w:hAnsiTheme="minorEastAsia" w:cstheme="minorEastAsia"/>
          <w:bCs/>
          <w:sz w:val="24"/>
          <w:szCs w:val="24"/>
        </w:rPr>
        <w:t>依据《历史文化名城和街区等保护提升项目建设指南（试行）》、《文化保护传承利用工程实施方案》等要求，做好数字化采集，开展对历史文化遗产的动态监测与预警，智慧化管理历史文化街区，及时发现问题和反馈问题，提升智慧化监测与管理水平。国家住建部、文物局在2020年8月印发了《国家历史文化名城申报管理办法（试行）》，明确要求建立历史文化名城保护管理平台，平台包括各类保护对象的数字测绘成果和基础信息、保护修缮、产权变更、建设资料等数字档案。周口市历史文化名城保护管理平台，通过数字化、信息化的管理手段和途径，能够全面整合全市历史文化资源，构建我市历史文化名城资料库，实现全市历史文化资源的智慧管理、科学分析、决策支撑、动态监测。</w:t>
      </w:r>
    </w:p>
    <w:p>
      <w:pPr>
        <w:spacing w:line="360" w:lineRule="auto"/>
        <w:ind w:firstLine="480" w:firstLineChars="200"/>
        <w:rPr>
          <w:rFonts w:asciiTheme="minorEastAsia" w:hAnsiTheme="minorEastAsia" w:cstheme="minorEastAsia"/>
          <w:bCs/>
          <w:sz w:val="24"/>
          <w:szCs w:val="24"/>
        </w:rPr>
      </w:pPr>
      <w:r>
        <w:rPr>
          <w:rFonts w:hint="eastAsia" w:asciiTheme="minorEastAsia" w:hAnsiTheme="minorEastAsia" w:cstheme="minorEastAsia"/>
          <w:bCs/>
          <w:sz w:val="24"/>
          <w:szCs w:val="24"/>
        </w:rPr>
        <w:t>2、服务需求：</w:t>
      </w:r>
    </w:p>
    <w:tbl>
      <w:tblPr>
        <w:tblStyle w:val="2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4"/>
        <w:gridCol w:w="1396"/>
        <w:gridCol w:w="806"/>
        <w:gridCol w:w="5430"/>
        <w:gridCol w:w="444"/>
        <w:gridCol w:w="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功能描述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历史文化保护数据资源中心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历史文化街区数据库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街区数据库具备多项功能，包括为历史建筑和遗址建立详细的数字档案、记录和展示文化活动、监控文化遗产的保护状况，以及创建一个包含多媒体资料的综合资料库。数据库需要采集广泛的数据字段，包括但不限于街区名称、行政区划、地理位置、街区面积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文物保护单位数据库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立和维护每个文物保护单位的详细档案，包括历史、现状、保护级别等基本信息；跟踪文物的保护状况，记录任何维护、修复或损坏的情况，并进行风险评估。数据库需要采集的关键数据字段包括文保单位名称、建筑风格、主要特色、现状描述、历史价值、艺术价值、科学价值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历史建筑数据库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为每一座历史建筑创建详尽的档案，包含基本信息、历史背景、建筑风格、现状描述等。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历史文化名镇、名村和传统村落数据库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建每个名镇、村落的详细数字档案，包含其历史沿革、文化特色、重要事件等，记录名镇内重要的历史建筑和自然景观，以及相关的保护措施。数据库需要采集的关键数据字段包村镇名称、详细地址、历史背景、文化特色、重要历史人物和事件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河湖水系数据库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存储每条河流或湖泊的历史水文数据，包括流量、水位、水质等。数据库需要采集的关键数据字段包括：河湖水系名称、起始位置信息、流域范围、流域面积、经纬度坐标等。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古树名木数据库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每一棵古树名木建立详细的数字档案，包括它们的历史、生态状况和保护情况。展示古树名木的文化和历史价值，提升公众对其保护的意识。数据库需要采集的关键数据字段包括树木编号、古树名称、树种、位置信息、年龄/种植年代、保护状态、管理责任单位、多媒体资料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非物质文化遗产数据库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每项非物质文化遗产建立详细的数字档案，包括历史背景、传承情况、表现形式等。记录与传承人相关的信息，数据库需要采集的关键数据字段包括遗产编号、非物质文化遗产项目的正式名称、级别、相关实物和场所、照片/视频、主要文献、研究资料、报道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优秀传统文化数据库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各类优秀的传统文化遗产建立详尽的数字档案，包括艺术、手工艺、民俗等。数据库需要采集的关键数据字段包括优秀传统文化名称、文化类型、起源时间、地理分布、简要描述优秀传统文化的核心内容、价值和意义、历史上对该文化有突出贡献或代表性的人物及其事迹、与该文化相关的传统活动、仪式或庆典、文化的传承方式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革命史迹数据库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理并存储有关革命历史的详尽文献、图像、声音等资料；提供革命历史事件和重要人物的详细索引，便于查询和研究。数据库需要采集的关键数据字段包括革命事件或战役的正式名称、事件发生的具体日期和时间段、事件发生的具体地理位置，展示事件现场、关键人物或相关文物的图片或视频资料、与该事件相关的文物、遗迹或历史建筑的名称和位置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水系文化线路和漕运商贸文化数据库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建并维护涉及水路的文化遗产和历史路径的数字档案。研究并记录水域文化线路上的文化交流和漕运对经济的影响。数据库需要采集的关键数据字段包括水域文化线路：线路名称、起点与终点、线路长度、流经地区等；漕运商贸文化：漕运商贸的发展历史、重要事件或里程碑、主要航线或水域，包括与漕运商贸相关的历史遗迹、古建筑或文化景点的名称和位置、图片/视频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历史名人数据库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每位历史名人创建详细的数字传记，包含其个人背景、重要事迹和贡献。数据库需要采集的关键数据字段包括姓名、性别、出生/逝世、国籍/地区、职业/身份、生平事迹、所属领域、代表作品、相关典故传说、社会影响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工业遗产数据库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为每项工业遗产建立详细的数字档案，包括历史背景、技术特点和社会经济影响。数据库需要采集的关键数据字段包括遗产名称、遗产编号、地理位置、所属行业等。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其他保护对象数据库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为每个保护对象建立详细的数字档案，记录其历史、文化价值和保护需求。数据库需要采集的关键数据字段能包括保护对象名称、类别、地理位置、历史背景等。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保护标准与规范数据库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每个标准规范的详细描述、适用范围、制定机构、发布日期、解释说明、实施指南、更新历史和版本信息、类别、生效时间、监督机构、案例研究等。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政策法规数据库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建成全区政策法规数据库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历史文化名城可视化管理系统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数据汇聚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对收集保护对象的数据进行展示，包括历史文献、地理信息、建筑特征、文化遗产清单、城市发展记录等多个方面的资料。它将这些数据统一处理和格式化，确保信息的准确性和一致性。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驾驶舱</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一张图进行数据总览呈现，基于电子地图，集成数据图层和可视化元素，上面可以标注重要的历史建筑、文化遗址、保护区域等；数据图表通过柱状图、折线图、饼图等形式展示文化遗产数量等信息；点击特定元素时显示详细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地图图层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每个图层包含一类特定的地理信息。例如历史建筑分布、文化遗产地点等。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保护对象坐标展示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通过地图上的明确标记来直观展现各个保护对象的具体位置。用户可以点击这些坐标点获取更多详细信息，包括该保护对象的历史背景、文化价值、保护状态和相关的多媒体资料。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保护对象信息展示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通过各种视觉和文本手段详细呈现受保护文化遗产的相关信息。这包括每个保护对象的名称、等级、历史背景、建筑风格等。通过点击地图上的标记点来弹出信息框或者在专门的信息栏目中列出详细资料。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名城概况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对全区名城资源概况进行统计分析及展示。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保护规划</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对接全区重点保护对象的保护规划要求。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政策法规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接入保护对象相关的政策法规。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历史文化保护信息管理系统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用于存储、管理和分析与文化遗产相关的各种统计数据和分析报告的数据库。这些数据包括文化遗产的数量、种类、地理分布、参观人数、保护状况以及经济和社会影响等方面的统计数字。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法规条例档案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对与文化遗产保护相关的法律、法规、条例以及其他政策文件进行归档整理。这些档案包括国家立法、地方性法规、行政规章以及国际公约等正式文件。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用户中心管理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负责维护用户档案、控制用户权限、跟踪用户活动以及提供客户服务和支持的后台管理功能。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运行管理对系统的日常运作进行监督、维护和优化。这包括确保系统的稳定运行，监控系统性能，处理技术故障等。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文化资源管理中心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历史文化街区、文物保护单位、历史建筑、历史文化名镇、名村和传统村落、河湖水系、古树名木、非物质文化遗产、优秀传统文化、革命史迹、水系文化线路和漕运商贸文化、历史名人、工业遗产、其他保护对象进行查询、新增、修改、审核、删除等维护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字典管理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对文化资源分类分级、归属区域等字典进行维护。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内容发布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对保护规划、政策法规进行查询、新增、修改、审核、删除等维护操作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系统配置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对平台的菜单、接入配置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公共组件服务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对平台的多媒体资料上传、存储等素材管理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系统云资源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云主机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不低于CPU8C、内存16G、存储1T、高IO的资源规格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带宽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外网共享带宽100M/s，IP地址2个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能够满足平台部署，且稳定运行的云资源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bl>
    <w:p>
      <w:pPr>
        <w:spacing w:line="360" w:lineRule="auto"/>
        <w:ind w:firstLine="482" w:firstLineChars="200"/>
        <w:rPr>
          <w:rFonts w:hint="eastAsia" w:ascii="宋体" w:hAnsi="宋体" w:cs="宋体"/>
          <w:b/>
          <w:bCs/>
          <w:sz w:val="24"/>
          <w:highlight w:val="none"/>
        </w:rPr>
      </w:pPr>
    </w:p>
    <w:p>
      <w:pPr>
        <w:spacing w:line="360" w:lineRule="auto"/>
        <w:ind w:firstLine="482" w:firstLineChars="200"/>
        <w:rPr>
          <w:rFonts w:hint="eastAsia" w:asciiTheme="minorEastAsia" w:hAnsiTheme="minorEastAsia" w:eastAsiaTheme="minorEastAsia" w:cstheme="minorEastAsia"/>
          <w:b/>
          <w:bCs w:val="0"/>
          <w:sz w:val="24"/>
          <w:szCs w:val="24"/>
          <w:highlight w:val="none"/>
        </w:rPr>
      </w:pPr>
      <w:r>
        <w:rPr>
          <w:rFonts w:hint="eastAsia" w:asciiTheme="minorEastAsia" w:hAnsiTheme="minorEastAsia" w:eastAsiaTheme="minorEastAsia" w:cstheme="minorEastAsia"/>
          <w:b/>
          <w:bCs w:val="0"/>
          <w:sz w:val="24"/>
          <w:szCs w:val="24"/>
          <w:highlight w:val="none"/>
        </w:rPr>
        <w:t>（2）商务要求</w:t>
      </w:r>
    </w:p>
    <w:p>
      <w:pPr>
        <w:spacing w:line="360" w:lineRule="auto"/>
        <w:ind w:firstLine="480" w:firstLineChars="2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1、支付方式：采用二期支付。</w:t>
      </w:r>
    </w:p>
    <w:p>
      <w:pPr>
        <w:spacing w:line="360" w:lineRule="auto"/>
        <w:ind w:firstLine="2100" w:firstLineChars="875"/>
        <w:rPr>
          <w:rFonts w:asciiTheme="minorEastAsia" w:hAnsiTheme="minorEastAsia" w:cstheme="minorEastAsia"/>
          <w:sz w:val="24"/>
          <w:szCs w:val="24"/>
        </w:rPr>
      </w:pPr>
      <w:r>
        <w:rPr>
          <w:rFonts w:hint="eastAsia" w:asciiTheme="minorEastAsia" w:hAnsiTheme="minorEastAsia" w:cstheme="minorEastAsia"/>
          <w:sz w:val="24"/>
          <w:szCs w:val="24"/>
        </w:rPr>
        <w:t>第一期：合同签订后支付</w:t>
      </w:r>
      <w:r>
        <w:rPr>
          <w:rFonts w:asciiTheme="minorEastAsia" w:hAnsiTheme="minorEastAsia" w:cstheme="minorEastAsia"/>
          <w:sz w:val="24"/>
          <w:szCs w:val="24"/>
        </w:rPr>
        <w:t>4</w:t>
      </w:r>
      <w:r>
        <w:rPr>
          <w:rFonts w:hint="eastAsia" w:asciiTheme="minorEastAsia" w:hAnsiTheme="minorEastAsia" w:cstheme="minorEastAsia"/>
          <w:sz w:val="24"/>
          <w:szCs w:val="24"/>
        </w:rPr>
        <w:t>0%。</w:t>
      </w:r>
    </w:p>
    <w:p>
      <w:pPr>
        <w:spacing w:line="360" w:lineRule="auto"/>
        <w:ind w:left="0" w:leftChars="0" w:firstLine="2100" w:firstLineChars="875"/>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rPr>
        <w:t>第二期：通过验收后支付60%。</w:t>
      </w:r>
    </w:p>
    <w:p>
      <w:pPr>
        <w:spacing w:line="360" w:lineRule="auto"/>
        <w:ind w:firstLine="480" w:firstLineChars="20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2、服务地点：甲方指定地点</w:t>
      </w:r>
      <w:r>
        <w:rPr>
          <w:rFonts w:hint="eastAsia" w:asciiTheme="minorEastAsia" w:hAnsiTheme="minorEastAsia" w:eastAsiaTheme="minorEastAsia" w:cstheme="minorEastAsia"/>
          <w:sz w:val="24"/>
          <w:szCs w:val="24"/>
          <w:highlight w:val="none"/>
          <w:lang w:eastAsia="zh-CN"/>
        </w:rPr>
        <w:t>；</w:t>
      </w:r>
    </w:p>
    <w:p>
      <w:pPr>
        <w:spacing w:line="360" w:lineRule="auto"/>
        <w:ind w:firstLine="480" w:firstLineChars="20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3、服务期：2年；</w:t>
      </w:r>
    </w:p>
    <w:p>
      <w:pPr>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、质量保证：</w:t>
      </w:r>
      <w:r>
        <w:rPr>
          <w:rFonts w:hint="eastAsia" w:asciiTheme="minorEastAsia" w:hAnsiTheme="minorEastAsia" w:eastAsiaTheme="minorEastAsia" w:cstheme="minorEastAsia"/>
          <w:sz w:val="24"/>
          <w:szCs w:val="24"/>
          <w:highlight w:val="none"/>
          <w:lang w:val="en-US" w:eastAsia="zh-CN"/>
        </w:rPr>
        <w:t>合格，满足国家现行有关城乡规划编制法规、技术标准的要求，符合国家相关规定，通过政府相关部门审查</w:t>
      </w:r>
      <w:r>
        <w:rPr>
          <w:rFonts w:hint="eastAsia" w:asciiTheme="minorEastAsia" w:hAnsiTheme="minorEastAsia" w:eastAsiaTheme="minorEastAsia" w:cstheme="minorEastAsia"/>
          <w:sz w:val="24"/>
          <w:szCs w:val="24"/>
          <w:highlight w:val="none"/>
        </w:rPr>
        <w:t>。</w:t>
      </w:r>
    </w:p>
    <w:p>
      <w:pPr>
        <w:spacing w:line="480" w:lineRule="auto"/>
        <w:jc w:val="center"/>
        <w:rPr>
          <w:rFonts w:hint="eastAsia" w:ascii="宋体" w:hAnsi="宋体" w:cs="宋体"/>
          <w:b/>
          <w:bCs/>
          <w:sz w:val="24"/>
          <w:highlight w:val="none"/>
        </w:rPr>
      </w:pPr>
    </w:p>
    <w:p>
      <w:pPr>
        <w:spacing w:line="480" w:lineRule="auto"/>
        <w:jc w:val="center"/>
        <w:rPr>
          <w:rFonts w:hint="eastAsia" w:ascii="宋体" w:hAnsi="宋体" w:cs="宋体"/>
          <w:b/>
          <w:bCs/>
          <w:sz w:val="24"/>
          <w:highlight w:val="none"/>
        </w:rPr>
      </w:pPr>
    </w:p>
    <w:p>
      <w:pPr>
        <w:spacing w:line="480" w:lineRule="auto"/>
        <w:jc w:val="center"/>
        <w:rPr>
          <w:rFonts w:hint="eastAsia" w:ascii="宋体" w:hAnsi="宋体" w:cs="宋体"/>
          <w:b/>
          <w:bCs/>
          <w:sz w:val="24"/>
          <w:highlight w:val="none"/>
        </w:rPr>
      </w:pPr>
    </w:p>
    <w:p>
      <w:pPr>
        <w:spacing w:line="480" w:lineRule="auto"/>
        <w:jc w:val="center"/>
        <w:rPr>
          <w:rFonts w:hint="eastAsia" w:ascii="宋体" w:hAnsi="宋体" w:cs="宋体"/>
          <w:b/>
          <w:bCs/>
          <w:sz w:val="24"/>
          <w:highlight w:val="none"/>
        </w:rPr>
      </w:pPr>
    </w:p>
    <w:p>
      <w:pPr>
        <w:rPr>
          <w:rFonts w:hint="eastAsia" w:ascii="宋体" w:hAnsi="宋体" w:cs="宋体"/>
          <w:b/>
          <w:bCs/>
          <w:sz w:val="24"/>
          <w:highlight w:val="none"/>
        </w:rPr>
      </w:pPr>
      <w:r>
        <w:rPr>
          <w:rFonts w:hint="eastAsia" w:ascii="宋体" w:hAnsi="宋体" w:cs="宋体"/>
          <w:b/>
          <w:bCs/>
          <w:sz w:val="24"/>
          <w:highlight w:val="none"/>
        </w:rPr>
        <w:br w:type="page"/>
      </w:r>
    </w:p>
    <w:p>
      <w:pPr>
        <w:spacing w:line="480" w:lineRule="auto"/>
        <w:jc w:val="center"/>
        <w:rPr>
          <w:rFonts w:ascii="宋体" w:hAnsi="宋体" w:cs="宋体"/>
          <w:sz w:val="24"/>
          <w:highlight w:val="none"/>
        </w:rPr>
      </w:pPr>
      <w:r>
        <w:rPr>
          <w:rFonts w:hint="eastAsia" w:ascii="宋体" w:hAnsi="宋体" w:cs="宋体"/>
          <w:b/>
          <w:bCs/>
          <w:sz w:val="24"/>
          <w:highlight w:val="none"/>
        </w:rPr>
        <w:t>第</w:t>
      </w:r>
      <w:r>
        <w:rPr>
          <w:rFonts w:hint="eastAsia" w:ascii="宋体" w:hAnsi="宋体" w:cs="宋体"/>
          <w:b/>
          <w:bCs/>
          <w:sz w:val="24"/>
          <w:highlight w:val="none"/>
          <w:lang w:val="en-US" w:eastAsia="zh-CN"/>
        </w:rPr>
        <w:t>四</w:t>
      </w:r>
      <w:r>
        <w:rPr>
          <w:rFonts w:hint="eastAsia" w:ascii="宋体" w:hAnsi="宋体" w:cs="宋体"/>
          <w:b/>
          <w:bCs/>
          <w:sz w:val="24"/>
          <w:highlight w:val="none"/>
        </w:rPr>
        <w:t>章  响应性文件内容及格式</w:t>
      </w:r>
    </w:p>
    <w:p>
      <w:pPr>
        <w:spacing w:line="560" w:lineRule="exact"/>
        <w:ind w:firstLine="480" w:firstLineChars="200"/>
        <w:rPr>
          <w:rFonts w:ascii="宋体" w:hAnsi="宋体" w:cs="宋体"/>
          <w:sz w:val="24"/>
          <w:highlight w:val="none"/>
        </w:rPr>
      </w:pPr>
      <w:r>
        <w:rPr>
          <w:rFonts w:hint="eastAsia" w:ascii="宋体" w:hAnsi="宋体" w:cs="宋体"/>
          <w:sz w:val="24"/>
          <w:highlight w:val="none"/>
        </w:rPr>
        <w:t xml:space="preserve">注：请供应商按照以下文件的要求格式、内容，顺序制作响应性文件，并编制目录及页码，否则可能将影响对响应性文件的评价。 </w:t>
      </w:r>
    </w:p>
    <w:p>
      <w:pPr>
        <w:spacing w:line="560" w:lineRule="exact"/>
        <w:ind w:firstLine="482" w:firstLineChars="200"/>
        <w:rPr>
          <w:rFonts w:ascii="宋体" w:hAnsi="宋体" w:cs="宋体"/>
          <w:b/>
          <w:sz w:val="24"/>
          <w:highlight w:val="none"/>
        </w:rPr>
      </w:pPr>
      <w:r>
        <w:rPr>
          <w:rFonts w:hint="eastAsia" w:ascii="宋体" w:hAnsi="宋体" w:cs="宋体"/>
          <w:b/>
          <w:sz w:val="24"/>
          <w:highlight w:val="none"/>
        </w:rPr>
        <w:t>重要提示：</w:t>
      </w:r>
    </w:p>
    <w:p>
      <w:pPr>
        <w:snapToGrid w:val="0"/>
        <w:spacing w:line="560" w:lineRule="exact"/>
        <w:ind w:firstLine="480" w:firstLineChars="200"/>
        <w:rPr>
          <w:rFonts w:ascii="宋体" w:hAnsi="宋体" w:cs="宋体"/>
          <w:sz w:val="24"/>
          <w:highlight w:val="none"/>
        </w:rPr>
      </w:pPr>
      <w:r>
        <w:rPr>
          <w:rFonts w:hint="eastAsia" w:ascii="宋体" w:hAnsi="宋体" w:cs="宋体"/>
          <w:sz w:val="24"/>
          <w:highlight w:val="none"/>
        </w:rPr>
        <w:t>1．供应商在编制响应性文件时，</w:t>
      </w:r>
      <w:r>
        <w:rPr>
          <w:rFonts w:hint="eastAsia" w:ascii="宋体" w:hAnsi="宋体" w:cs="宋体"/>
          <w:b/>
          <w:bCs/>
          <w:sz w:val="24"/>
          <w:highlight w:val="none"/>
        </w:rPr>
        <w:t>对于给定格式的文件内容，必须按照给定的标准格式进行填报；</w:t>
      </w:r>
      <w:r>
        <w:rPr>
          <w:rFonts w:hint="eastAsia" w:ascii="宋体" w:hAnsi="宋体" w:cs="宋体"/>
          <w:b w:val="0"/>
          <w:bCs w:val="0"/>
          <w:sz w:val="24"/>
          <w:highlight w:val="none"/>
        </w:rPr>
        <w:t>对于没有给定标准格式的文件内容，可以由供应商自行设计</w:t>
      </w:r>
      <w:r>
        <w:rPr>
          <w:rFonts w:hint="eastAsia" w:ascii="宋体" w:hAnsi="宋体" w:cs="宋体"/>
          <w:sz w:val="24"/>
          <w:highlight w:val="none"/>
        </w:rPr>
        <w:t>。</w:t>
      </w:r>
    </w:p>
    <w:p>
      <w:pPr>
        <w:snapToGrid w:val="0"/>
        <w:spacing w:line="560" w:lineRule="exact"/>
        <w:ind w:firstLine="480" w:firstLineChars="200"/>
        <w:rPr>
          <w:rFonts w:ascii="宋体" w:hAnsi="宋体" w:cs="宋体"/>
          <w:sz w:val="24"/>
          <w:highlight w:val="none"/>
        </w:rPr>
      </w:pPr>
      <w:r>
        <w:rPr>
          <w:rFonts w:hint="eastAsia" w:ascii="宋体" w:hAnsi="宋体" w:cs="宋体"/>
          <w:sz w:val="24"/>
          <w:highlight w:val="none"/>
        </w:rPr>
        <w:t>2.法定代表人本人参加竞争性磋商的，不需提供授权委托书。</w:t>
      </w: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napToGrid w:val="0"/>
        <w:jc w:val="left"/>
        <w:rPr>
          <w:rFonts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left"/>
        <w:rPr>
          <w:rFonts w:hint="eastAsia" w:ascii="宋体" w:hAnsi="宋体" w:cs="宋体"/>
          <w:sz w:val="24"/>
          <w:highlight w:val="none"/>
        </w:rPr>
      </w:pPr>
    </w:p>
    <w:p>
      <w:pPr>
        <w:spacing w:line="360" w:lineRule="auto"/>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1 </w:t>
      </w:r>
      <w:r>
        <w:rPr>
          <w:rFonts w:hint="eastAsia" w:ascii="宋体" w:hAnsi="宋体" w:cs="宋体"/>
          <w:b/>
          <w:bCs/>
          <w:sz w:val="24"/>
          <w:highlight w:val="none"/>
        </w:rPr>
        <w:t>法定代表人身份证明书</w:t>
      </w:r>
    </w:p>
    <w:p>
      <w:pPr>
        <w:spacing w:line="360" w:lineRule="auto"/>
        <w:jc w:val="center"/>
        <w:rPr>
          <w:rFonts w:ascii="宋体" w:hAnsi="宋体" w:cs="宋体"/>
          <w:sz w:val="24"/>
          <w:highlight w:val="none"/>
        </w:rPr>
      </w:pPr>
      <w:r>
        <w:rPr>
          <w:rFonts w:hint="eastAsia" w:ascii="宋体" w:hAnsi="宋体" w:cs="宋体"/>
          <w:sz w:val="24"/>
          <w:highlight w:val="none"/>
        </w:rPr>
        <w:t>（法定代表人参加竞争性磋商的，出具此证明书）</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同志，系我单位法定代表人，任职务。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特此证明。</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附：联系地址：               </w:t>
      </w:r>
    </w:p>
    <w:p>
      <w:pPr>
        <w:spacing w:line="360" w:lineRule="auto"/>
        <w:ind w:firstLine="960" w:firstLineChars="400"/>
        <w:rPr>
          <w:rFonts w:ascii="宋体" w:hAnsi="宋体" w:cs="宋体"/>
          <w:b/>
          <w:sz w:val="24"/>
          <w:highlight w:val="none"/>
        </w:rPr>
      </w:pPr>
      <w:r>
        <w:rPr>
          <w:rFonts w:hint="eastAsia" w:ascii="宋体" w:hAnsi="宋体" w:cs="宋体"/>
          <w:sz w:val="24"/>
          <w:highlight w:val="none"/>
        </w:rPr>
        <w:t>联系电话：</w:t>
      </w:r>
    </w:p>
    <w:tbl>
      <w:tblPr>
        <w:tblStyle w:val="29"/>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pPr>
              <w:spacing w:line="480" w:lineRule="exact"/>
              <w:rPr>
                <w:rFonts w:ascii="宋体" w:hAnsi="宋体" w:cs="宋体"/>
                <w:b/>
                <w:bCs/>
                <w:sz w:val="24"/>
                <w:highlight w:val="none"/>
              </w:rPr>
            </w:pPr>
          </w:p>
          <w:p>
            <w:pPr>
              <w:spacing w:line="480" w:lineRule="exact"/>
              <w:rPr>
                <w:rFonts w:ascii="宋体" w:hAnsi="宋体" w:cs="宋体"/>
                <w:b/>
                <w:bCs/>
                <w:sz w:val="24"/>
                <w:highlight w:val="none"/>
              </w:rPr>
            </w:pPr>
          </w:p>
          <w:p>
            <w:pPr>
              <w:spacing w:line="480" w:lineRule="exact"/>
              <w:jc w:val="center"/>
              <w:rPr>
                <w:rFonts w:ascii="宋体" w:hAnsi="宋体" w:cs="宋体"/>
                <w:b/>
                <w:bCs/>
                <w:sz w:val="24"/>
                <w:highlight w:val="none"/>
              </w:rPr>
            </w:pPr>
            <w:r>
              <w:rPr>
                <w:rFonts w:hint="eastAsia" w:ascii="宋体" w:hAnsi="宋体" w:cs="宋体"/>
                <w:b/>
                <w:bCs/>
                <w:sz w:val="24"/>
                <w:highlight w:val="none"/>
              </w:rPr>
              <w:t>（※附：法定代表人身份证复印件※）</w:t>
            </w:r>
          </w:p>
          <w:p>
            <w:pPr>
              <w:spacing w:line="480" w:lineRule="exact"/>
              <w:rPr>
                <w:rFonts w:ascii="宋体" w:hAnsi="宋体" w:cs="宋体"/>
                <w:sz w:val="24"/>
                <w:highlight w:val="none"/>
              </w:rPr>
            </w:pPr>
          </w:p>
          <w:p>
            <w:pPr>
              <w:spacing w:line="480" w:lineRule="exact"/>
              <w:rPr>
                <w:rFonts w:ascii="宋体" w:hAnsi="宋体" w:cs="宋体"/>
                <w:sz w:val="24"/>
                <w:highlight w:val="none"/>
              </w:rPr>
            </w:pPr>
          </w:p>
        </w:tc>
      </w:tr>
    </w:tbl>
    <w:p>
      <w:pPr>
        <w:spacing w:line="360" w:lineRule="auto"/>
        <w:ind w:firstLine="960" w:firstLineChars="400"/>
        <w:rPr>
          <w:rFonts w:ascii="宋体" w:hAnsi="宋体" w:cs="宋体"/>
          <w:sz w:val="24"/>
          <w:highlight w:val="none"/>
        </w:rPr>
      </w:pPr>
    </w:p>
    <w:p>
      <w:pPr>
        <w:spacing w:line="360" w:lineRule="auto"/>
        <w:ind w:firstLine="3840" w:firstLineChars="1600"/>
        <w:rPr>
          <w:rFonts w:ascii="宋体" w:hAnsi="宋体" w:cs="宋体"/>
          <w:sz w:val="24"/>
          <w:highlight w:val="none"/>
        </w:rPr>
      </w:pPr>
    </w:p>
    <w:p>
      <w:pPr>
        <w:spacing w:line="360" w:lineRule="auto"/>
        <w:ind w:firstLine="3840" w:firstLineChars="1600"/>
        <w:rPr>
          <w:rFonts w:ascii="宋体" w:hAnsi="宋体" w:cs="宋体"/>
          <w:sz w:val="24"/>
          <w:highlight w:val="none"/>
        </w:rPr>
      </w:pPr>
    </w:p>
    <w:p>
      <w:pPr>
        <w:spacing w:line="360" w:lineRule="auto"/>
        <w:ind w:firstLine="3840" w:firstLineChars="1600"/>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widowControl/>
        <w:jc w:val="center"/>
        <w:rPr>
          <w:rFonts w:ascii="宋体" w:hAnsi="宋体" w:cs="宋体"/>
          <w:kern w:val="0"/>
          <w:sz w:val="24"/>
          <w:highlight w:val="none"/>
        </w:rPr>
      </w:pPr>
    </w:p>
    <w:p>
      <w:pPr>
        <w:pStyle w:val="37"/>
        <w:ind w:firstLine="210"/>
        <w:rPr>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2 </w:t>
      </w:r>
      <w:r>
        <w:rPr>
          <w:rFonts w:hint="eastAsia" w:ascii="宋体" w:hAnsi="宋体" w:cs="宋体"/>
          <w:b/>
          <w:bCs/>
          <w:sz w:val="24"/>
          <w:highlight w:val="none"/>
        </w:rPr>
        <w:t>授权委托书</w:t>
      </w:r>
    </w:p>
    <w:p>
      <w:pPr>
        <w:spacing w:line="360" w:lineRule="auto"/>
        <w:jc w:val="center"/>
        <w:rPr>
          <w:rFonts w:ascii="宋体" w:hAnsi="宋体" w:cs="宋体"/>
          <w:sz w:val="24"/>
          <w:highlight w:val="none"/>
        </w:rPr>
      </w:pPr>
      <w:r>
        <w:rPr>
          <w:rFonts w:hint="eastAsia" w:ascii="宋体" w:hAnsi="宋体" w:cs="宋体"/>
          <w:sz w:val="24"/>
          <w:highlight w:val="none"/>
        </w:rPr>
        <w:t>（委托代理人参加竞争性磋商的，出具此证明书）</w:t>
      </w: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委托人授权（被委托人的姓名、职务）为委托人的委托代理人，就项目编号为的项目及合同的执行，以本单位名义处理一切与之有关的事务。</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本授权书于年月日签字生效，特此声明。</w:t>
      </w:r>
    </w:p>
    <w:p>
      <w:pPr>
        <w:spacing w:line="360" w:lineRule="auto"/>
        <w:rPr>
          <w:rFonts w:ascii="宋体" w:hAnsi="宋体" w:cs="宋体"/>
          <w:sz w:val="24"/>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委托人：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供应商电子签章：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被委托人：</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法定代表人：</w:t>
      </w:r>
    </w:p>
    <w:tbl>
      <w:tblPr>
        <w:tblStyle w:val="29"/>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pPr>
              <w:spacing w:line="480" w:lineRule="exact"/>
              <w:rPr>
                <w:rFonts w:ascii="宋体" w:hAnsi="宋体" w:cs="宋体"/>
                <w:b/>
                <w:bCs/>
                <w:sz w:val="24"/>
                <w:highlight w:val="none"/>
              </w:rPr>
            </w:pPr>
          </w:p>
          <w:p>
            <w:pPr>
              <w:spacing w:line="480" w:lineRule="exact"/>
              <w:rPr>
                <w:rFonts w:ascii="宋体" w:hAnsi="宋体" w:cs="宋体"/>
                <w:b/>
                <w:bCs/>
                <w:sz w:val="24"/>
                <w:highlight w:val="none"/>
              </w:rPr>
            </w:pPr>
          </w:p>
          <w:p>
            <w:pPr>
              <w:spacing w:line="480" w:lineRule="exact"/>
              <w:jc w:val="center"/>
              <w:rPr>
                <w:rFonts w:ascii="宋体" w:hAnsi="宋体" w:cs="宋体"/>
                <w:sz w:val="24"/>
                <w:highlight w:val="none"/>
              </w:rPr>
            </w:pPr>
            <w:r>
              <w:rPr>
                <w:rFonts w:hint="eastAsia" w:ascii="宋体" w:hAnsi="宋体" w:cs="宋体"/>
                <w:b/>
                <w:bCs/>
                <w:sz w:val="24"/>
                <w:highlight w:val="none"/>
              </w:rPr>
              <w:t>（※附：被委托人身份证复印件※）</w:t>
            </w:r>
          </w:p>
        </w:tc>
      </w:tr>
    </w:tbl>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spacing w:line="360" w:lineRule="auto"/>
        <w:ind w:firstLine="480" w:firstLineChars="200"/>
        <w:rPr>
          <w:rFonts w:ascii="宋体" w:hAnsi="宋体" w:cs="宋体"/>
          <w:sz w:val="24"/>
          <w:highlight w:val="none"/>
        </w:rPr>
      </w:pPr>
    </w:p>
    <w:p>
      <w:pPr>
        <w:spacing w:line="360" w:lineRule="auto"/>
        <w:ind w:firstLine="4920" w:firstLineChars="2050"/>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jc w:val="center"/>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center"/>
        <w:rPr>
          <w:rFonts w:ascii="宋体" w:hAnsi="宋体" w:cs="宋体"/>
          <w:sz w:val="24"/>
          <w:highlight w:val="none"/>
        </w:rPr>
      </w:pPr>
      <w:r>
        <w:rPr>
          <w:rFonts w:hint="eastAsia" w:ascii="宋体" w:hAnsi="宋体" w:cs="宋体"/>
          <w:sz w:val="24"/>
          <w:highlight w:val="none"/>
        </w:rPr>
        <w:t xml:space="preserve">                                      </w:t>
      </w: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center"/>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spacing w:line="360" w:lineRule="auto"/>
        <w:jc w:val="center"/>
        <w:rPr>
          <w:rFonts w:ascii="宋体" w:hAnsi="宋体" w:cs="宋体"/>
          <w:sz w:val="24"/>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Fonts w:hint="eastAsia" w:ascii="宋体" w:hAnsi="宋体" w:eastAsia="宋体" w:cs="宋体"/>
          <w:b/>
          <w:bCs/>
          <w:sz w:val="24"/>
          <w:highlight w:val="none"/>
          <w:lang w:eastAsia="zh-CN"/>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3  </w:t>
      </w:r>
      <w:r>
        <w:rPr>
          <w:rFonts w:hint="eastAsia" w:ascii="宋体" w:hAnsi="宋体" w:cs="宋体"/>
          <w:b/>
          <w:bCs/>
          <w:sz w:val="24"/>
          <w:highlight w:val="none"/>
        </w:rPr>
        <w:t>企业营业执照副本及</w:t>
      </w:r>
      <w:r>
        <w:rPr>
          <w:rFonts w:hint="eastAsia" w:ascii="宋体" w:hAnsi="宋体" w:cs="宋体"/>
          <w:b/>
          <w:bCs/>
          <w:kern w:val="0"/>
          <w:sz w:val="24"/>
          <w:highlight w:val="none"/>
        </w:rPr>
        <w:t>资格性证明材料</w:t>
      </w:r>
    </w:p>
    <w:p>
      <w:pPr>
        <w:pStyle w:val="37"/>
        <w:ind w:firstLine="210"/>
        <w:rPr>
          <w:highlight w:val="none"/>
        </w:rPr>
      </w:pPr>
    </w:p>
    <w:p>
      <w:pPr>
        <w:pStyle w:val="37"/>
        <w:ind w:firstLine="210"/>
        <w:rPr>
          <w:highlight w:val="none"/>
        </w:rPr>
      </w:pPr>
    </w:p>
    <w:p>
      <w:pPr>
        <w:pStyle w:val="37"/>
        <w:ind w:firstLine="210"/>
        <w:rPr>
          <w:highlight w:val="none"/>
        </w:rPr>
      </w:pPr>
    </w:p>
    <w:p>
      <w:pPr>
        <w:pStyle w:val="37"/>
        <w:ind w:firstLine="210"/>
        <w:rPr>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4 </w:t>
      </w:r>
      <w:r>
        <w:rPr>
          <w:rFonts w:hint="eastAsia" w:ascii="宋体" w:hAnsi="宋体" w:cs="宋体"/>
          <w:b/>
          <w:bCs/>
          <w:sz w:val="24"/>
          <w:highlight w:val="none"/>
        </w:rPr>
        <w:t>政府采购法第二十二条及参加政府采购活动前三年内无重大违法记录的书面声明</w:t>
      </w:r>
    </w:p>
    <w:p>
      <w:pPr>
        <w:spacing w:line="360" w:lineRule="auto"/>
        <w:jc w:val="left"/>
        <w:rPr>
          <w:rFonts w:ascii="宋体" w:hAnsi="宋体" w:cs="宋体"/>
          <w:sz w:val="24"/>
          <w:highlight w:val="none"/>
        </w:rPr>
      </w:pPr>
    </w:p>
    <w:p>
      <w:pPr>
        <w:spacing w:line="360" w:lineRule="auto"/>
        <w:jc w:val="left"/>
        <w:rPr>
          <w:rFonts w:hint="eastAsia" w:ascii="宋体" w:hAnsi="宋体" w:cs="宋体"/>
          <w:sz w:val="24"/>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5 </w:t>
      </w:r>
      <w:r>
        <w:rPr>
          <w:rFonts w:hint="eastAsia" w:ascii="宋体" w:hAnsi="宋体" w:cs="宋体"/>
          <w:b/>
          <w:bCs/>
          <w:sz w:val="24"/>
          <w:highlight w:val="none"/>
        </w:rPr>
        <w:t>投标函</w:t>
      </w:r>
    </w:p>
    <w:p>
      <w:pPr>
        <w:pStyle w:val="26"/>
        <w:shd w:val="clear" w:color="auto" w:fill="FFFFFF"/>
        <w:adjustRightInd w:val="0"/>
        <w:snapToGrid w:val="0"/>
        <w:spacing w:before="0" w:beforeAutospacing="0" w:after="0" w:afterAutospacing="0" w:line="360" w:lineRule="auto"/>
        <w:rPr>
          <w:rFonts w:cs="宋体"/>
          <w:highlight w:val="none"/>
        </w:rPr>
      </w:pPr>
      <w:r>
        <w:rPr>
          <w:rFonts w:hint="eastAsia" w:cs="宋体"/>
          <w:szCs w:val="24"/>
          <w:highlight w:val="none"/>
        </w:rPr>
        <w:t>致：</w:t>
      </w:r>
      <w:r>
        <w:rPr>
          <w:rFonts w:hint="eastAsia" w:cs="宋体"/>
          <w:kern w:val="2"/>
          <w:highlight w:val="none"/>
        </w:rPr>
        <w:t>（采购人或采购代理机构）</w:t>
      </w:r>
    </w:p>
    <w:p>
      <w:pPr>
        <w:pStyle w:val="61"/>
        <w:ind w:firstLine="600" w:firstLineChars="250"/>
        <w:rPr>
          <w:rFonts w:ascii="宋体" w:hAnsi="宋体"/>
          <w:sz w:val="24"/>
          <w:szCs w:val="24"/>
          <w:highlight w:val="none"/>
        </w:rPr>
      </w:pPr>
      <w:r>
        <w:rPr>
          <w:rFonts w:hint="eastAsia" w:ascii="宋体" w:hAnsi="宋体"/>
          <w:sz w:val="24"/>
          <w:szCs w:val="24"/>
          <w:highlight w:val="none"/>
        </w:rPr>
        <w:t>根据贵方</w:t>
      </w:r>
      <w:r>
        <w:rPr>
          <w:rFonts w:hint="eastAsia" w:ascii="宋体" w:hAnsi="宋体"/>
          <w:sz w:val="24"/>
          <w:szCs w:val="24"/>
          <w:highlight w:val="none"/>
          <w:u w:val="single"/>
        </w:rPr>
        <w:t>（本项目名称）</w:t>
      </w:r>
      <w:r>
        <w:rPr>
          <w:rFonts w:hint="eastAsia" w:ascii="宋体" w:hAnsi="宋体"/>
          <w:sz w:val="24"/>
          <w:szCs w:val="24"/>
          <w:highlight w:val="none"/>
        </w:rPr>
        <w:t>项目的竞争性磋商邀请（项目编号</w:t>
      </w:r>
      <w:r>
        <w:rPr>
          <w:rFonts w:hint="eastAsia" w:ascii="宋体" w:hAnsi="宋体"/>
          <w:sz w:val="24"/>
          <w:szCs w:val="24"/>
          <w:highlight w:val="none"/>
          <w:u w:val="single"/>
        </w:rPr>
        <w:t xml:space="preserve">：          </w:t>
      </w:r>
      <w:r>
        <w:rPr>
          <w:rFonts w:hint="eastAsia" w:ascii="宋体" w:hAnsi="宋体"/>
          <w:sz w:val="24"/>
          <w:szCs w:val="24"/>
          <w:highlight w:val="none"/>
        </w:rPr>
        <w:t>），委托代理人 (全名、职务)代表 供应商名称、地址)提交投标文件，报价为</w:t>
      </w:r>
      <w:r>
        <w:rPr>
          <w:rFonts w:hint="eastAsia" w:ascii="宋体" w:hAnsi="宋体"/>
          <w:sz w:val="24"/>
          <w:szCs w:val="24"/>
          <w:highlight w:val="none"/>
          <w:u w:val="single"/>
        </w:rPr>
        <w:t>：    元，</w:t>
      </w:r>
      <w:r>
        <w:rPr>
          <w:rFonts w:hint="eastAsia" w:ascii="宋体" w:hAnsi="宋体"/>
          <w:sz w:val="24"/>
          <w:szCs w:val="24"/>
          <w:highlight w:val="none"/>
        </w:rPr>
        <w:t>并对之负法律责任。</w:t>
      </w:r>
    </w:p>
    <w:p>
      <w:pPr>
        <w:ind w:firstLine="568" w:firstLineChars="237"/>
        <w:rPr>
          <w:rFonts w:ascii="宋体" w:hAnsi="宋体" w:cs="宋体"/>
          <w:sz w:val="24"/>
          <w:highlight w:val="none"/>
        </w:rPr>
      </w:pPr>
      <w:r>
        <w:rPr>
          <w:rFonts w:hint="eastAsia" w:ascii="宋体" w:hAnsi="宋体" w:cs="宋体"/>
          <w:sz w:val="24"/>
          <w:highlight w:val="none"/>
        </w:rPr>
        <w:t>据此函，宣布同意如下：</w:t>
      </w:r>
    </w:p>
    <w:p>
      <w:pPr>
        <w:ind w:firstLine="480" w:firstLineChars="200"/>
        <w:rPr>
          <w:rFonts w:ascii="宋体" w:hAnsi="宋体" w:cs="宋体"/>
          <w:sz w:val="24"/>
          <w:highlight w:val="none"/>
        </w:rPr>
      </w:pPr>
      <w:r>
        <w:rPr>
          <w:rFonts w:hint="eastAsia" w:ascii="宋体" w:hAnsi="宋体" w:cs="宋体"/>
          <w:sz w:val="24"/>
          <w:highlight w:val="none"/>
        </w:rPr>
        <w:t>(1)我们完全理解贵方不一定要接受最低报价，并同意本文件规定的响应性文件有效期。</w:t>
      </w:r>
    </w:p>
    <w:p>
      <w:pPr>
        <w:ind w:firstLine="480" w:firstLineChars="200"/>
        <w:rPr>
          <w:rFonts w:ascii="宋体" w:hAnsi="宋体" w:cs="宋体"/>
          <w:sz w:val="24"/>
          <w:highlight w:val="none"/>
        </w:rPr>
      </w:pPr>
      <w:r>
        <w:rPr>
          <w:rFonts w:hint="eastAsia" w:ascii="宋体" w:hAnsi="宋体" w:cs="宋体"/>
          <w:sz w:val="24"/>
          <w:highlight w:val="none"/>
        </w:rPr>
        <w:t>(2)我们已详细审核全部竞争性磋商文件，我们知道必须放弃提出含糊不清或误解的问题的权利。</w:t>
      </w:r>
    </w:p>
    <w:p>
      <w:pPr>
        <w:numPr>
          <w:ilvl w:val="0"/>
          <w:numId w:val="3"/>
        </w:numPr>
        <w:ind w:firstLine="480" w:firstLineChars="200"/>
        <w:rPr>
          <w:rFonts w:ascii="宋体" w:hAnsi="宋体" w:cs="宋体"/>
          <w:sz w:val="24"/>
          <w:highlight w:val="none"/>
        </w:rPr>
      </w:pPr>
      <w:r>
        <w:rPr>
          <w:rFonts w:hint="eastAsia" w:ascii="宋体" w:hAnsi="宋体" w:cs="宋体"/>
          <w:sz w:val="24"/>
          <w:highlight w:val="none"/>
        </w:rPr>
        <w:t>同意向贵方提供贵方可能另外要求的与其竞争性磋商有关的任何证据和资料。</w:t>
      </w:r>
    </w:p>
    <w:p>
      <w:pPr>
        <w:ind w:firstLine="480" w:firstLineChars="200"/>
        <w:rPr>
          <w:rFonts w:ascii="宋体" w:hAnsi="宋体" w:cs="宋体"/>
          <w:sz w:val="24"/>
          <w:highlight w:val="none"/>
        </w:rPr>
      </w:pPr>
      <w:r>
        <w:rPr>
          <w:rFonts w:hint="eastAsia" w:ascii="宋体" w:hAnsi="宋体" w:cs="宋体"/>
          <w:sz w:val="24"/>
          <w:highlight w:val="none"/>
        </w:rPr>
        <w:t>(4)一旦我们成交，我们将严格履行合同责任和义务。</w:t>
      </w:r>
    </w:p>
    <w:p>
      <w:pPr>
        <w:ind w:firstLine="480" w:firstLineChars="200"/>
        <w:rPr>
          <w:rFonts w:ascii="宋体" w:hAnsi="宋体" w:cs="宋体"/>
          <w:sz w:val="24"/>
          <w:highlight w:val="none"/>
        </w:rPr>
      </w:pPr>
      <w:r>
        <w:rPr>
          <w:rFonts w:hint="eastAsia" w:ascii="宋体" w:hAnsi="宋体" w:cs="宋体"/>
          <w:sz w:val="24"/>
          <w:highlight w:val="none"/>
        </w:rPr>
        <w:t>(5)我们完全理解不向未成交人解释未成交理由的义务。</w:t>
      </w:r>
    </w:p>
    <w:p>
      <w:pPr>
        <w:ind w:firstLine="480" w:firstLineChars="200"/>
        <w:rPr>
          <w:rFonts w:ascii="宋体" w:hAnsi="宋体" w:cs="宋体"/>
          <w:sz w:val="24"/>
          <w:highlight w:val="none"/>
          <w:lang w:val="zh-CN"/>
        </w:rPr>
      </w:pPr>
      <w:r>
        <w:rPr>
          <w:rFonts w:hint="eastAsia" w:ascii="宋体" w:hAnsi="宋体" w:cs="宋体"/>
          <w:sz w:val="24"/>
          <w:highlight w:val="none"/>
        </w:rPr>
        <w:t>(6)</w:t>
      </w:r>
      <w:r>
        <w:rPr>
          <w:rFonts w:hint="eastAsia" w:ascii="宋体" w:hAnsi="宋体" w:cs="宋体"/>
          <w:sz w:val="24"/>
          <w:highlight w:val="none"/>
          <w:lang w:val="zh-CN"/>
        </w:rPr>
        <w:t>如果我们的谈判响应文件被接受，我们将履行谈判文件中规定的每一项要求，按期、按质、按量履行合同。</w:t>
      </w:r>
    </w:p>
    <w:p>
      <w:pPr>
        <w:ind w:firstLine="480" w:firstLineChars="200"/>
        <w:rPr>
          <w:rFonts w:ascii="宋体" w:hAnsi="宋体" w:cs="宋体"/>
          <w:sz w:val="24"/>
          <w:highlight w:val="none"/>
        </w:rPr>
      </w:pPr>
      <w:r>
        <w:rPr>
          <w:rFonts w:hint="eastAsia" w:ascii="宋体" w:hAnsi="宋体" w:cs="宋体"/>
          <w:sz w:val="24"/>
          <w:highlight w:val="none"/>
        </w:rPr>
        <w:t>(7)</w:t>
      </w:r>
      <w:r>
        <w:rPr>
          <w:rFonts w:hint="eastAsia" w:ascii="宋体" w:hAnsi="宋体" w:cs="宋体"/>
          <w:sz w:val="24"/>
          <w:highlight w:val="none"/>
          <w:lang w:val="zh-CN"/>
        </w:rPr>
        <w:t>我方愿按《中华人民共和国民法典》履行我方的全部责任。</w:t>
      </w:r>
    </w:p>
    <w:p>
      <w:pPr>
        <w:ind w:firstLine="480" w:firstLineChars="200"/>
        <w:rPr>
          <w:rFonts w:ascii="宋体" w:hAnsi="宋体" w:cs="宋体"/>
          <w:sz w:val="24"/>
          <w:highlight w:val="none"/>
        </w:rPr>
      </w:pPr>
      <w:r>
        <w:rPr>
          <w:rFonts w:hint="eastAsia" w:ascii="宋体" w:hAnsi="宋体" w:cs="宋体"/>
          <w:sz w:val="24"/>
          <w:highlight w:val="none"/>
        </w:rPr>
        <w:t>(8)与本次竞争性磋商有关的正式通讯地址为：</w:t>
      </w:r>
    </w:p>
    <w:p>
      <w:pPr>
        <w:ind w:firstLine="480" w:firstLineChars="200"/>
        <w:rPr>
          <w:rFonts w:ascii="宋体" w:hAnsi="宋体" w:cs="宋体"/>
          <w:sz w:val="24"/>
          <w:highlight w:val="none"/>
        </w:rPr>
      </w:pPr>
      <w:r>
        <w:rPr>
          <w:rFonts w:hint="eastAsia" w:ascii="宋体" w:hAnsi="宋体" w:cs="宋体"/>
          <w:sz w:val="24"/>
          <w:highlight w:val="none"/>
        </w:rPr>
        <w:t>地 址：                  邮 编：</w:t>
      </w:r>
    </w:p>
    <w:p>
      <w:pPr>
        <w:ind w:firstLine="480" w:firstLineChars="200"/>
        <w:rPr>
          <w:rFonts w:ascii="宋体" w:hAnsi="宋体" w:cs="宋体"/>
          <w:sz w:val="24"/>
          <w:highlight w:val="none"/>
        </w:rPr>
      </w:pPr>
      <w:r>
        <w:rPr>
          <w:rFonts w:hint="eastAsia" w:ascii="宋体" w:hAnsi="宋体" w:cs="宋体"/>
          <w:sz w:val="24"/>
          <w:highlight w:val="none"/>
        </w:rPr>
        <w:t>电 话：                  电子信箱：</w:t>
      </w:r>
    </w:p>
    <w:p>
      <w:pPr>
        <w:ind w:firstLine="480" w:firstLineChars="200"/>
        <w:jc w:val="left"/>
        <w:rPr>
          <w:rFonts w:ascii="宋体" w:hAnsi="宋体" w:cs="宋体"/>
          <w:sz w:val="24"/>
          <w:highlight w:val="none"/>
        </w:rPr>
      </w:pPr>
      <w:r>
        <w:rPr>
          <w:rFonts w:hint="eastAsia" w:ascii="宋体" w:hAnsi="宋体" w:cs="宋体"/>
          <w:sz w:val="24"/>
          <w:highlight w:val="none"/>
        </w:rPr>
        <w:t>我们保证：</w:t>
      </w:r>
    </w:p>
    <w:p>
      <w:pPr>
        <w:ind w:firstLine="480" w:firstLineChars="200"/>
        <w:jc w:val="left"/>
        <w:rPr>
          <w:rFonts w:ascii="宋体" w:hAnsi="宋体" w:cs="宋体"/>
          <w:sz w:val="24"/>
          <w:highlight w:val="none"/>
        </w:rPr>
      </w:pPr>
      <w:r>
        <w:rPr>
          <w:rFonts w:hint="eastAsia" w:ascii="宋体" w:hAnsi="宋体" w:cs="宋体"/>
          <w:sz w:val="24"/>
          <w:highlight w:val="none"/>
        </w:rPr>
        <w:t>(1)不提供虚假材料谋取成交；</w:t>
      </w:r>
    </w:p>
    <w:p>
      <w:pPr>
        <w:ind w:firstLine="480" w:firstLineChars="200"/>
        <w:jc w:val="left"/>
        <w:rPr>
          <w:rFonts w:ascii="宋体" w:hAnsi="宋体" w:cs="宋体"/>
          <w:sz w:val="24"/>
          <w:highlight w:val="none"/>
        </w:rPr>
      </w:pPr>
      <w:r>
        <w:rPr>
          <w:rFonts w:hint="eastAsia" w:ascii="宋体" w:hAnsi="宋体" w:cs="宋体"/>
          <w:sz w:val="24"/>
          <w:highlight w:val="none"/>
        </w:rPr>
        <w:t>(2)不以不正当手段抵毁、排挤其他供应商；</w:t>
      </w:r>
    </w:p>
    <w:p>
      <w:pPr>
        <w:ind w:firstLine="480" w:firstLineChars="200"/>
        <w:jc w:val="left"/>
        <w:rPr>
          <w:rFonts w:ascii="宋体" w:hAnsi="宋体" w:cs="宋体"/>
          <w:sz w:val="24"/>
          <w:highlight w:val="none"/>
        </w:rPr>
      </w:pPr>
      <w:r>
        <w:rPr>
          <w:rFonts w:hint="eastAsia" w:ascii="宋体" w:hAnsi="宋体" w:cs="宋体"/>
          <w:sz w:val="24"/>
          <w:highlight w:val="none"/>
        </w:rPr>
        <w:t>(3)不与采购人和其它供应商恶意串通；</w:t>
      </w:r>
    </w:p>
    <w:p>
      <w:pPr>
        <w:ind w:firstLine="480" w:firstLineChars="200"/>
        <w:jc w:val="left"/>
        <w:rPr>
          <w:rFonts w:ascii="宋体" w:hAnsi="宋体" w:cs="宋体"/>
          <w:sz w:val="24"/>
          <w:highlight w:val="none"/>
        </w:rPr>
      </w:pPr>
      <w:r>
        <w:rPr>
          <w:rFonts w:hint="eastAsia" w:ascii="宋体" w:hAnsi="宋体" w:cs="宋体"/>
          <w:sz w:val="24"/>
          <w:highlight w:val="none"/>
        </w:rPr>
        <w:t>(4)不向采购人和采购代理机构提供不正当利益；</w:t>
      </w:r>
    </w:p>
    <w:p>
      <w:pPr>
        <w:ind w:firstLine="480" w:firstLineChars="200"/>
        <w:jc w:val="left"/>
        <w:rPr>
          <w:rFonts w:ascii="宋体" w:hAnsi="宋体" w:cs="宋体"/>
          <w:sz w:val="24"/>
          <w:highlight w:val="none"/>
        </w:rPr>
      </w:pPr>
      <w:r>
        <w:rPr>
          <w:rFonts w:hint="eastAsia" w:ascii="宋体" w:hAnsi="宋体" w:cs="宋体"/>
          <w:sz w:val="24"/>
          <w:highlight w:val="none"/>
        </w:rPr>
        <w:t>(5)不拒绝有关部门监督检查或提供虚假情况。</w:t>
      </w:r>
    </w:p>
    <w:p>
      <w:pPr>
        <w:spacing w:line="560" w:lineRule="exact"/>
        <w:jc w:val="left"/>
        <w:rPr>
          <w:rFonts w:ascii="宋体" w:hAnsi="宋体" w:cs="宋体"/>
          <w:sz w:val="24"/>
          <w:highlight w:val="none"/>
        </w:rPr>
      </w:pPr>
    </w:p>
    <w:p>
      <w:pPr>
        <w:spacing w:line="560" w:lineRule="exact"/>
        <w:jc w:val="left"/>
        <w:rPr>
          <w:rFonts w:ascii="宋体" w:hAnsi="宋体" w:cs="宋体"/>
          <w:sz w:val="24"/>
          <w:highlight w:val="none"/>
        </w:rPr>
      </w:pPr>
      <w:r>
        <w:rPr>
          <w:rFonts w:hint="eastAsia" w:ascii="宋体" w:hAnsi="宋体" w:cs="宋体"/>
          <w:sz w:val="24"/>
          <w:highlight w:val="none"/>
        </w:rPr>
        <w:t xml:space="preserve">     联系人：              联系电话：</w:t>
      </w:r>
    </w:p>
    <w:p>
      <w:pPr>
        <w:spacing w:line="360" w:lineRule="auto"/>
        <w:jc w:val="left"/>
        <w:rPr>
          <w:rFonts w:ascii="宋体" w:hAnsi="宋体" w:cs="宋体"/>
          <w:sz w:val="24"/>
          <w:highlight w:val="none"/>
        </w:rPr>
      </w:pPr>
    </w:p>
    <w:p>
      <w:pPr>
        <w:spacing w:line="360" w:lineRule="auto"/>
        <w:jc w:val="left"/>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center"/>
        <w:rPr>
          <w:rFonts w:ascii="宋体" w:hAnsi="宋体" w:cs="宋体"/>
          <w:b w:val="0"/>
          <w:sz w:val="24"/>
          <w:szCs w:val="24"/>
          <w:highlight w:val="none"/>
        </w:rPr>
      </w:pPr>
      <w:r>
        <w:rPr>
          <w:rFonts w:hint="eastAsia" w:ascii="宋体" w:hAnsi="宋体" w:cs="宋体"/>
          <w:sz w:val="24"/>
          <w:highlight w:val="none"/>
        </w:rPr>
        <w:br w:type="page"/>
      </w:r>
      <w:r>
        <w:rPr>
          <w:rFonts w:hint="eastAsia" w:ascii="宋体" w:hAnsi="宋体" w:cs="宋体"/>
          <w:b/>
          <w:bCs/>
          <w:sz w:val="24"/>
          <w:highlight w:val="none"/>
        </w:rPr>
        <w:t>格式</w:t>
      </w:r>
      <w:r>
        <w:rPr>
          <w:rFonts w:hint="eastAsia" w:ascii="宋体" w:hAnsi="宋体" w:cs="宋体"/>
          <w:b/>
          <w:bCs/>
          <w:sz w:val="24"/>
          <w:highlight w:val="none"/>
          <w:lang w:val="en-US" w:eastAsia="zh-CN"/>
        </w:rPr>
        <w:t>6</w:t>
      </w:r>
      <w:bookmarkStart w:id="34" w:name="_Toc495414231"/>
      <w:bookmarkStart w:id="35" w:name="_Toc197934561"/>
      <w:r>
        <w:rPr>
          <w:rFonts w:hint="eastAsia" w:ascii="宋体" w:hAnsi="宋体" w:cs="宋体"/>
          <w:b/>
          <w:bCs/>
          <w:sz w:val="24"/>
          <w:highlight w:val="none"/>
          <w:lang w:val="en-US" w:eastAsia="zh-CN"/>
        </w:rPr>
        <w:t xml:space="preserve"> </w:t>
      </w:r>
      <w:r>
        <w:rPr>
          <w:rFonts w:hint="eastAsia" w:ascii="宋体" w:hAnsi="宋体" w:cs="宋体"/>
          <w:b/>
          <w:bCs/>
          <w:sz w:val="24"/>
          <w:szCs w:val="24"/>
          <w:highlight w:val="none"/>
        </w:rPr>
        <w:t>报价一览表</w:t>
      </w:r>
      <w:bookmarkEnd w:id="34"/>
      <w:bookmarkEnd w:id="35"/>
    </w:p>
    <w:tbl>
      <w:tblPr>
        <w:tblStyle w:val="29"/>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pPr>
              <w:widowControl/>
              <w:spacing w:line="360" w:lineRule="exact"/>
              <w:jc w:val="center"/>
              <w:rPr>
                <w:rFonts w:ascii="宋体" w:hAnsi="宋体" w:cs="宋体"/>
                <w:sz w:val="24"/>
                <w:highlight w:val="none"/>
              </w:rPr>
            </w:pPr>
            <w:r>
              <w:rPr>
                <w:rFonts w:hint="eastAsia" w:ascii="宋体" w:hAnsi="宋体" w:cs="宋体"/>
                <w:sz w:val="24"/>
                <w:highlight w:val="none"/>
              </w:rPr>
              <w:t>项目名称</w:t>
            </w:r>
          </w:p>
        </w:tc>
        <w:tc>
          <w:tcPr>
            <w:tcW w:w="6667" w:type="dxa"/>
            <w:tcBorders>
              <w:top w:val="single" w:color="auto" w:sz="4" w:space="0"/>
              <w:bottom w:val="single" w:color="auto" w:sz="4" w:space="0"/>
              <w:right w:val="single" w:color="auto" w:sz="4" w:space="0"/>
            </w:tcBorders>
            <w:vAlign w:val="center"/>
          </w:tcPr>
          <w:p>
            <w:pPr>
              <w:spacing w:line="360" w:lineRule="exact"/>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sz w:val="24"/>
                <w:highlight w:val="none"/>
              </w:rPr>
            </w:pPr>
            <w:r>
              <w:rPr>
                <w:rFonts w:hint="eastAsia" w:ascii="宋体" w:hAnsi="宋体" w:cs="宋体"/>
                <w:sz w:val="24"/>
                <w:highlight w:val="none"/>
              </w:rPr>
              <w:t>投标人全称</w:t>
            </w:r>
          </w:p>
        </w:tc>
        <w:tc>
          <w:tcPr>
            <w:tcW w:w="6667" w:type="dxa"/>
            <w:tcBorders>
              <w:top w:val="nil"/>
            </w:tcBorders>
            <w:vAlign w:val="center"/>
          </w:tcPr>
          <w:p>
            <w:pPr>
              <w:spacing w:line="360" w:lineRule="auto"/>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pPr>
              <w:spacing w:line="360" w:lineRule="exact"/>
              <w:jc w:val="center"/>
              <w:rPr>
                <w:rFonts w:ascii="宋体" w:hAnsi="宋体" w:cs="宋体"/>
                <w:sz w:val="24"/>
                <w:highlight w:val="none"/>
              </w:rPr>
            </w:pPr>
            <w:r>
              <w:rPr>
                <w:rFonts w:hint="eastAsia" w:ascii="宋体" w:hAnsi="宋体" w:cs="宋体"/>
                <w:sz w:val="24"/>
                <w:highlight w:val="none"/>
              </w:rPr>
              <w:t>最终投标报价（包：）</w:t>
            </w:r>
          </w:p>
          <w:p>
            <w:pPr>
              <w:spacing w:line="360" w:lineRule="exact"/>
              <w:jc w:val="center"/>
              <w:rPr>
                <w:rFonts w:ascii="宋体" w:hAnsi="宋体" w:cs="宋体"/>
                <w:sz w:val="24"/>
                <w:highlight w:val="none"/>
              </w:rPr>
            </w:pPr>
            <w:r>
              <w:rPr>
                <w:rFonts w:hint="eastAsia" w:ascii="宋体" w:hAnsi="宋体" w:cs="宋体"/>
                <w:sz w:val="24"/>
                <w:highlight w:val="none"/>
              </w:rPr>
              <w:t>（人民币）</w:t>
            </w:r>
          </w:p>
        </w:tc>
        <w:tc>
          <w:tcPr>
            <w:tcW w:w="6667" w:type="dxa"/>
            <w:tcBorders>
              <w:top w:val="nil"/>
            </w:tcBorders>
            <w:vAlign w:val="center"/>
          </w:tcPr>
          <w:p>
            <w:pPr>
              <w:spacing w:line="360" w:lineRule="auto"/>
              <w:ind w:right="-670"/>
              <w:rPr>
                <w:rFonts w:ascii="宋体" w:hAnsi="宋体" w:cs="宋体"/>
                <w:sz w:val="24"/>
                <w:highlight w:val="none"/>
              </w:rPr>
            </w:pPr>
            <w:r>
              <w:rPr>
                <w:rFonts w:hint="eastAsia" w:ascii="宋体" w:hAnsi="宋体" w:cs="宋体"/>
                <w:sz w:val="24"/>
                <w:highlight w:val="none"/>
              </w:rPr>
              <w:t xml:space="preserve">投标总价：       大写：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pPr>
              <w:spacing w:line="360" w:lineRule="auto"/>
              <w:jc w:val="center"/>
              <w:rPr>
                <w:rFonts w:ascii="宋体" w:hAnsi="宋体" w:cs="宋体"/>
                <w:sz w:val="24"/>
                <w:highlight w:val="none"/>
              </w:rPr>
            </w:pPr>
            <w:r>
              <w:rPr>
                <w:rFonts w:hint="eastAsia" w:ascii="宋体" w:hAnsi="宋体" w:cs="宋体"/>
                <w:sz w:val="24"/>
                <w:highlight w:val="none"/>
              </w:rPr>
              <w:t>备注</w:t>
            </w:r>
          </w:p>
        </w:tc>
        <w:tc>
          <w:tcPr>
            <w:tcW w:w="6667" w:type="dxa"/>
            <w:tcBorders>
              <w:top w:val="nil"/>
            </w:tcBorders>
            <w:vAlign w:val="center"/>
          </w:tcPr>
          <w:p>
            <w:pPr>
              <w:spacing w:line="360" w:lineRule="auto"/>
              <w:jc w:val="left"/>
              <w:rPr>
                <w:rFonts w:ascii="宋体" w:hAnsi="宋体" w:cs="宋体"/>
                <w:sz w:val="24"/>
                <w:highlight w:val="none"/>
              </w:rPr>
            </w:pPr>
          </w:p>
        </w:tc>
      </w:tr>
    </w:tbl>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rPr>
          <w:rFonts w:ascii="宋体" w:hAnsi="宋体" w:cs="宋体"/>
          <w:sz w:val="24"/>
          <w:highlight w:val="none"/>
        </w:rPr>
      </w:pPr>
      <w:r>
        <w:rPr>
          <w:rFonts w:hint="eastAsia" w:ascii="宋体" w:hAnsi="宋体" w:cs="宋体"/>
          <w:sz w:val="24"/>
          <w:highlight w:val="none"/>
        </w:rPr>
        <w:t>备注：</w:t>
      </w:r>
    </w:p>
    <w:p>
      <w:pPr>
        <w:spacing w:line="360" w:lineRule="auto"/>
        <w:rPr>
          <w:rFonts w:ascii="宋体" w:hAnsi="宋体" w:cs="宋体"/>
          <w:sz w:val="24"/>
          <w:highlight w:val="none"/>
        </w:rPr>
      </w:pPr>
      <w:r>
        <w:rPr>
          <w:rFonts w:hint="eastAsia" w:ascii="宋体" w:hAnsi="宋体" w:cs="宋体"/>
          <w:sz w:val="24"/>
          <w:highlight w:val="none"/>
        </w:rPr>
        <w:t>1、此表用于开标会唱标之用。</w:t>
      </w:r>
    </w:p>
    <w:p>
      <w:pPr>
        <w:spacing w:line="360" w:lineRule="auto"/>
        <w:rPr>
          <w:rFonts w:ascii="宋体" w:hAnsi="宋体" w:cs="宋体"/>
          <w:sz w:val="24"/>
          <w:highlight w:val="none"/>
        </w:rPr>
      </w:pPr>
      <w:r>
        <w:rPr>
          <w:rFonts w:hint="eastAsia" w:ascii="宋体" w:hAnsi="宋体" w:cs="宋体"/>
          <w:sz w:val="24"/>
          <w:highlight w:val="none"/>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cs="宋体"/>
          <w:sz w:val="24"/>
          <w:highlight w:val="none"/>
        </w:rPr>
      </w:pPr>
      <w:bookmarkStart w:id="36" w:name="_Toc495414234"/>
      <w:bookmarkStart w:id="37" w:name="_Toc220232409"/>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pStyle w:val="37"/>
        <w:ind w:firstLine="240"/>
        <w:rPr>
          <w:rFonts w:ascii="宋体" w:hAnsi="宋体" w:cs="宋体"/>
          <w:sz w:val="24"/>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Fonts w:ascii="宋体" w:hAnsi="宋体" w:cs="宋体"/>
          <w:b/>
          <w:bCs/>
          <w:sz w:val="24"/>
          <w:szCs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7 </w:t>
      </w:r>
      <w:r>
        <w:rPr>
          <w:rFonts w:hint="eastAsia" w:ascii="宋体" w:hAnsi="宋体" w:cs="宋体"/>
          <w:b/>
          <w:bCs/>
          <w:sz w:val="24"/>
          <w:szCs w:val="24"/>
          <w:highlight w:val="none"/>
        </w:rPr>
        <w:t>投标分项报价表</w:t>
      </w:r>
      <w:bookmarkEnd w:id="36"/>
      <w:bookmarkEnd w:id="37"/>
    </w:p>
    <w:tbl>
      <w:tblPr>
        <w:tblStyle w:val="29"/>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pPr>
              <w:pStyle w:val="65"/>
              <w:widowControl w:val="0"/>
              <w:spacing w:before="0" w:beforeAutospacing="0" w:after="0" w:afterAutospacing="0" w:line="340" w:lineRule="exact"/>
              <w:rPr>
                <w:rFonts w:cs="宋体"/>
                <w:b w:val="0"/>
                <w:bCs w:val="0"/>
                <w:kern w:val="2"/>
                <w:sz w:val="24"/>
                <w:szCs w:val="24"/>
                <w:highlight w:val="none"/>
              </w:rPr>
            </w:pPr>
            <w:r>
              <w:rPr>
                <w:rFonts w:hint="eastAsia" w:cs="宋体"/>
                <w:b w:val="0"/>
                <w:bCs w:val="0"/>
                <w:kern w:val="2"/>
                <w:sz w:val="24"/>
                <w:szCs w:val="24"/>
                <w:highlight w:val="none"/>
              </w:rPr>
              <w:t>序号</w:t>
            </w:r>
          </w:p>
        </w:tc>
        <w:tc>
          <w:tcPr>
            <w:tcW w:w="2205"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服务项目名称</w:t>
            </w:r>
          </w:p>
        </w:tc>
        <w:tc>
          <w:tcPr>
            <w:tcW w:w="957"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单位</w:t>
            </w:r>
          </w:p>
        </w:tc>
        <w:tc>
          <w:tcPr>
            <w:tcW w:w="840"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数量</w:t>
            </w:r>
          </w:p>
        </w:tc>
        <w:tc>
          <w:tcPr>
            <w:tcW w:w="1260"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单价</w:t>
            </w:r>
          </w:p>
        </w:tc>
        <w:tc>
          <w:tcPr>
            <w:tcW w:w="1340" w:type="dxa"/>
            <w:vAlign w:val="center"/>
          </w:tcPr>
          <w:p>
            <w:pPr>
              <w:spacing w:line="340" w:lineRule="exact"/>
              <w:jc w:val="center"/>
              <w:rPr>
                <w:rFonts w:ascii="宋体" w:hAnsi="宋体" w:cs="宋体"/>
                <w:sz w:val="24"/>
                <w:highlight w:val="none"/>
              </w:rPr>
            </w:pPr>
            <w:r>
              <w:rPr>
                <w:rFonts w:hint="eastAsia" w:ascii="宋体" w:hAnsi="宋体" w:cs="宋体"/>
                <w:bCs/>
                <w:sz w:val="24"/>
                <w:highlight w:val="none"/>
              </w:rPr>
              <w:t>小计</w:t>
            </w:r>
          </w:p>
        </w:tc>
        <w:tc>
          <w:tcPr>
            <w:tcW w:w="1347" w:type="dxa"/>
            <w:vAlign w:val="center"/>
          </w:tcPr>
          <w:p>
            <w:pPr>
              <w:spacing w:line="340" w:lineRule="exact"/>
              <w:jc w:val="center"/>
              <w:rPr>
                <w:rFonts w:ascii="宋体" w:hAnsi="宋体" w:cs="宋体"/>
                <w:sz w:val="24"/>
                <w:highlight w:val="none"/>
              </w:rPr>
            </w:pPr>
            <w:r>
              <w:rPr>
                <w:rFonts w:hint="eastAsia" w:ascii="宋体" w:hAnsi="宋体" w:cs="宋体"/>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pPr>
              <w:spacing w:line="340" w:lineRule="exact"/>
              <w:jc w:val="center"/>
              <w:rPr>
                <w:rFonts w:ascii="宋体" w:hAnsi="宋体" w:cs="宋体"/>
                <w:sz w:val="24"/>
                <w:highlight w:val="none"/>
              </w:rPr>
            </w:pPr>
            <w:r>
              <w:rPr>
                <w:rFonts w:hint="eastAsia" w:ascii="宋体" w:hAnsi="宋体" w:cs="宋体"/>
                <w:sz w:val="24"/>
                <w:highlight w:val="none"/>
              </w:rPr>
              <w:t>1</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2</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3</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4</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5</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6</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7</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8</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9</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10</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11</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12</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r>
              <w:rPr>
                <w:rFonts w:hint="eastAsia" w:ascii="宋体" w:hAnsi="宋体" w:cs="宋体"/>
                <w:sz w:val="24"/>
                <w:highlight w:val="none"/>
              </w:rPr>
              <w:t>13</w:t>
            </w:r>
          </w:p>
        </w:tc>
        <w:tc>
          <w:tcPr>
            <w:tcW w:w="2205" w:type="dxa"/>
          </w:tcPr>
          <w:p>
            <w:pPr>
              <w:spacing w:line="340" w:lineRule="exact"/>
              <w:rPr>
                <w:rFonts w:ascii="宋体" w:hAnsi="宋体" w:cs="宋体"/>
                <w:sz w:val="24"/>
                <w:highlight w:val="none"/>
              </w:rPr>
            </w:pP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vAlign w:val="center"/>
          </w:tcPr>
          <w:p>
            <w:pPr>
              <w:pStyle w:val="66"/>
              <w:spacing w:line="340" w:lineRule="exact"/>
              <w:rPr>
                <w:rFonts w:ascii="宋体" w:hAnsi="宋体" w:cs="宋体"/>
                <w:szCs w:val="24"/>
                <w:highlight w:val="none"/>
              </w:rPr>
            </w:pPr>
            <w:r>
              <w:rPr>
                <w:rFonts w:hint="eastAsia" w:ascii="宋体" w:hAnsi="宋体" w:cs="宋体"/>
                <w:szCs w:val="24"/>
                <w:highlight w:val="none"/>
              </w:rPr>
              <w:t>其他费用</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tcPr>
          <w:p>
            <w:pPr>
              <w:spacing w:line="340" w:lineRule="exact"/>
              <w:rPr>
                <w:rFonts w:ascii="宋体" w:hAnsi="宋体" w:cs="宋体"/>
                <w:sz w:val="24"/>
                <w:highlight w:val="none"/>
              </w:rPr>
            </w:pPr>
            <w:r>
              <w:rPr>
                <w:rFonts w:hint="eastAsia" w:ascii="宋体" w:hAnsi="宋体" w:cs="宋体"/>
                <w:sz w:val="24"/>
                <w:highlight w:val="none"/>
              </w:rPr>
              <w:t>…</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tcPr>
          <w:p>
            <w:pPr>
              <w:pStyle w:val="66"/>
              <w:spacing w:line="340" w:lineRule="exact"/>
              <w:rPr>
                <w:rFonts w:ascii="宋体" w:hAnsi="宋体" w:cs="宋体"/>
                <w:szCs w:val="24"/>
                <w:highlight w:val="none"/>
              </w:rPr>
            </w:pPr>
            <w:r>
              <w:rPr>
                <w:rFonts w:hint="eastAsia" w:ascii="宋体" w:hAnsi="宋体" w:cs="宋体"/>
                <w:szCs w:val="24"/>
                <w:highlight w:val="none"/>
              </w:rPr>
              <w:t>…</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tcPr>
          <w:p>
            <w:pPr>
              <w:spacing w:line="340" w:lineRule="exact"/>
              <w:rPr>
                <w:rFonts w:ascii="宋体" w:hAnsi="宋体" w:cs="宋体"/>
                <w:sz w:val="24"/>
                <w:highlight w:val="none"/>
              </w:rPr>
            </w:pPr>
            <w:r>
              <w:rPr>
                <w:rFonts w:hint="eastAsia" w:ascii="宋体" w:hAnsi="宋体" w:cs="宋体"/>
                <w:sz w:val="24"/>
                <w:highlight w:val="none"/>
              </w:rPr>
              <w:t>…</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pPr>
              <w:spacing w:line="340" w:lineRule="exact"/>
              <w:jc w:val="center"/>
              <w:rPr>
                <w:rFonts w:ascii="宋体" w:hAnsi="宋体" w:cs="宋体"/>
                <w:sz w:val="24"/>
                <w:highlight w:val="none"/>
              </w:rPr>
            </w:pPr>
          </w:p>
        </w:tc>
        <w:tc>
          <w:tcPr>
            <w:tcW w:w="2205" w:type="dxa"/>
            <w:vAlign w:val="center"/>
          </w:tcPr>
          <w:p>
            <w:pPr>
              <w:pStyle w:val="66"/>
              <w:spacing w:line="340" w:lineRule="exact"/>
              <w:rPr>
                <w:rFonts w:ascii="宋体" w:hAnsi="宋体" w:cs="宋体"/>
                <w:szCs w:val="24"/>
                <w:highlight w:val="none"/>
              </w:rPr>
            </w:pPr>
            <w:r>
              <w:rPr>
                <w:rFonts w:hint="eastAsia" w:ascii="宋体" w:hAnsi="宋体" w:cs="宋体"/>
                <w:szCs w:val="24"/>
                <w:highlight w:val="none"/>
              </w:rPr>
              <w:t>合计</w:t>
            </w:r>
          </w:p>
        </w:tc>
        <w:tc>
          <w:tcPr>
            <w:tcW w:w="957" w:type="dxa"/>
          </w:tcPr>
          <w:p>
            <w:pPr>
              <w:spacing w:line="340" w:lineRule="exact"/>
              <w:rPr>
                <w:rFonts w:ascii="宋体" w:hAnsi="宋体" w:cs="宋体"/>
                <w:sz w:val="24"/>
                <w:highlight w:val="none"/>
              </w:rPr>
            </w:pPr>
          </w:p>
        </w:tc>
        <w:tc>
          <w:tcPr>
            <w:tcW w:w="840" w:type="dxa"/>
          </w:tcPr>
          <w:p>
            <w:pPr>
              <w:spacing w:line="340" w:lineRule="exact"/>
              <w:rPr>
                <w:rFonts w:ascii="宋体" w:hAnsi="宋体" w:cs="宋体"/>
                <w:sz w:val="24"/>
                <w:highlight w:val="none"/>
              </w:rPr>
            </w:pPr>
          </w:p>
        </w:tc>
        <w:tc>
          <w:tcPr>
            <w:tcW w:w="1260" w:type="dxa"/>
          </w:tcPr>
          <w:p>
            <w:pPr>
              <w:spacing w:line="340" w:lineRule="exact"/>
              <w:rPr>
                <w:rFonts w:ascii="宋体" w:hAnsi="宋体" w:cs="宋体"/>
                <w:sz w:val="24"/>
                <w:highlight w:val="none"/>
              </w:rPr>
            </w:pPr>
          </w:p>
        </w:tc>
        <w:tc>
          <w:tcPr>
            <w:tcW w:w="1340" w:type="dxa"/>
          </w:tcPr>
          <w:p>
            <w:pPr>
              <w:spacing w:line="340" w:lineRule="exact"/>
              <w:rPr>
                <w:rFonts w:ascii="宋体" w:hAnsi="宋体" w:cs="宋体"/>
                <w:sz w:val="24"/>
                <w:highlight w:val="none"/>
              </w:rPr>
            </w:pPr>
          </w:p>
        </w:tc>
        <w:tc>
          <w:tcPr>
            <w:tcW w:w="1347" w:type="dxa"/>
          </w:tcPr>
          <w:p>
            <w:pPr>
              <w:spacing w:line="340" w:lineRule="exact"/>
              <w:rPr>
                <w:rFonts w:ascii="宋体" w:hAnsi="宋体" w:cs="宋体"/>
                <w:sz w:val="24"/>
                <w:highlight w:val="none"/>
              </w:rPr>
            </w:pPr>
          </w:p>
        </w:tc>
      </w:tr>
    </w:tbl>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right"/>
        <w:rPr>
          <w:rFonts w:ascii="宋体" w:hAnsi="宋体" w:cs="宋体"/>
          <w:sz w:val="24"/>
          <w:highlight w:val="none"/>
        </w:rPr>
      </w:pPr>
      <w:r>
        <w:rPr>
          <w:rFonts w:hint="eastAsia" w:ascii="宋体" w:hAnsi="宋体" w:cs="宋体"/>
          <w:sz w:val="24"/>
          <w:highlight w:val="none"/>
        </w:rPr>
        <w:t xml:space="preserve">  年  月  日</w:t>
      </w:r>
    </w:p>
    <w:p>
      <w:pPr>
        <w:adjustRightInd w:val="0"/>
        <w:snapToGrid w:val="0"/>
        <w:spacing w:line="360" w:lineRule="auto"/>
        <w:rPr>
          <w:rFonts w:ascii="宋体" w:hAnsi="宋体" w:cs="宋体"/>
          <w:sz w:val="24"/>
          <w:highlight w:val="none"/>
        </w:rPr>
      </w:pPr>
      <w:r>
        <w:rPr>
          <w:rFonts w:hint="eastAsia" w:ascii="宋体" w:hAnsi="宋体" w:cs="宋体"/>
          <w:sz w:val="24"/>
          <w:highlight w:val="none"/>
        </w:rPr>
        <w:t>备注：</w:t>
      </w:r>
    </w:p>
    <w:p>
      <w:pPr>
        <w:spacing w:line="360" w:lineRule="auto"/>
        <w:jc w:val="left"/>
        <w:rPr>
          <w:rFonts w:ascii="宋体" w:hAnsi="宋体" w:cs="宋体"/>
          <w:sz w:val="24"/>
          <w:highlight w:val="none"/>
        </w:rPr>
      </w:pPr>
      <w:r>
        <w:rPr>
          <w:rFonts w:hint="eastAsia" w:ascii="宋体" w:hAnsi="宋体" w:cs="宋体"/>
          <w:sz w:val="24"/>
          <w:highlight w:val="none"/>
        </w:rPr>
        <w:t>表中所列内容为对应本项目需求的全部要求。如有漏项或缺项，投标人承担全部责任。</w:t>
      </w: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pStyle w:val="37"/>
        <w:ind w:firstLine="241"/>
        <w:rPr>
          <w:rFonts w:ascii="宋体" w:hAnsi="宋体" w:cs="宋体"/>
          <w:b/>
          <w:sz w:val="24"/>
          <w:highlight w:val="none"/>
        </w:rPr>
      </w:pPr>
    </w:p>
    <w:p>
      <w:pPr>
        <w:pStyle w:val="37"/>
        <w:ind w:firstLine="241"/>
        <w:rPr>
          <w:rFonts w:ascii="宋体" w:hAnsi="宋体" w:cs="宋体"/>
          <w:b/>
          <w:sz w:val="24"/>
          <w:highlight w:val="none"/>
        </w:rPr>
      </w:pP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8</w:t>
      </w:r>
      <w:r>
        <w:rPr>
          <w:rFonts w:hint="eastAsia" w:ascii="宋体" w:hAnsi="宋体" w:cs="宋体"/>
          <w:b/>
          <w:bCs/>
          <w:sz w:val="24"/>
          <w:highlight w:val="none"/>
        </w:rPr>
        <w:t xml:space="preserve">  技术参数响应表</w:t>
      </w:r>
    </w:p>
    <w:p>
      <w:pPr>
        <w:rPr>
          <w:rFonts w:ascii="宋体" w:hAnsi="宋体" w:cs="宋体"/>
          <w:sz w:val="24"/>
          <w:highlight w:val="none"/>
        </w:rPr>
      </w:pPr>
    </w:p>
    <w:p>
      <w:pPr>
        <w:rPr>
          <w:rFonts w:ascii="宋体" w:hAnsi="宋体" w:cs="宋体"/>
          <w:sz w:val="24"/>
          <w:highlight w:val="none"/>
        </w:rPr>
      </w:pPr>
    </w:p>
    <w:tbl>
      <w:tblPr>
        <w:tblStyle w:val="29"/>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bCs/>
                <w:sz w:val="24"/>
                <w:szCs w:val="24"/>
                <w:highlight w:val="none"/>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bCs/>
                <w:sz w:val="24"/>
                <w:szCs w:val="24"/>
                <w:highlight w:val="none"/>
              </w:rPr>
              <w:t>按投标人所投内容填写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bCs/>
                <w:sz w:val="24"/>
                <w:szCs w:val="24"/>
                <w:highlight w:val="none"/>
              </w:rPr>
              <w:t>序号</w:t>
            </w:r>
          </w:p>
        </w:tc>
        <w:tc>
          <w:tcPr>
            <w:tcW w:w="723" w:type="dxa"/>
            <w:tcBorders>
              <w:top w:val="single" w:color="auto" w:sz="4" w:space="0"/>
              <w:left w:val="nil"/>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bCs/>
                <w:sz w:val="24"/>
                <w:szCs w:val="24"/>
                <w:highlight w:val="none"/>
              </w:rPr>
              <w:t>品名</w:t>
            </w:r>
          </w:p>
        </w:tc>
        <w:tc>
          <w:tcPr>
            <w:tcW w:w="3490" w:type="dxa"/>
            <w:tcBorders>
              <w:top w:val="single" w:color="auto" w:sz="4" w:space="0"/>
              <w:left w:val="nil"/>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sz w:val="24"/>
                <w:szCs w:val="24"/>
                <w:highlight w:val="none"/>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sz w:val="24"/>
                <w:szCs w:val="24"/>
                <w:highlight w:val="none"/>
              </w:rPr>
              <w:t>响应</w:t>
            </w:r>
          </w:p>
        </w:tc>
        <w:tc>
          <w:tcPr>
            <w:tcW w:w="1336" w:type="dxa"/>
            <w:tcBorders>
              <w:top w:val="single" w:color="auto" w:sz="4" w:space="0"/>
              <w:left w:val="nil"/>
              <w:bottom w:val="single" w:color="auto" w:sz="4" w:space="0"/>
              <w:right w:val="single" w:color="auto" w:sz="4" w:space="0"/>
            </w:tcBorders>
            <w:vAlign w:val="center"/>
          </w:tcPr>
          <w:p>
            <w:pPr>
              <w:pStyle w:val="14"/>
              <w:jc w:val="center"/>
              <w:rPr>
                <w:rFonts w:hAnsi="宋体" w:cs="宋体"/>
                <w:bCs/>
                <w:sz w:val="24"/>
                <w:szCs w:val="24"/>
                <w:highlight w:val="none"/>
              </w:rPr>
            </w:pPr>
            <w:r>
              <w:rPr>
                <w:rFonts w:hint="eastAsia" w:hAnsi="宋体" w:cs="宋体"/>
                <w:bCs/>
                <w:sz w:val="24"/>
                <w:szCs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highlight w:val="none"/>
              </w:rPr>
            </w:pPr>
            <w:r>
              <w:rPr>
                <w:rFonts w:hint="eastAsia" w:ascii="宋体" w:hAnsi="宋体" w:cs="宋体"/>
                <w:sz w:val="24"/>
                <w:highlight w:val="none"/>
              </w:rPr>
              <w:t>1</w:t>
            </w:r>
          </w:p>
        </w:tc>
        <w:tc>
          <w:tcPr>
            <w:tcW w:w="723"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4"/>
                <w:highlight w:val="none"/>
              </w:rPr>
            </w:pPr>
          </w:p>
        </w:tc>
        <w:tc>
          <w:tcPr>
            <w:tcW w:w="3490" w:type="dxa"/>
            <w:tcBorders>
              <w:top w:val="single" w:color="auto" w:sz="4" w:space="0"/>
              <w:left w:val="nil"/>
              <w:bottom w:val="single" w:color="auto" w:sz="4" w:space="0"/>
              <w:right w:val="single" w:color="auto" w:sz="4" w:space="0"/>
            </w:tcBorders>
          </w:tcPr>
          <w:p>
            <w:pPr>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tcPr>
          <w:p>
            <w:pPr>
              <w:widowControl/>
              <w:rPr>
                <w:rFonts w:ascii="宋体" w:hAnsi="宋体" w:cs="宋体"/>
                <w:kern w:val="0"/>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highlight w:val="none"/>
              </w:rPr>
            </w:pPr>
            <w:r>
              <w:rPr>
                <w:rFonts w:hint="eastAsia" w:ascii="宋体" w:hAnsi="宋体" w:cs="宋体"/>
                <w:sz w:val="24"/>
                <w:highlight w:val="none"/>
              </w:rPr>
              <w:t>2</w:t>
            </w: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sz w:val="24"/>
                <w:highlight w:val="none"/>
              </w:rPr>
            </w:pP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 w:val="24"/>
                <w:highlight w:val="none"/>
              </w:rPr>
            </w:pPr>
            <w:r>
              <w:rPr>
                <w:rFonts w:hint="eastAsia" w:ascii="宋体" w:hAnsi="宋体" w:cs="宋体"/>
                <w:sz w:val="24"/>
                <w:highlight w:val="none"/>
              </w:rPr>
              <w:t>....</w:t>
            </w:r>
          </w:p>
        </w:tc>
        <w:tc>
          <w:tcPr>
            <w:tcW w:w="723"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c>
          <w:tcPr>
            <w:tcW w:w="349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r>
              <w:rPr>
                <w:rFonts w:hint="eastAsia" w:ascii="宋体" w:hAnsi="宋体" w:cs="宋体"/>
                <w:sz w:val="24"/>
                <w:highlight w:val="none"/>
              </w:rPr>
              <w:t>.....</w:t>
            </w:r>
          </w:p>
        </w:tc>
        <w:tc>
          <w:tcPr>
            <w:tcW w:w="2810" w:type="dxa"/>
            <w:tcBorders>
              <w:top w:val="single" w:color="auto" w:sz="4" w:space="0"/>
              <w:left w:val="nil"/>
              <w:bottom w:val="single" w:color="auto" w:sz="4" w:space="0"/>
              <w:right w:val="single" w:color="auto" w:sz="4" w:space="0"/>
            </w:tcBorders>
            <w:vAlign w:val="center"/>
          </w:tcPr>
          <w:p>
            <w:pPr>
              <w:ind w:left="240" w:hanging="240" w:hangingChars="100"/>
              <w:jc w:val="left"/>
              <w:rPr>
                <w:rFonts w:ascii="宋体" w:hAnsi="宋体" w:cs="宋体"/>
                <w:sz w:val="24"/>
                <w:highlight w:val="none"/>
              </w:rPr>
            </w:pPr>
          </w:p>
        </w:tc>
        <w:tc>
          <w:tcPr>
            <w:tcW w:w="1336" w:type="dxa"/>
            <w:tcBorders>
              <w:top w:val="single" w:color="auto" w:sz="4" w:space="0"/>
              <w:left w:val="nil"/>
              <w:bottom w:val="single" w:color="auto" w:sz="4" w:space="0"/>
              <w:right w:val="single" w:color="auto" w:sz="4" w:space="0"/>
            </w:tcBorders>
            <w:vAlign w:val="center"/>
          </w:tcPr>
          <w:p>
            <w:pPr>
              <w:jc w:val="center"/>
              <w:rPr>
                <w:rFonts w:ascii="宋体" w:hAnsi="宋体" w:cs="宋体"/>
                <w:sz w:val="24"/>
                <w:highlight w:val="none"/>
              </w:rPr>
            </w:pPr>
          </w:p>
        </w:tc>
      </w:tr>
    </w:tbl>
    <w:p>
      <w:pPr>
        <w:rPr>
          <w:rFonts w:ascii="宋体" w:hAnsi="宋体" w:cs="宋体"/>
          <w:sz w:val="24"/>
          <w:highlight w:val="none"/>
        </w:rPr>
      </w:pPr>
    </w:p>
    <w:p>
      <w:pPr>
        <w:rPr>
          <w:rFonts w:ascii="宋体" w:hAnsi="宋体" w:cs="宋体"/>
          <w:sz w:val="24"/>
          <w:highlight w:val="none"/>
        </w:rPr>
      </w:pPr>
      <w:r>
        <w:rPr>
          <w:rFonts w:hint="eastAsia" w:ascii="宋体" w:hAnsi="宋体" w:cs="宋体"/>
          <w:sz w:val="24"/>
          <w:highlight w:val="none"/>
        </w:rPr>
        <w:t>(可根据需求自行更改)</w:t>
      </w:r>
    </w:p>
    <w:p>
      <w:pPr>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60" w:lineRule="auto"/>
        <w:jc w:val="right"/>
        <w:rPr>
          <w:rFonts w:ascii="宋体" w:hAnsi="宋体" w:cs="宋体"/>
          <w:sz w:val="24"/>
          <w:highlight w:val="none"/>
        </w:rPr>
      </w:pPr>
      <w:r>
        <w:rPr>
          <w:rFonts w:hint="eastAsia" w:ascii="宋体" w:hAnsi="宋体" w:cs="宋体"/>
          <w:sz w:val="24"/>
          <w:highlight w:val="none"/>
        </w:rPr>
        <w:t xml:space="preserve">  年  月  日</w:t>
      </w: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rPr>
          <w:rFonts w:ascii="宋体" w:hAnsi="宋体" w:cs="宋体"/>
          <w:b/>
          <w:sz w:val="24"/>
          <w:highlight w:val="none"/>
        </w:rPr>
      </w:pPr>
    </w:p>
    <w:p>
      <w:pPr>
        <w:spacing w:line="360" w:lineRule="auto"/>
        <w:jc w:val="center"/>
        <w:rPr>
          <w:rFonts w:ascii="宋体" w:hAnsi="宋体" w:cs="宋体"/>
          <w:sz w:val="24"/>
          <w:highlight w:val="none"/>
        </w:rPr>
      </w:pPr>
      <w:r>
        <w:rPr>
          <w:rFonts w:hint="eastAsia" w:ascii="宋体" w:hAnsi="宋体" w:cs="宋体"/>
          <w:sz w:val="24"/>
          <w:highlight w:val="none"/>
        </w:rPr>
        <w:br w:type="page"/>
      </w: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9  </w:t>
      </w:r>
      <w:r>
        <w:rPr>
          <w:rFonts w:hint="eastAsia" w:ascii="宋体" w:hAnsi="宋体" w:cs="宋体"/>
          <w:b/>
          <w:bCs/>
          <w:sz w:val="24"/>
          <w:highlight w:val="none"/>
        </w:rPr>
        <w:t>服务方案及服务承诺</w:t>
      </w:r>
    </w:p>
    <w:p>
      <w:pPr>
        <w:spacing w:line="380" w:lineRule="exact"/>
        <w:jc w:val="center"/>
        <w:rPr>
          <w:rFonts w:ascii="宋体" w:hAnsi="宋体" w:cs="宋体"/>
          <w:sz w:val="24"/>
          <w:highlight w:val="none"/>
        </w:rPr>
      </w:pPr>
    </w:p>
    <w:p>
      <w:pPr>
        <w:spacing w:line="380" w:lineRule="exact"/>
        <w:ind w:firstLine="360" w:firstLineChars="150"/>
        <w:rPr>
          <w:rFonts w:ascii="宋体" w:hAnsi="宋体" w:cs="宋体"/>
          <w:sz w:val="24"/>
          <w:highlight w:val="none"/>
        </w:rPr>
      </w:pPr>
    </w:p>
    <w:p>
      <w:pPr>
        <w:pStyle w:val="43"/>
        <w:rPr>
          <w:rFonts w:ascii="宋体" w:hAnsi="宋体" w:cs="宋体"/>
          <w:sz w:val="24"/>
          <w:szCs w:val="24"/>
          <w:highlight w:val="none"/>
        </w:rPr>
      </w:pPr>
    </w:p>
    <w:p>
      <w:pPr>
        <w:pStyle w:val="43"/>
        <w:rPr>
          <w:rFonts w:ascii="宋体" w:hAnsi="宋体" w:cs="宋体"/>
          <w:sz w:val="24"/>
          <w:szCs w:val="24"/>
          <w:highlight w:val="none"/>
        </w:rPr>
      </w:pPr>
    </w:p>
    <w:p>
      <w:pPr>
        <w:pStyle w:val="43"/>
        <w:rPr>
          <w:rFonts w:ascii="宋体" w:hAnsi="宋体" w:cs="宋体"/>
          <w:sz w:val="24"/>
          <w:szCs w:val="24"/>
          <w:highlight w:val="none"/>
        </w:rPr>
      </w:pPr>
    </w:p>
    <w:p>
      <w:pPr>
        <w:pStyle w:val="43"/>
        <w:rPr>
          <w:rFonts w:ascii="宋体" w:hAnsi="宋体" w:cs="宋体"/>
          <w:sz w:val="24"/>
          <w:szCs w:val="24"/>
          <w:highlight w:val="none"/>
        </w:rPr>
      </w:pPr>
    </w:p>
    <w:p>
      <w:pPr>
        <w:pStyle w:val="43"/>
        <w:rPr>
          <w:rFonts w:ascii="宋体" w:hAnsi="宋体" w:cs="宋体"/>
          <w:sz w:val="24"/>
          <w:szCs w:val="24"/>
          <w:highlight w:val="none"/>
        </w:rPr>
      </w:pPr>
    </w:p>
    <w:p>
      <w:pPr>
        <w:pStyle w:val="43"/>
        <w:rPr>
          <w:rFonts w:ascii="宋体" w:hAnsi="宋体" w:cs="宋体"/>
          <w:sz w:val="24"/>
          <w:szCs w:val="24"/>
          <w:highlight w:val="none"/>
        </w:rPr>
      </w:pPr>
    </w:p>
    <w:p>
      <w:pPr>
        <w:spacing w:line="380" w:lineRule="exact"/>
        <w:rPr>
          <w:rFonts w:ascii="宋体" w:hAnsi="宋体" w:cs="宋体"/>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80" w:lineRule="exact"/>
        <w:ind w:right="640" w:firstLine="1560" w:firstLineChars="650"/>
        <w:rPr>
          <w:rFonts w:ascii="宋体" w:hAnsi="宋体" w:cs="宋体"/>
          <w:sz w:val="24"/>
          <w:highlight w:val="none"/>
        </w:rPr>
      </w:pPr>
    </w:p>
    <w:p>
      <w:pPr>
        <w:spacing w:line="380" w:lineRule="exact"/>
        <w:ind w:right="640" w:firstLine="4680" w:firstLineChars="1950"/>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ind w:firstLine="3600" w:firstLineChars="1500"/>
        <w:rPr>
          <w:rFonts w:ascii="宋体" w:hAnsi="宋体" w:cs="宋体"/>
          <w:sz w:val="24"/>
          <w:highlight w:val="none"/>
        </w:rPr>
      </w:pPr>
      <w:r>
        <w:rPr>
          <w:rFonts w:hint="eastAsia" w:ascii="宋体" w:hAnsi="宋体" w:cs="宋体"/>
          <w:sz w:val="24"/>
          <w:highlight w:val="none"/>
        </w:rPr>
        <w:t xml:space="preserve">      年   月    日</w:t>
      </w:r>
    </w:p>
    <w:p>
      <w:pPr>
        <w:spacing w:line="360" w:lineRule="auto"/>
        <w:jc w:val="center"/>
        <w:rPr>
          <w:rFonts w:ascii="宋体" w:hAnsi="宋体" w:cs="宋体"/>
          <w:b/>
          <w:bCs/>
          <w:sz w:val="24"/>
          <w:highlight w:val="none"/>
        </w:rPr>
      </w:pPr>
      <w:r>
        <w:rPr>
          <w:rFonts w:hint="eastAsia" w:ascii="宋体" w:hAnsi="宋体" w:cs="宋体"/>
          <w:b/>
          <w:bCs/>
          <w:sz w:val="24"/>
          <w:highlight w:val="none"/>
        </w:rPr>
        <w:br w:type="page"/>
      </w:r>
    </w:p>
    <w:p>
      <w:pPr>
        <w:spacing w:line="380" w:lineRule="exact"/>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10  </w:t>
      </w:r>
      <w:r>
        <w:rPr>
          <w:rFonts w:hint="eastAsia" w:ascii="宋体" w:hAnsi="宋体" w:cs="宋体"/>
          <w:b/>
          <w:bCs/>
          <w:sz w:val="24"/>
          <w:highlight w:val="none"/>
        </w:rPr>
        <w:t>合格供应商的声明函和承诺书</w:t>
      </w:r>
    </w:p>
    <w:p>
      <w:pPr>
        <w:spacing w:line="360" w:lineRule="auto"/>
        <w:rPr>
          <w:rFonts w:ascii="宋体" w:hAnsi="宋体" w:cs="宋体"/>
          <w:sz w:val="24"/>
          <w:highlight w:val="none"/>
        </w:rPr>
      </w:pPr>
    </w:p>
    <w:p>
      <w:pPr>
        <w:spacing w:line="360" w:lineRule="auto"/>
        <w:jc w:val="center"/>
        <w:rPr>
          <w:rFonts w:ascii="宋体" w:hAnsi="宋体" w:cs="宋体"/>
          <w:b/>
          <w:bCs/>
          <w:sz w:val="24"/>
          <w:highlight w:val="none"/>
        </w:rPr>
      </w:pPr>
    </w:p>
    <w:p>
      <w:pPr>
        <w:pStyle w:val="43"/>
        <w:rPr>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jc w:val="center"/>
        <w:rPr>
          <w:rFonts w:ascii="宋体" w:hAnsi="宋体" w:cs="宋体"/>
          <w:b/>
          <w:sz w:val="24"/>
          <w:highlight w:val="none"/>
        </w:rPr>
      </w:pPr>
    </w:p>
    <w:p>
      <w:pPr>
        <w:spacing w:line="360" w:lineRule="auto"/>
        <w:ind w:firstLine="3840" w:firstLineChars="1600"/>
        <w:rPr>
          <w:rFonts w:ascii="宋体" w:hAnsi="宋体" w:cs="宋体"/>
          <w:sz w:val="24"/>
          <w:highlight w:val="none"/>
        </w:rPr>
      </w:pPr>
      <w:r>
        <w:rPr>
          <w:rFonts w:hint="eastAsia" w:ascii="宋体" w:hAnsi="宋体" w:cs="宋体"/>
          <w:sz w:val="24"/>
          <w:highlight w:val="none"/>
        </w:rPr>
        <w:t xml:space="preserve">供应商电子公章： </w:t>
      </w:r>
    </w:p>
    <w:p>
      <w:pPr>
        <w:spacing w:line="380" w:lineRule="exact"/>
        <w:ind w:right="640" w:firstLine="1560" w:firstLineChars="650"/>
        <w:rPr>
          <w:rFonts w:ascii="宋体" w:hAnsi="宋体" w:cs="宋体"/>
          <w:sz w:val="24"/>
          <w:highlight w:val="none"/>
        </w:rPr>
      </w:pPr>
    </w:p>
    <w:p>
      <w:pPr>
        <w:spacing w:line="360" w:lineRule="auto"/>
        <w:jc w:val="center"/>
        <w:rPr>
          <w:rFonts w:ascii="宋体" w:hAnsi="宋体" w:cs="宋体"/>
          <w:sz w:val="24"/>
          <w:highlight w:val="none"/>
        </w:rPr>
      </w:pPr>
      <w:r>
        <w:rPr>
          <w:rFonts w:hint="eastAsia" w:ascii="宋体" w:hAnsi="宋体" w:cs="宋体"/>
          <w:sz w:val="24"/>
          <w:highlight w:val="none"/>
        </w:rPr>
        <w:t xml:space="preserve">      年   月    日</w:t>
      </w:r>
    </w:p>
    <w:p>
      <w:pPr>
        <w:spacing w:line="360" w:lineRule="auto"/>
        <w:rPr>
          <w:rFonts w:ascii="宋体" w:hAnsi="宋体" w:cs="宋体"/>
          <w:sz w:val="24"/>
          <w:highlight w:val="none"/>
        </w:rPr>
      </w:pPr>
    </w:p>
    <w:p>
      <w:pPr>
        <w:spacing w:line="360" w:lineRule="auto"/>
        <w:rPr>
          <w:rFonts w:ascii="宋体" w:hAnsi="宋体" w:cs="宋体"/>
          <w:sz w:val="24"/>
          <w:highlight w:val="none"/>
        </w:rPr>
      </w:pPr>
    </w:p>
    <w:p>
      <w:pPr>
        <w:spacing w:line="360" w:lineRule="auto"/>
        <w:rPr>
          <w:rFonts w:ascii="宋体" w:hAnsi="宋体" w:cs="宋体"/>
          <w:sz w:val="24"/>
          <w:highlight w:val="none"/>
        </w:rPr>
      </w:pPr>
    </w:p>
    <w:p>
      <w:pPr>
        <w:spacing w:line="360" w:lineRule="auto"/>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sz w:val="24"/>
          <w:highlight w:val="none"/>
        </w:rPr>
      </w:pPr>
    </w:p>
    <w:p>
      <w:pPr>
        <w:spacing w:line="380" w:lineRule="exact"/>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11  </w:t>
      </w:r>
      <w:r>
        <w:rPr>
          <w:rFonts w:hint="eastAsia" w:ascii="宋体" w:hAnsi="宋体" w:cs="宋体"/>
          <w:b/>
          <w:bCs/>
          <w:sz w:val="24"/>
          <w:highlight w:val="none"/>
        </w:rPr>
        <w:t>中小企业声明函（工程、服务）</w:t>
      </w:r>
    </w:p>
    <w:p>
      <w:pPr>
        <w:spacing w:line="360" w:lineRule="auto"/>
        <w:rPr>
          <w:b/>
          <w:bCs/>
          <w:sz w:val="32"/>
          <w:szCs w:val="32"/>
          <w:highlight w:val="none"/>
        </w:rPr>
      </w:pPr>
    </w:p>
    <w:p>
      <w:pPr>
        <w:spacing w:line="360" w:lineRule="auto"/>
        <w:ind w:firstLine="480" w:firstLineChars="200"/>
        <w:rPr>
          <w:rFonts w:ascii="宋体" w:hAnsi="宋体" w:cs="宋体"/>
          <w:sz w:val="24"/>
          <w:highlight w:val="none"/>
        </w:rPr>
      </w:pPr>
      <w:r>
        <w:rPr>
          <w:rFonts w:hint="eastAsia" w:ascii="宋体" w:hAnsi="宋体" w:cs="宋体"/>
          <w:sz w:val="24"/>
          <w:highlight w:val="none"/>
        </w:rPr>
        <w:t>本公司（联合体）郑重声明，根据《政府采购促进中小企业发展管理办法》（财库﹝2020﹞46号）的规定，本公司（联合体）参加</w:t>
      </w:r>
      <w:r>
        <w:rPr>
          <w:rFonts w:hint="eastAsia" w:ascii="宋体" w:hAnsi="宋体" w:cs="宋体"/>
          <w:sz w:val="24"/>
          <w:highlight w:val="none"/>
          <w:u w:val="single"/>
        </w:rPr>
        <w:t>（单位名称）</w:t>
      </w:r>
      <w:r>
        <w:rPr>
          <w:rFonts w:hint="eastAsia" w:ascii="宋体" w:hAnsi="宋体" w:cs="宋体"/>
          <w:sz w:val="24"/>
          <w:highlight w:val="none"/>
        </w:rPr>
        <w:t>的</w:t>
      </w:r>
      <w:r>
        <w:rPr>
          <w:rFonts w:hint="eastAsia" w:ascii="宋体" w:hAnsi="宋体" w:cs="宋体"/>
          <w:sz w:val="24"/>
          <w:highlight w:val="none"/>
          <w:u w:val="single"/>
        </w:rPr>
        <w:t>（项目名称）</w:t>
      </w:r>
      <w:r>
        <w:rPr>
          <w:rFonts w:hint="eastAsia" w:ascii="宋体" w:hAnsi="宋体" w:cs="宋体"/>
          <w:sz w:val="24"/>
          <w:highlight w:val="none"/>
        </w:rPr>
        <w:t>采购活动，工程的施工单位全部为符合政策要求的中小企业</w:t>
      </w:r>
      <w:r>
        <w:rPr>
          <w:rFonts w:hint="eastAsia" w:ascii="宋体" w:hAnsi="宋体" w:cs="宋体"/>
          <w:sz w:val="24"/>
          <w:highlight w:val="none"/>
          <w:u w:val="single"/>
        </w:rPr>
        <w:t>（或者：服务全部由符合政策要求的中小企业承接）</w:t>
      </w:r>
      <w:r>
        <w:rPr>
          <w:rFonts w:hint="eastAsia" w:ascii="宋体" w:hAnsi="宋体" w:cs="宋体"/>
          <w:sz w:val="24"/>
          <w:highlight w:val="none"/>
        </w:rPr>
        <w:t>。相关企业</w:t>
      </w:r>
      <w:r>
        <w:rPr>
          <w:rFonts w:hint="eastAsia" w:ascii="宋体" w:hAnsi="宋体" w:cs="宋体"/>
          <w:sz w:val="24"/>
          <w:highlight w:val="none"/>
          <w:u w:val="single"/>
        </w:rPr>
        <w:t>（含联合 体中的中小企业、签订分包意向协议的中小企业）</w:t>
      </w:r>
      <w:r>
        <w:rPr>
          <w:rFonts w:hint="eastAsia" w:ascii="宋体" w:hAnsi="宋体" w:cs="宋体"/>
          <w:sz w:val="24"/>
          <w:highlight w:val="none"/>
        </w:rPr>
        <w:t>的具体情 况如下：</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u w:val="single"/>
        </w:rPr>
        <w:t>（标的名称）</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 承建（承接）企业为（企业名称），从业人员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 xml:space="preserve">万元，属于（中型企业、小型企业、微型企业）；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u w:val="single"/>
        </w:rPr>
        <w:t>（标的名称）</w:t>
      </w:r>
      <w:r>
        <w:rPr>
          <w:rFonts w:hint="eastAsia" w:ascii="宋体" w:hAnsi="宋体" w:cs="宋体"/>
          <w:sz w:val="24"/>
          <w:highlight w:val="none"/>
        </w:rPr>
        <w:t>，属于</w:t>
      </w:r>
      <w:r>
        <w:rPr>
          <w:rFonts w:hint="eastAsia" w:ascii="宋体" w:hAnsi="宋体" w:cs="宋体"/>
          <w:sz w:val="24"/>
          <w:highlight w:val="none"/>
          <w:u w:val="single"/>
        </w:rPr>
        <w:t>（采购文件中明确的所属行业）</w:t>
      </w:r>
      <w:r>
        <w:rPr>
          <w:rFonts w:hint="eastAsia" w:ascii="宋体" w:hAnsi="宋体" w:cs="宋体"/>
          <w:sz w:val="24"/>
          <w:highlight w:val="none"/>
        </w:rPr>
        <w:t>； 承建（承接）企业为</w:t>
      </w:r>
      <w:r>
        <w:rPr>
          <w:rFonts w:hint="eastAsia" w:ascii="宋体" w:hAnsi="宋体" w:cs="宋体"/>
          <w:sz w:val="24"/>
          <w:highlight w:val="none"/>
          <w:u w:val="single"/>
        </w:rPr>
        <w:t>（企业名称）</w:t>
      </w:r>
      <w:r>
        <w:rPr>
          <w:rFonts w:hint="eastAsia" w:ascii="宋体" w:hAnsi="宋体" w:cs="宋体"/>
          <w:sz w:val="24"/>
          <w:highlight w:val="none"/>
        </w:rPr>
        <w:t>，从业人员</w:t>
      </w:r>
      <w:r>
        <w:rPr>
          <w:rFonts w:hint="eastAsia" w:ascii="宋体" w:hAnsi="宋体" w:cs="宋体"/>
          <w:sz w:val="24"/>
          <w:highlight w:val="none"/>
          <w:u w:val="single"/>
        </w:rPr>
        <w:t xml:space="preserve">    </w:t>
      </w:r>
      <w:r>
        <w:rPr>
          <w:rFonts w:hint="eastAsia" w:ascii="宋体" w:hAnsi="宋体" w:cs="宋体"/>
          <w:sz w:val="24"/>
          <w:highlight w:val="none"/>
        </w:rPr>
        <w:t>人，营业收入为</w:t>
      </w:r>
      <w:r>
        <w:rPr>
          <w:rFonts w:hint="eastAsia" w:ascii="宋体" w:hAnsi="宋体" w:cs="宋体"/>
          <w:sz w:val="24"/>
          <w:highlight w:val="none"/>
          <w:u w:val="single"/>
        </w:rPr>
        <w:t xml:space="preserve">   </w:t>
      </w:r>
      <w:r>
        <w:rPr>
          <w:rFonts w:hint="eastAsia" w:ascii="宋体" w:hAnsi="宋体" w:cs="宋体"/>
          <w:sz w:val="24"/>
          <w:highlight w:val="none"/>
        </w:rPr>
        <w:t>万元，资产总额为</w:t>
      </w:r>
      <w:r>
        <w:rPr>
          <w:rFonts w:hint="eastAsia" w:ascii="宋体" w:hAnsi="宋体" w:cs="宋体"/>
          <w:sz w:val="24"/>
          <w:highlight w:val="none"/>
          <w:u w:val="single"/>
        </w:rPr>
        <w:t xml:space="preserve">    </w:t>
      </w:r>
      <w:r>
        <w:rPr>
          <w:rFonts w:hint="eastAsia" w:ascii="宋体" w:hAnsi="宋体" w:cs="宋体"/>
          <w:sz w:val="24"/>
          <w:highlight w:val="none"/>
        </w:rPr>
        <w:t>万元，属于</w:t>
      </w:r>
      <w:r>
        <w:rPr>
          <w:rFonts w:hint="eastAsia" w:ascii="宋体" w:hAnsi="宋体" w:cs="宋体"/>
          <w:sz w:val="24"/>
          <w:highlight w:val="none"/>
          <w:u w:val="single"/>
        </w:rPr>
        <w:t>（中型企业、 小型企业、微型企业）</w:t>
      </w:r>
      <w:r>
        <w:rPr>
          <w:rFonts w:hint="eastAsia" w:ascii="宋体" w:hAnsi="宋体" w:cs="宋体"/>
          <w:sz w:val="24"/>
          <w:highlight w:val="none"/>
        </w:rPr>
        <w:t>； ……</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以上企业，不属于大企业的分支机构，不存在控股股东 为大企业的情形，也不存在与大企业的负责人为同一人的情形。</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本企业对上述声明内容的真实性负责。如有虚假，将依 法承担相应责任。 </w:t>
      </w:r>
    </w:p>
    <w:p>
      <w:pPr>
        <w:spacing w:line="360" w:lineRule="auto"/>
        <w:ind w:firstLine="3600" w:firstLineChars="1500"/>
        <w:rPr>
          <w:rFonts w:ascii="宋体" w:hAnsi="宋体" w:cs="宋体"/>
          <w:sz w:val="24"/>
          <w:highlight w:val="none"/>
        </w:rPr>
      </w:pPr>
      <w:r>
        <w:rPr>
          <w:rFonts w:hint="eastAsia" w:ascii="宋体" w:hAnsi="宋体" w:cs="宋体"/>
          <w:sz w:val="24"/>
          <w:highlight w:val="none"/>
        </w:rPr>
        <w:t xml:space="preserve">企业名称（盖章）： </w:t>
      </w:r>
    </w:p>
    <w:p>
      <w:pPr>
        <w:spacing w:line="360" w:lineRule="auto"/>
        <w:ind w:firstLine="4800" w:firstLineChars="2000"/>
        <w:rPr>
          <w:rFonts w:ascii="宋体" w:hAnsi="宋体" w:cs="宋体"/>
          <w:sz w:val="24"/>
          <w:highlight w:val="none"/>
        </w:rPr>
      </w:pPr>
      <w:r>
        <w:rPr>
          <w:rFonts w:hint="eastAsia" w:ascii="宋体" w:hAnsi="宋体" w:cs="宋体"/>
          <w:sz w:val="24"/>
          <w:highlight w:val="none"/>
        </w:rPr>
        <w:t xml:space="preserve">日 期： </w:t>
      </w:r>
    </w:p>
    <w:p>
      <w:pPr>
        <w:pStyle w:val="43"/>
        <w:rPr>
          <w:rFonts w:ascii="宋体" w:hAnsi="宋体" w:cs="宋体"/>
          <w:sz w:val="24"/>
          <w:szCs w:val="24"/>
          <w:highlight w:val="none"/>
        </w:rPr>
      </w:pPr>
    </w:p>
    <w:p>
      <w:pPr>
        <w:pStyle w:val="6"/>
        <w:rPr>
          <w:rFonts w:ascii="宋体" w:hAnsi="宋体" w:eastAsia="宋体" w:cs="宋体"/>
          <w:sz w:val="24"/>
          <w:highlight w:val="none"/>
        </w:rPr>
      </w:pPr>
    </w:p>
    <w:p>
      <w:pPr>
        <w:rPr>
          <w:rFonts w:ascii="宋体" w:hAnsi="宋体" w:cs="宋体"/>
          <w:sz w:val="24"/>
          <w:highlight w:val="none"/>
        </w:rPr>
      </w:pPr>
    </w:p>
    <w:p>
      <w:pPr>
        <w:pStyle w:val="43"/>
        <w:rPr>
          <w:rFonts w:ascii="宋体" w:hAnsi="宋体" w:cs="宋体"/>
          <w:sz w:val="24"/>
          <w:szCs w:val="24"/>
          <w:highlight w:val="none"/>
        </w:rPr>
      </w:pPr>
    </w:p>
    <w:p>
      <w:pPr>
        <w:pStyle w:val="6"/>
        <w:rPr>
          <w:highlight w:val="none"/>
        </w:rPr>
      </w:pPr>
    </w:p>
    <w:p>
      <w:pPr>
        <w:spacing w:line="360" w:lineRule="auto"/>
        <w:ind w:firstLine="420" w:firstLineChars="200"/>
        <w:rPr>
          <w:highlight w:val="none"/>
        </w:rPr>
      </w:pPr>
      <w:r>
        <w:rPr>
          <w:rFonts w:hint="eastAsia"/>
          <w:highlight w:val="none"/>
        </w:rPr>
        <w:t>注：1.从业人员、营业收入、资产总额填报上一年度数据，无上一年度数据的新成立企业可不填报。</w:t>
      </w:r>
    </w:p>
    <w:p>
      <w:pPr>
        <w:numPr>
          <w:ilvl w:val="0"/>
          <w:numId w:val="4"/>
        </w:numPr>
        <w:spacing w:line="360" w:lineRule="auto"/>
        <w:ind w:firstLine="420" w:firstLineChars="200"/>
        <w:rPr>
          <w:rFonts w:hint="eastAsia"/>
          <w:highlight w:val="none"/>
        </w:rPr>
      </w:pPr>
      <w:r>
        <w:rPr>
          <w:rFonts w:hint="eastAsia"/>
          <w:highlight w:val="none"/>
        </w:rPr>
        <w:t>本项目如是只面向中小企业采购的应当必须提供。</w:t>
      </w:r>
    </w:p>
    <w:p>
      <w:pPr>
        <w:numPr>
          <w:ilvl w:val="0"/>
          <w:numId w:val="4"/>
        </w:numPr>
        <w:spacing w:line="360" w:lineRule="auto"/>
        <w:ind w:firstLine="420" w:firstLineChars="200"/>
        <w:rPr>
          <w:rFonts w:hint="default" w:eastAsia="宋体"/>
          <w:highlight w:val="none"/>
          <w:lang w:val="en-US" w:eastAsia="zh-CN"/>
        </w:rPr>
      </w:pPr>
      <w:r>
        <w:rPr>
          <w:rFonts w:hint="eastAsia"/>
          <w:highlight w:val="none"/>
          <w:lang w:val="en-US" w:eastAsia="zh-CN"/>
        </w:rPr>
        <w:t>此格式仅供参考。</w:t>
      </w:r>
    </w:p>
    <w:p>
      <w:pPr>
        <w:spacing w:line="360" w:lineRule="auto"/>
        <w:jc w:val="center"/>
        <w:rPr>
          <w:rFonts w:ascii="宋体" w:hAnsi="宋体" w:cs="宋体"/>
          <w:b/>
          <w:bCs/>
          <w:sz w:val="24"/>
          <w:highlight w:val="none"/>
        </w:rPr>
      </w:pPr>
    </w:p>
    <w:p>
      <w:pPr>
        <w:spacing w:line="360" w:lineRule="auto"/>
        <w:jc w:val="center"/>
        <w:rPr>
          <w:rFonts w:ascii="宋体" w:hAnsi="宋体" w:cs="宋体"/>
          <w:b/>
          <w:bCs/>
          <w:sz w:val="24"/>
          <w:highlight w:val="none"/>
        </w:rPr>
      </w:pPr>
    </w:p>
    <w:p>
      <w:pPr>
        <w:pStyle w:val="43"/>
        <w:rPr>
          <w:rFonts w:ascii="宋体" w:hAnsi="宋体" w:cs="宋体"/>
          <w:b/>
          <w:bCs/>
          <w:sz w:val="24"/>
          <w:highlight w:val="none"/>
        </w:rPr>
      </w:pPr>
    </w:p>
    <w:p>
      <w:pPr>
        <w:pStyle w:val="6"/>
        <w:rPr>
          <w:highlight w:val="none"/>
        </w:rPr>
      </w:pPr>
    </w:p>
    <w:p>
      <w:pPr>
        <w:spacing w:line="360" w:lineRule="auto"/>
        <w:rPr>
          <w:rFonts w:ascii="宋体" w:hAnsi="宋体" w:cs="宋体"/>
          <w:sz w:val="24"/>
          <w:highlight w:val="none"/>
        </w:rPr>
      </w:pPr>
    </w:p>
    <w:p>
      <w:pPr>
        <w:spacing w:line="360" w:lineRule="auto"/>
        <w:jc w:val="center"/>
        <w:rPr>
          <w:rFonts w:ascii="宋体" w:hAnsi="宋体" w:cs="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12  </w:t>
      </w:r>
      <w:r>
        <w:rPr>
          <w:rStyle w:val="72"/>
          <w:rFonts w:hint="eastAsia" w:ascii="宋体" w:hAnsi="宋体" w:eastAsia="宋体" w:cs="宋体"/>
          <w:b/>
          <w:bCs/>
          <w:sz w:val="24"/>
          <w:szCs w:val="24"/>
          <w:highlight w:val="none"/>
        </w:rPr>
        <w:t>其他资料</w:t>
      </w:r>
    </w:p>
    <w:p>
      <w:pPr>
        <w:rPr>
          <w:rFonts w:hint="eastAsia" w:ascii="宋体" w:hAnsi="宋体" w:cs="宋体"/>
          <w:sz w:val="24"/>
          <w:highlight w:val="none"/>
        </w:rPr>
      </w:pPr>
      <w:r>
        <w:rPr>
          <w:rFonts w:hint="eastAsia" w:ascii="宋体" w:hAnsi="宋体" w:cs="宋体"/>
          <w:sz w:val="24"/>
          <w:highlight w:val="none"/>
        </w:rPr>
        <w:br w:type="page"/>
      </w:r>
    </w:p>
    <w:p>
      <w:pPr>
        <w:spacing w:line="360" w:lineRule="auto"/>
        <w:jc w:val="center"/>
        <w:rPr>
          <w:rStyle w:val="72"/>
          <w:rFonts w:ascii="宋体"/>
          <w:b/>
          <w:bCs/>
          <w:sz w:val="24"/>
          <w:highlight w:val="none"/>
        </w:rPr>
      </w:pPr>
      <w:r>
        <w:rPr>
          <w:rFonts w:hint="eastAsia" w:ascii="宋体" w:hAnsi="宋体" w:cs="宋体"/>
          <w:b/>
          <w:bCs/>
          <w:sz w:val="24"/>
          <w:highlight w:val="none"/>
        </w:rPr>
        <w:t>格式</w:t>
      </w:r>
      <w:r>
        <w:rPr>
          <w:rFonts w:hint="eastAsia" w:ascii="宋体" w:hAnsi="宋体" w:cs="宋体"/>
          <w:b/>
          <w:bCs/>
          <w:sz w:val="24"/>
          <w:highlight w:val="none"/>
          <w:lang w:val="en-US" w:eastAsia="zh-CN"/>
        </w:rPr>
        <w:t xml:space="preserve">13 </w:t>
      </w:r>
      <w:r>
        <w:rPr>
          <w:rStyle w:val="72"/>
          <w:rFonts w:hint="eastAsia" w:ascii="宋体" w:hAnsi="宋体" w:cs="宋体"/>
          <w:b/>
          <w:bCs/>
          <w:sz w:val="24"/>
          <w:szCs w:val="24"/>
          <w:highlight w:val="none"/>
        </w:rPr>
        <w:t>政府采购供应商诚信承诺书</w:t>
      </w:r>
    </w:p>
    <w:p>
      <w:pPr>
        <w:spacing w:line="380" w:lineRule="exact"/>
        <w:ind w:firstLine="720" w:firstLineChars="300"/>
        <w:rPr>
          <w:rFonts w:ascii="宋体" w:hAnsi="宋体" w:cs="宋体"/>
          <w:sz w:val="24"/>
          <w:highlight w:val="none"/>
        </w:rPr>
      </w:pPr>
      <w:r>
        <w:rPr>
          <w:rFonts w:hint="eastAsia" w:ascii="宋体" w:hAnsi="宋体" w:cs="宋体"/>
          <w:sz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exact"/>
        <w:rPr>
          <w:rFonts w:ascii="宋体" w:hAnsi="宋体" w:cs="宋体"/>
          <w:sz w:val="24"/>
          <w:highlight w:val="none"/>
        </w:rPr>
      </w:pPr>
      <w:r>
        <w:rPr>
          <w:rFonts w:hint="eastAsia" w:ascii="宋体" w:hAnsi="宋体" w:cs="宋体"/>
          <w:sz w:val="24"/>
          <w:highlight w:val="none"/>
        </w:rPr>
        <w:t>（一）提供虚假材料谋取中标;</w:t>
      </w:r>
    </w:p>
    <w:p>
      <w:pPr>
        <w:spacing w:line="380" w:lineRule="exact"/>
        <w:rPr>
          <w:rFonts w:ascii="宋体" w:hAnsi="宋体" w:cs="宋体"/>
          <w:sz w:val="24"/>
          <w:highlight w:val="none"/>
        </w:rPr>
      </w:pPr>
      <w:r>
        <w:rPr>
          <w:rFonts w:hint="eastAsia" w:ascii="宋体" w:hAnsi="宋体" w:cs="宋体"/>
          <w:sz w:val="24"/>
          <w:highlight w:val="none"/>
        </w:rPr>
        <w:t>（二）采取不正当手段诋毁、排挤其他供应商;</w:t>
      </w:r>
    </w:p>
    <w:p>
      <w:pPr>
        <w:spacing w:line="380" w:lineRule="exact"/>
        <w:rPr>
          <w:rFonts w:ascii="宋体" w:hAnsi="宋体" w:cs="宋体"/>
          <w:sz w:val="24"/>
          <w:highlight w:val="none"/>
        </w:rPr>
      </w:pPr>
      <w:r>
        <w:rPr>
          <w:rFonts w:hint="eastAsia" w:ascii="宋体" w:hAnsi="宋体" w:cs="宋体"/>
          <w:sz w:val="24"/>
          <w:highlight w:val="none"/>
        </w:rPr>
        <w:t>（三）与招标采购单位、其他投标人恶意串通;</w:t>
      </w:r>
    </w:p>
    <w:p>
      <w:pPr>
        <w:spacing w:line="380" w:lineRule="exact"/>
        <w:rPr>
          <w:rFonts w:ascii="宋体" w:hAnsi="宋体" w:cs="宋体"/>
          <w:sz w:val="24"/>
          <w:highlight w:val="none"/>
        </w:rPr>
      </w:pPr>
      <w:r>
        <w:rPr>
          <w:rFonts w:hint="eastAsia" w:ascii="宋体" w:hAnsi="宋体" w:cs="宋体"/>
          <w:sz w:val="24"/>
          <w:highlight w:val="none"/>
        </w:rPr>
        <w:t>（四）向招标采购单位或提供其他不正当利益;</w:t>
      </w:r>
    </w:p>
    <w:p>
      <w:pPr>
        <w:spacing w:line="380" w:lineRule="exact"/>
        <w:rPr>
          <w:rFonts w:ascii="宋体" w:hAnsi="宋体" w:cs="宋体"/>
          <w:sz w:val="24"/>
          <w:highlight w:val="none"/>
        </w:rPr>
      </w:pPr>
      <w:r>
        <w:rPr>
          <w:rFonts w:hint="eastAsia" w:ascii="宋体" w:hAnsi="宋体" w:cs="宋体"/>
          <w:sz w:val="24"/>
          <w:highlight w:val="none"/>
        </w:rPr>
        <w:t>（五）在招标过程中与招标采购单位进行协商谈判、不按照招标文件和投标文件订立合同，或者与采购人另立背离合同实质性内容协议;</w:t>
      </w:r>
    </w:p>
    <w:p>
      <w:pPr>
        <w:spacing w:line="380" w:lineRule="exact"/>
        <w:rPr>
          <w:rFonts w:ascii="宋体" w:hAnsi="宋体" w:cs="宋体"/>
          <w:sz w:val="24"/>
          <w:highlight w:val="none"/>
        </w:rPr>
      </w:pPr>
      <w:r>
        <w:rPr>
          <w:rFonts w:hint="eastAsia" w:ascii="宋体" w:hAnsi="宋体" w:cs="宋体"/>
          <w:sz w:val="24"/>
          <w:highlight w:val="none"/>
        </w:rPr>
        <w:t>（六）开标后擅自撤销投标，影响招标继续进行的或领取招标文件纳投标保证金后不投标导致废标;</w:t>
      </w:r>
    </w:p>
    <w:p>
      <w:pPr>
        <w:spacing w:line="380" w:lineRule="exact"/>
        <w:rPr>
          <w:rFonts w:ascii="宋体" w:hAnsi="宋体" w:cs="宋体"/>
          <w:sz w:val="24"/>
          <w:highlight w:val="none"/>
        </w:rPr>
      </w:pPr>
      <w:r>
        <w:rPr>
          <w:rFonts w:hint="eastAsia" w:ascii="宋体" w:hAnsi="宋体" w:cs="宋体"/>
          <w:sz w:val="24"/>
          <w:highlight w:val="none"/>
        </w:rPr>
        <w:t>（七）中标后无正当理由，在规定时间内不与采购单位签订合同;</w:t>
      </w:r>
    </w:p>
    <w:p>
      <w:pPr>
        <w:spacing w:line="380" w:lineRule="exact"/>
        <w:rPr>
          <w:rFonts w:ascii="宋体" w:hAnsi="宋体" w:cs="宋体"/>
          <w:sz w:val="24"/>
          <w:highlight w:val="none"/>
        </w:rPr>
      </w:pPr>
      <w:r>
        <w:rPr>
          <w:rFonts w:hint="eastAsia" w:ascii="宋体" w:hAnsi="宋体" w:cs="宋体"/>
          <w:sz w:val="24"/>
          <w:highlight w:val="none"/>
        </w:rPr>
        <w:t>（八）将中标项目转让给他人或非法分包他人;</w:t>
      </w:r>
    </w:p>
    <w:p>
      <w:pPr>
        <w:spacing w:line="380" w:lineRule="exact"/>
        <w:rPr>
          <w:rFonts w:ascii="宋体" w:hAnsi="宋体" w:cs="宋体"/>
          <w:sz w:val="24"/>
          <w:highlight w:val="none"/>
        </w:rPr>
      </w:pPr>
      <w:r>
        <w:rPr>
          <w:rFonts w:hint="eastAsia" w:ascii="宋体" w:hAnsi="宋体" w:cs="宋体"/>
          <w:sz w:val="24"/>
          <w:highlight w:val="none"/>
        </w:rPr>
        <w:t>（九）无正当理由，拒绝履行合同义务;</w:t>
      </w:r>
    </w:p>
    <w:p>
      <w:pPr>
        <w:spacing w:line="380" w:lineRule="exact"/>
        <w:rPr>
          <w:rFonts w:ascii="宋体" w:hAnsi="宋体" w:cs="宋体"/>
          <w:sz w:val="24"/>
          <w:highlight w:val="none"/>
        </w:rPr>
      </w:pPr>
      <w:r>
        <w:rPr>
          <w:rFonts w:hint="eastAsia" w:ascii="宋体" w:hAnsi="宋体" w:cs="宋体"/>
          <w:sz w:val="24"/>
          <w:highlight w:val="none"/>
        </w:rPr>
        <w:t>（十）无正当理由放弃中标（成交）项目;</w:t>
      </w:r>
    </w:p>
    <w:p>
      <w:pPr>
        <w:spacing w:line="380" w:lineRule="exact"/>
        <w:rPr>
          <w:rFonts w:ascii="宋体" w:hAnsi="宋体" w:cs="宋体"/>
          <w:sz w:val="24"/>
          <w:highlight w:val="none"/>
        </w:rPr>
      </w:pPr>
      <w:r>
        <w:rPr>
          <w:rFonts w:hint="eastAsia" w:ascii="宋体" w:hAnsi="宋体" w:cs="宋体"/>
          <w:sz w:val="24"/>
          <w:highlight w:val="none"/>
        </w:rPr>
        <w:t>（十一）</w:t>
      </w:r>
      <w:r>
        <w:rPr>
          <w:rFonts w:hint="eastAsia" w:ascii="宋体" w:hAnsi="宋体" w:cs="宋体"/>
          <w:sz w:val="24"/>
          <w:highlight w:val="none"/>
          <w:lang w:val="en-US" w:eastAsia="zh-CN"/>
        </w:rPr>
        <w:t>擅自</w:t>
      </w:r>
      <w:r>
        <w:rPr>
          <w:rFonts w:hint="eastAsia" w:ascii="宋体" w:hAnsi="宋体" w:cs="宋体"/>
          <w:sz w:val="24"/>
          <w:highlight w:val="none"/>
        </w:rPr>
        <w:t>与采购人串通或接受采购人要求，在履约合同中通过减少货物数量，更换品牌、降低配置、技术要求、质量和服务标准等，却仍按原合同进行虚假验收或终止政府采购合同;</w:t>
      </w:r>
    </w:p>
    <w:p>
      <w:pPr>
        <w:spacing w:line="380" w:lineRule="exact"/>
        <w:rPr>
          <w:rFonts w:ascii="宋体" w:hAnsi="宋体" w:cs="宋体"/>
          <w:sz w:val="24"/>
          <w:highlight w:val="none"/>
        </w:rPr>
      </w:pPr>
      <w:r>
        <w:rPr>
          <w:rFonts w:hint="eastAsia" w:ascii="宋体" w:hAnsi="宋体" w:cs="宋体"/>
          <w:sz w:val="24"/>
          <w:highlight w:val="none"/>
        </w:rPr>
        <w:t>（十二）与采购人串通，对尚未履约完毕的采购项目出具虚假验收报告；</w:t>
      </w:r>
    </w:p>
    <w:p>
      <w:pPr>
        <w:spacing w:line="380" w:lineRule="exact"/>
        <w:rPr>
          <w:rFonts w:ascii="宋体" w:hAnsi="宋体" w:cs="宋体"/>
          <w:sz w:val="24"/>
          <w:highlight w:val="none"/>
        </w:rPr>
      </w:pPr>
      <w:r>
        <w:rPr>
          <w:rFonts w:hint="eastAsia" w:ascii="宋体" w:hAnsi="宋体" w:cs="宋体"/>
          <w:sz w:val="24"/>
          <w:highlight w:val="none"/>
        </w:rPr>
        <w:t>（十三）无不可抗力因素，拒绝提供售后服务、售后服务态度恶劣、故意提高维修配件价格（高于市场平均价）；</w:t>
      </w:r>
    </w:p>
    <w:p>
      <w:pPr>
        <w:spacing w:line="380" w:lineRule="exact"/>
        <w:rPr>
          <w:rFonts w:ascii="宋体" w:hAnsi="宋体" w:cs="宋体"/>
          <w:sz w:val="24"/>
          <w:highlight w:val="none"/>
        </w:rPr>
      </w:pPr>
      <w:r>
        <w:rPr>
          <w:rFonts w:hint="eastAsia" w:ascii="宋体" w:hAnsi="宋体" w:cs="宋体"/>
          <w:sz w:val="24"/>
          <w:highlight w:val="none"/>
        </w:rPr>
        <w:t>（十四）开标后对招标文件的相关内容再进行质疑；</w:t>
      </w:r>
    </w:p>
    <w:p>
      <w:pPr>
        <w:spacing w:line="380" w:lineRule="exact"/>
        <w:rPr>
          <w:rFonts w:ascii="宋体" w:hAnsi="宋体" w:cs="宋体"/>
          <w:sz w:val="24"/>
          <w:highlight w:val="none"/>
        </w:rPr>
      </w:pPr>
      <w:r>
        <w:rPr>
          <w:rFonts w:hint="eastAsia" w:ascii="宋体" w:hAnsi="宋体" w:cs="宋体"/>
          <w:sz w:val="24"/>
          <w:highlight w:val="none"/>
        </w:rPr>
        <w:t>（十五）恶意投诉的行为：投诉经查无实据的、捏造事实或者提供虚假设诉材料；</w:t>
      </w:r>
    </w:p>
    <w:p>
      <w:pPr>
        <w:spacing w:line="380" w:lineRule="exact"/>
        <w:rPr>
          <w:rFonts w:ascii="宋体" w:hAnsi="宋体" w:cs="宋体"/>
          <w:sz w:val="24"/>
          <w:highlight w:val="none"/>
        </w:rPr>
      </w:pPr>
      <w:r>
        <w:rPr>
          <w:rFonts w:hint="eastAsia" w:ascii="宋体" w:hAnsi="宋体" w:cs="宋体"/>
          <w:sz w:val="24"/>
          <w:highlight w:val="none"/>
        </w:rPr>
        <w:t>（十六）拒绝有关部门监督检查或者提供虚假情况；</w:t>
      </w:r>
    </w:p>
    <w:p>
      <w:pPr>
        <w:spacing w:line="380" w:lineRule="exact"/>
        <w:rPr>
          <w:rFonts w:ascii="宋体" w:hAnsi="宋体" w:cs="宋体"/>
          <w:sz w:val="24"/>
          <w:highlight w:val="none"/>
        </w:rPr>
      </w:pPr>
      <w:r>
        <w:rPr>
          <w:rFonts w:hint="eastAsia" w:ascii="宋体" w:hAnsi="宋体" w:cs="宋体"/>
          <w:sz w:val="24"/>
          <w:highlight w:val="none"/>
        </w:rPr>
        <w:t>（十七）政府采购监管部门认定的其他政府采购活动中的不诚信行为。</w:t>
      </w:r>
    </w:p>
    <w:p>
      <w:pPr>
        <w:spacing w:line="380" w:lineRule="exact"/>
        <w:ind w:firstLine="3360" w:firstLineChars="1400"/>
        <w:rPr>
          <w:rFonts w:ascii="宋体" w:hAnsi="宋体" w:cs="宋体"/>
          <w:sz w:val="24"/>
          <w:highlight w:val="none"/>
        </w:rPr>
      </w:pPr>
      <w:r>
        <w:rPr>
          <w:rFonts w:hint="eastAsia" w:ascii="宋体" w:hAnsi="宋体" w:cs="宋体"/>
          <w:sz w:val="24"/>
          <w:highlight w:val="none"/>
        </w:rPr>
        <w:t>供应商名称：（盖章）</w:t>
      </w:r>
    </w:p>
    <w:p>
      <w:pPr>
        <w:spacing w:line="380" w:lineRule="exact"/>
        <w:ind w:firstLine="3360" w:firstLineChars="1400"/>
        <w:rPr>
          <w:rFonts w:ascii="宋体" w:hAnsi="宋体" w:cs="宋体"/>
          <w:sz w:val="24"/>
          <w:highlight w:val="none"/>
        </w:rPr>
      </w:pPr>
      <w:r>
        <w:rPr>
          <w:rFonts w:hint="eastAsia" w:ascii="宋体" w:hAnsi="宋体" w:cs="宋体"/>
          <w:sz w:val="24"/>
          <w:highlight w:val="none"/>
        </w:rPr>
        <w:t>法定代表人：（签字）</w:t>
      </w:r>
    </w:p>
    <w:p>
      <w:pPr>
        <w:spacing w:line="380" w:lineRule="exact"/>
        <w:ind w:firstLine="3360" w:firstLineChars="1400"/>
        <w:rPr>
          <w:rFonts w:ascii="宋体" w:hAnsi="宋体" w:cs="宋体"/>
          <w:sz w:val="24"/>
          <w:highlight w:val="none"/>
        </w:rPr>
      </w:pPr>
    </w:p>
    <w:p>
      <w:pPr>
        <w:spacing w:line="380" w:lineRule="exact"/>
        <w:ind w:firstLine="3360" w:firstLineChars="1400"/>
        <w:rPr>
          <w:rFonts w:ascii="宋体" w:hAnsi="宋体" w:cs="宋体"/>
          <w:b/>
          <w:sz w:val="24"/>
          <w:highlight w:val="none"/>
        </w:rPr>
      </w:pPr>
      <w:r>
        <w:rPr>
          <w:rFonts w:hint="eastAsia" w:ascii="宋体" w:hAnsi="宋体" w:cs="宋体"/>
          <w:sz w:val="24"/>
          <w:highlight w:val="none"/>
        </w:rPr>
        <w:t>日期：年月日</w:t>
      </w:r>
    </w:p>
    <w:p>
      <w:pPr>
        <w:pStyle w:val="37"/>
        <w:ind w:firstLine="0" w:firstLineChars="0"/>
        <w:rPr>
          <w:rFonts w:ascii="宋体" w:hAnsi="宋体" w:cs="宋体"/>
          <w:b/>
          <w:sz w:val="24"/>
          <w:highlight w:val="none"/>
        </w:rPr>
      </w:pPr>
    </w:p>
    <w:p>
      <w:pPr>
        <w:rPr>
          <w:rFonts w:hint="eastAsia" w:ascii="宋体" w:hAnsi="宋体" w:cs="宋体"/>
          <w:b/>
          <w:sz w:val="32"/>
          <w:szCs w:val="32"/>
          <w:highlight w:val="none"/>
        </w:rPr>
      </w:pPr>
      <w:r>
        <w:rPr>
          <w:rFonts w:hint="eastAsia" w:ascii="宋体" w:hAnsi="宋体" w:cs="宋体"/>
          <w:b/>
          <w:sz w:val="32"/>
          <w:szCs w:val="32"/>
          <w:highlight w:val="none"/>
        </w:rPr>
        <w:br w:type="page"/>
      </w:r>
    </w:p>
    <w:p>
      <w:pPr>
        <w:pStyle w:val="3"/>
        <w:spacing w:line="500" w:lineRule="exact"/>
        <w:rPr>
          <w:rFonts w:ascii="宋体" w:hAnsi="宋体" w:cs="宋体"/>
          <w:b/>
          <w:sz w:val="32"/>
          <w:szCs w:val="32"/>
          <w:highlight w:val="none"/>
        </w:rPr>
      </w:pPr>
      <w:r>
        <w:rPr>
          <w:rFonts w:hint="eastAsia" w:ascii="宋体" w:hAnsi="宋体" w:cs="宋体"/>
          <w:b/>
          <w:sz w:val="32"/>
          <w:szCs w:val="32"/>
          <w:highlight w:val="none"/>
        </w:rPr>
        <w:t xml:space="preserve">第五章  </w:t>
      </w:r>
      <w:r>
        <w:rPr>
          <w:rFonts w:hint="eastAsia" w:ascii="宋体" w:hAnsi="宋体" w:cs="宋体"/>
          <w:b/>
          <w:w w:val="92"/>
          <w:sz w:val="32"/>
          <w:szCs w:val="32"/>
          <w:highlight w:val="none"/>
        </w:rPr>
        <w:t>周口市</w:t>
      </w:r>
      <w:r>
        <w:rPr>
          <w:rFonts w:hint="eastAsia" w:ascii="宋体" w:hAnsi="宋体" w:cs="宋体"/>
          <w:b/>
          <w:sz w:val="32"/>
          <w:szCs w:val="32"/>
          <w:highlight w:val="none"/>
        </w:rPr>
        <w:t>政府采购合同（服务类）标准文本</w:t>
      </w:r>
    </w:p>
    <w:p>
      <w:pPr>
        <w:ind w:firstLine="640" w:firstLineChars="200"/>
        <w:rPr>
          <w:rFonts w:ascii="宋体" w:hAnsi="宋体" w:cs="宋体"/>
          <w:sz w:val="32"/>
          <w:szCs w:val="32"/>
          <w:highlight w:val="none"/>
        </w:rPr>
      </w:pPr>
    </w:p>
    <w:p>
      <w:pPr>
        <w:pStyle w:val="85"/>
        <w:spacing w:beforeLines="0" w:afterLines="0"/>
        <w:ind w:left="0" w:firstLine="640" w:firstLineChars="200"/>
        <w:rPr>
          <w:rFonts w:ascii="宋体" w:hAnsi="宋体" w:cs="宋体"/>
          <w:sz w:val="32"/>
          <w:szCs w:val="32"/>
          <w:highlight w:val="none"/>
        </w:rPr>
      </w:pPr>
    </w:p>
    <w:p>
      <w:pPr>
        <w:pStyle w:val="85"/>
        <w:spacing w:beforeLines="0" w:afterLines="0"/>
        <w:ind w:left="0" w:firstLine="640" w:firstLineChars="200"/>
        <w:rPr>
          <w:rFonts w:ascii="宋体" w:hAnsi="宋体" w:cs="宋体"/>
          <w:sz w:val="32"/>
          <w:szCs w:val="32"/>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政府采购项目名称：</w:t>
      </w:r>
    </w:p>
    <w:p>
      <w:pPr>
        <w:pStyle w:val="85"/>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政府采购项目编号：</w:t>
      </w:r>
    </w:p>
    <w:p>
      <w:pPr>
        <w:pStyle w:val="85"/>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采      购    人：</w:t>
      </w:r>
    </w:p>
    <w:p>
      <w:pPr>
        <w:pStyle w:val="85"/>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供      应    商：</w:t>
      </w:r>
    </w:p>
    <w:p>
      <w:pPr>
        <w:pStyle w:val="85"/>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合  同  签 订 地：</w:t>
      </w:r>
    </w:p>
    <w:p>
      <w:pPr>
        <w:pStyle w:val="85"/>
        <w:spacing w:beforeLines="0" w:afterLines="0"/>
        <w:ind w:left="0" w:firstLine="600" w:firstLineChars="200"/>
        <w:rPr>
          <w:rFonts w:ascii="宋体" w:hAnsi="宋体" w:cs="宋体"/>
          <w:sz w:val="30"/>
          <w:szCs w:val="30"/>
          <w:highlight w:val="none"/>
        </w:rPr>
      </w:pPr>
      <w:r>
        <w:rPr>
          <w:rFonts w:hint="eastAsia" w:ascii="宋体" w:hAnsi="宋体" w:cs="宋体"/>
          <w:sz w:val="30"/>
          <w:szCs w:val="30"/>
          <w:highlight w:val="none"/>
        </w:rPr>
        <w:t>合 同 签订 时 间：</w:t>
      </w: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ind w:left="0" w:firstLine="600" w:firstLineChars="200"/>
        <w:rPr>
          <w:rFonts w:ascii="宋体" w:hAnsi="宋体" w:cs="宋体"/>
          <w:sz w:val="30"/>
          <w:szCs w:val="30"/>
          <w:highlight w:val="none"/>
        </w:rPr>
      </w:pPr>
    </w:p>
    <w:p>
      <w:pPr>
        <w:pStyle w:val="85"/>
        <w:spacing w:beforeLines="0" w:afterLines="0" w:line="440" w:lineRule="exact"/>
        <w:ind w:left="0"/>
        <w:jc w:val="center"/>
        <w:rPr>
          <w:rFonts w:ascii="宋体" w:hAnsi="宋体" w:cs="宋体"/>
          <w:sz w:val="32"/>
          <w:szCs w:val="32"/>
          <w:highlight w:val="none"/>
        </w:rPr>
      </w:pPr>
      <w:r>
        <w:rPr>
          <w:rFonts w:hint="eastAsia" w:ascii="宋体" w:hAnsi="宋体" w:cs="宋体"/>
          <w:sz w:val="32"/>
          <w:szCs w:val="32"/>
          <w:highlight w:val="none"/>
        </w:rPr>
        <w:t>合同签订指引</w:t>
      </w:r>
    </w:p>
    <w:p>
      <w:pPr>
        <w:pStyle w:val="85"/>
        <w:spacing w:beforeLines="0" w:afterLines="0" w:line="440" w:lineRule="exact"/>
        <w:ind w:left="0"/>
        <w:rPr>
          <w:rFonts w:ascii="宋体" w:hAnsi="宋体" w:cs="宋体"/>
          <w:sz w:val="30"/>
          <w:szCs w:val="30"/>
          <w:highlight w:val="none"/>
        </w:rPr>
      </w:pP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一、采购人在签订合同时应提供的资料：</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1、该政府采购项目的招标采购文件（以网上发布内容为准）；</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2、该政府采购项目招标文件的澄清和修改内容（公告内容）；</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3、该政府采购项目评审报告；</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4、采购单位法人授权委托书（法人到场并签字的除外）；</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5、采购单位被授权人身份证件（法人到场并签字的除外）；</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6、采购人和中标供应商（或服务商，下同）约定的其它内容（不得超出招标采购文件实质性内容）。</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二、供应商在签订合同时应提供的资料：</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1、该政府采购项目的投标文件（纸质或DPF格式的电子投标文件）；</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2、针对该项目评审时评审委员会提出的质询答复（纸质并签章）；</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3、该政府采购项目中标通知书；</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4、供应商法人授权委托书（法人到场并签字的除外）；</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5、供应商被授权人身份证件（法人到场并签字的除外）；</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6、供应商和采购人约定的其它内容（不得超出招标采购文件实质性内容）。</w:t>
      </w:r>
    </w:p>
    <w:p>
      <w:pPr>
        <w:pStyle w:val="85"/>
        <w:spacing w:beforeLines="0" w:afterLines="0" w:line="440" w:lineRule="exact"/>
        <w:ind w:left="0" w:firstLine="420" w:firstLineChars="200"/>
        <w:rPr>
          <w:rFonts w:ascii="宋体" w:hAnsi="宋体" w:cs="宋体"/>
          <w:sz w:val="30"/>
          <w:szCs w:val="30"/>
          <w:highlight w:val="none"/>
        </w:rPr>
      </w:pPr>
      <w:r>
        <w:rPr>
          <w:rFonts w:hint="eastAsia" w:ascii="宋体" w:hAnsi="宋体" w:cs="宋体"/>
          <w:szCs w:val="21"/>
          <w:highlight w:val="none"/>
        </w:rPr>
        <w:t>三、本合同签订后二个工作日内有采购人在“周口市政府采购网”上进行合同公示。</w:t>
      </w:r>
    </w:p>
    <w:p>
      <w:pPr>
        <w:pStyle w:val="85"/>
        <w:spacing w:beforeLines="0" w:afterLines="0" w:line="440" w:lineRule="exact"/>
        <w:ind w:left="0"/>
        <w:jc w:val="center"/>
        <w:rPr>
          <w:rFonts w:ascii="宋体" w:hAnsi="宋体" w:cs="宋体"/>
          <w:bCs/>
          <w:sz w:val="32"/>
          <w:szCs w:val="32"/>
          <w:highlight w:val="none"/>
        </w:rPr>
      </w:pPr>
    </w:p>
    <w:p>
      <w:pPr>
        <w:pStyle w:val="85"/>
        <w:spacing w:beforeLines="0" w:afterLines="0" w:line="440" w:lineRule="exact"/>
        <w:ind w:left="0"/>
        <w:jc w:val="center"/>
        <w:rPr>
          <w:rFonts w:ascii="宋体" w:hAnsi="宋体" w:cs="宋体"/>
          <w:sz w:val="32"/>
          <w:szCs w:val="32"/>
          <w:highlight w:val="none"/>
        </w:rPr>
      </w:pPr>
      <w:r>
        <w:rPr>
          <w:rFonts w:hint="eastAsia" w:ascii="宋体" w:hAnsi="宋体" w:cs="宋体"/>
          <w:bCs/>
          <w:sz w:val="32"/>
          <w:szCs w:val="32"/>
          <w:highlight w:val="none"/>
        </w:rPr>
        <w:t>供应商履约验收指引</w:t>
      </w:r>
    </w:p>
    <w:p>
      <w:pPr>
        <w:pStyle w:val="85"/>
        <w:spacing w:beforeLines="0" w:afterLines="0" w:line="440" w:lineRule="exact"/>
        <w:ind w:left="0" w:firstLine="420" w:firstLineChars="200"/>
        <w:rPr>
          <w:rFonts w:ascii="宋体" w:hAnsi="宋体" w:cs="宋体"/>
          <w:szCs w:val="27"/>
          <w:highlight w:val="none"/>
        </w:rPr>
      </w:pPr>
      <w:r>
        <w:rPr>
          <w:rFonts w:hint="eastAsia" w:ascii="宋体" w:hAnsi="宋体" w:cs="宋体"/>
          <w:szCs w:val="21"/>
          <w:highlight w:val="none"/>
        </w:rPr>
        <w:t>1、供应商不得擅自变更合同标的服务内容；</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2、不得以次充优，随意降低服务标准和水平；</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3、对因客观上采购人采购需求发生变化造成的，应提供采、供双方的纸质备忘录材料；</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4、在满足验收条件5个工作日内通知采购人组织验收；</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5、供应商应提供需验收服务的清单、标准、达到的水平等量化资料；</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6、采、供双方约定的验收机构及相关人员组成情况。</w:t>
      </w:r>
    </w:p>
    <w:p>
      <w:pPr>
        <w:pStyle w:val="85"/>
        <w:spacing w:beforeLines="0" w:afterLines="0" w:line="440" w:lineRule="exact"/>
        <w:ind w:left="0" w:firstLine="420" w:firstLineChars="200"/>
        <w:rPr>
          <w:rFonts w:ascii="宋体" w:hAnsi="宋体" w:cs="宋体"/>
          <w:szCs w:val="21"/>
          <w:highlight w:val="none"/>
        </w:rPr>
      </w:pPr>
      <w:r>
        <w:rPr>
          <w:rFonts w:hint="eastAsia" w:ascii="宋体" w:hAnsi="宋体" w:cs="宋体"/>
          <w:szCs w:val="21"/>
          <w:highlight w:val="none"/>
        </w:rPr>
        <w:t>7、督促采购人在项目验收结束并达到相关要求后一个工作日内，在“周口市政府采购网”上进行“履约验收”公示。</w:t>
      </w:r>
    </w:p>
    <w:p>
      <w:pPr>
        <w:pStyle w:val="3"/>
        <w:spacing w:line="500" w:lineRule="exact"/>
        <w:jc w:val="both"/>
        <w:rPr>
          <w:rFonts w:ascii="宋体" w:hAnsi="宋体" w:cs="宋体"/>
          <w:sz w:val="21"/>
          <w:szCs w:val="21"/>
          <w:highlight w:val="none"/>
        </w:rPr>
      </w:pPr>
    </w:p>
    <w:p>
      <w:pPr>
        <w:pStyle w:val="3"/>
        <w:spacing w:line="500" w:lineRule="exact"/>
        <w:rPr>
          <w:rFonts w:ascii="宋体" w:hAnsi="宋体" w:cs="宋体"/>
          <w:sz w:val="44"/>
          <w:szCs w:val="44"/>
          <w:highlight w:val="none"/>
        </w:rPr>
      </w:pPr>
      <w:r>
        <w:rPr>
          <w:rFonts w:hint="eastAsia" w:ascii="宋体" w:hAnsi="宋体" w:cs="宋体"/>
          <w:sz w:val="44"/>
          <w:szCs w:val="44"/>
          <w:highlight w:val="none"/>
        </w:rPr>
        <w:t>服务合同内容</w:t>
      </w:r>
    </w:p>
    <w:p>
      <w:pPr>
        <w:spacing w:line="360" w:lineRule="auto"/>
        <w:ind w:firstLine="420" w:firstLineChars="200"/>
        <w:rPr>
          <w:rFonts w:ascii="宋体" w:hAnsi="宋体" w:cs="宋体"/>
          <w:szCs w:val="27"/>
          <w:highlight w:val="none"/>
        </w:rPr>
      </w:pP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 xml:space="preserve">采购人（甲方）： </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供应商（乙方）：</w:t>
      </w: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签订地点：</w:t>
      </w: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项目名称：</w:t>
      </w:r>
    </w:p>
    <w:p>
      <w:pPr>
        <w:spacing w:line="360" w:lineRule="auto"/>
        <w:ind w:firstLine="420" w:firstLineChars="200"/>
        <w:rPr>
          <w:rFonts w:ascii="宋体" w:hAnsi="宋体" w:cs="宋体"/>
          <w:szCs w:val="27"/>
          <w:highlight w:val="none"/>
          <w:u w:val="single"/>
        </w:rPr>
      </w:pPr>
      <w:r>
        <w:rPr>
          <w:rFonts w:hint="eastAsia" w:ascii="宋体" w:hAnsi="宋体" w:cs="宋体"/>
          <w:szCs w:val="27"/>
          <w:highlight w:val="none"/>
        </w:rPr>
        <w:t>项目编号：</w:t>
      </w:r>
    </w:p>
    <w:p>
      <w:pPr>
        <w:spacing w:line="360" w:lineRule="auto"/>
        <w:ind w:firstLine="420" w:firstLineChars="200"/>
        <w:rPr>
          <w:rFonts w:ascii="宋体" w:hAnsi="宋体" w:cs="宋体"/>
          <w:highlight w:val="none"/>
        </w:rPr>
      </w:pPr>
      <w:r>
        <w:rPr>
          <w:rFonts w:hint="eastAsia" w:ascii="宋体" w:hAnsi="宋体" w:cs="宋体"/>
          <w:szCs w:val="27"/>
          <w:highlight w:val="none"/>
        </w:rPr>
        <w:t>财政委托号：</w:t>
      </w:r>
      <w:r>
        <w:rPr>
          <w:rFonts w:hint="eastAsia" w:ascii="宋体" w:hAnsi="宋体" w:cs="宋体"/>
          <w:szCs w:val="27"/>
          <w:highlight w:val="none"/>
          <w:u w:val="single"/>
        </w:rPr>
        <w:t xml:space="preserve">      </w:t>
      </w:r>
      <w:r>
        <w:rPr>
          <w:rFonts w:hint="eastAsia" w:ascii="宋体" w:hAnsi="宋体" w:cs="宋体"/>
          <w:szCs w:val="27"/>
          <w:highlight w:val="none"/>
        </w:rPr>
        <w:t>(财政资金项目必须填写)</w:t>
      </w:r>
    </w:p>
    <w:p>
      <w:pPr>
        <w:spacing w:line="360" w:lineRule="auto"/>
        <w:ind w:firstLine="420" w:firstLineChars="200"/>
        <w:rPr>
          <w:rFonts w:ascii="宋体" w:hAnsi="宋体" w:cs="宋体"/>
          <w:highlight w:val="none"/>
        </w:rPr>
      </w:pPr>
      <w:r>
        <w:rPr>
          <w:rFonts w:hint="eastAsia" w:ascii="宋体" w:hAnsi="宋体" w:cs="宋体"/>
          <w:szCs w:val="27"/>
          <w:highlight w:val="none"/>
        </w:rPr>
        <w:t>本项目经批准采用</w:t>
      </w:r>
      <w:r>
        <w:rPr>
          <w:rFonts w:hint="eastAsia" w:ascii="宋体" w:hAnsi="宋体" w:cs="宋体"/>
          <w:szCs w:val="27"/>
          <w:highlight w:val="none"/>
          <w:u w:val="single"/>
        </w:rPr>
        <w:t xml:space="preserve">           </w:t>
      </w:r>
      <w:r>
        <w:rPr>
          <w:rFonts w:hint="eastAsia" w:ascii="宋体" w:hAnsi="宋体" w:cs="宋体"/>
          <w:szCs w:val="27"/>
          <w:highlight w:val="none"/>
        </w:rPr>
        <w:t>采购方式，经本项目评审委员会认真评审，决定将采购合同授予乙方。为进一步明确双方的责任，确保合同的顺利履行，根据《中华人民共和国采购法》、《中华人民共和国</w:t>
      </w:r>
      <w:r>
        <w:rPr>
          <w:rFonts w:hint="eastAsia" w:ascii="宋体" w:hAnsi="宋体" w:cs="宋体"/>
          <w:szCs w:val="27"/>
          <w:highlight w:val="none"/>
          <w:lang w:eastAsia="zh-CN"/>
        </w:rPr>
        <w:t>民法典</w:t>
      </w:r>
      <w:r>
        <w:rPr>
          <w:rFonts w:hint="eastAsia" w:ascii="宋体" w:hAnsi="宋体" w:cs="宋体"/>
          <w:szCs w:val="27"/>
          <w:highlight w:val="none"/>
        </w:rPr>
        <w:t>》之规定，经甲乙双方充分协商，特订立本合同，以便共同遵守。</w:t>
      </w:r>
    </w:p>
    <w:p>
      <w:pPr>
        <w:spacing w:line="360" w:lineRule="auto"/>
        <w:ind w:firstLine="422" w:firstLineChars="200"/>
        <w:rPr>
          <w:rFonts w:ascii="宋体" w:hAnsi="宋体" w:cs="宋体"/>
          <w:highlight w:val="none"/>
          <w:u w:val="single"/>
        </w:rPr>
      </w:pPr>
      <w:r>
        <w:rPr>
          <w:rFonts w:hint="eastAsia" w:ascii="宋体" w:hAnsi="宋体" w:cs="宋体"/>
          <w:b/>
          <w:bCs/>
          <w:szCs w:val="27"/>
          <w:highlight w:val="none"/>
        </w:rPr>
        <w:t>第一条</w:t>
      </w:r>
      <w:r>
        <w:rPr>
          <w:rFonts w:hint="eastAsia" w:ascii="宋体" w:hAnsi="宋体" w:cs="宋体"/>
          <w:szCs w:val="27"/>
          <w:highlight w:val="none"/>
        </w:rPr>
        <w:t>   服务的内容、标准、数量和价格：（若服务项目过多则见附表，如有附表则必须加盖印章）</w:t>
      </w:r>
    </w:p>
    <w:tbl>
      <w:tblPr>
        <w:tblStyle w:val="29"/>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r>
              <w:rPr>
                <w:rFonts w:hint="eastAsia" w:ascii="宋体" w:hAnsi="宋体" w:cs="宋体"/>
                <w:highlight w:val="none"/>
              </w:rPr>
              <w:t>服务内容</w:t>
            </w:r>
          </w:p>
        </w:tc>
        <w:tc>
          <w:tcPr>
            <w:tcW w:w="1623" w:type="dxa"/>
          </w:tcPr>
          <w:p>
            <w:pPr>
              <w:spacing w:line="360" w:lineRule="auto"/>
              <w:ind w:firstLine="420" w:firstLineChars="200"/>
              <w:rPr>
                <w:rFonts w:ascii="宋体" w:hAnsi="宋体" w:cs="宋体"/>
                <w:highlight w:val="none"/>
              </w:rPr>
            </w:pPr>
            <w:r>
              <w:rPr>
                <w:rFonts w:hint="eastAsia" w:ascii="宋体" w:hAnsi="宋体" w:cs="宋体"/>
                <w:highlight w:val="none"/>
              </w:rPr>
              <w:t>标准水平</w:t>
            </w:r>
          </w:p>
        </w:tc>
        <w:tc>
          <w:tcPr>
            <w:tcW w:w="902" w:type="dxa"/>
          </w:tcPr>
          <w:p>
            <w:pPr>
              <w:spacing w:line="360" w:lineRule="auto"/>
              <w:rPr>
                <w:rFonts w:ascii="宋体" w:hAnsi="宋体" w:cs="宋体"/>
                <w:highlight w:val="none"/>
              </w:rPr>
            </w:pPr>
            <w:r>
              <w:rPr>
                <w:rFonts w:hint="eastAsia" w:ascii="宋体" w:hAnsi="宋体" w:cs="宋体"/>
                <w:highlight w:val="none"/>
              </w:rPr>
              <w:t>单位</w:t>
            </w:r>
          </w:p>
        </w:tc>
        <w:tc>
          <w:tcPr>
            <w:tcW w:w="902" w:type="dxa"/>
          </w:tcPr>
          <w:p>
            <w:pPr>
              <w:spacing w:line="360" w:lineRule="auto"/>
              <w:rPr>
                <w:rFonts w:ascii="宋体" w:hAnsi="宋体" w:cs="宋体"/>
                <w:highlight w:val="none"/>
              </w:rPr>
            </w:pPr>
            <w:r>
              <w:rPr>
                <w:rFonts w:hint="eastAsia" w:ascii="宋体" w:hAnsi="宋体" w:cs="宋体"/>
                <w:highlight w:val="none"/>
              </w:rPr>
              <w:t>数量</w:t>
            </w:r>
          </w:p>
        </w:tc>
        <w:tc>
          <w:tcPr>
            <w:tcW w:w="1071" w:type="dxa"/>
          </w:tcPr>
          <w:p>
            <w:pPr>
              <w:spacing w:line="360" w:lineRule="auto"/>
              <w:ind w:firstLine="420" w:firstLineChars="200"/>
              <w:rPr>
                <w:rFonts w:ascii="宋体" w:hAnsi="宋体" w:cs="宋体"/>
                <w:highlight w:val="none"/>
              </w:rPr>
            </w:pPr>
            <w:r>
              <w:rPr>
                <w:rFonts w:hint="eastAsia" w:ascii="宋体" w:hAnsi="宋体" w:cs="宋体"/>
                <w:highlight w:val="none"/>
              </w:rPr>
              <w:t>单价</w:t>
            </w:r>
          </w:p>
        </w:tc>
        <w:tc>
          <w:tcPr>
            <w:tcW w:w="1250" w:type="dxa"/>
          </w:tcPr>
          <w:p>
            <w:pPr>
              <w:spacing w:line="360" w:lineRule="auto"/>
              <w:ind w:firstLine="420" w:firstLineChars="200"/>
              <w:rPr>
                <w:rFonts w:ascii="宋体" w:hAnsi="宋体" w:cs="宋体"/>
                <w:highlight w:val="none"/>
              </w:rPr>
            </w:pPr>
            <w:r>
              <w:rPr>
                <w:rFonts w:hint="eastAsia" w:ascii="宋体" w:hAnsi="宋体" w:cs="宋体"/>
                <w:highlight w:val="none"/>
              </w:rPr>
              <w:t>小计</w:t>
            </w:r>
          </w:p>
        </w:tc>
        <w:tc>
          <w:tcPr>
            <w:tcW w:w="1106" w:type="dxa"/>
          </w:tcPr>
          <w:p>
            <w:pPr>
              <w:spacing w:line="360" w:lineRule="auto"/>
              <w:ind w:firstLine="420" w:firstLineChars="200"/>
              <w:rPr>
                <w:rFonts w:ascii="宋体" w:hAnsi="宋体" w:cs="宋体"/>
                <w:highlight w:val="none"/>
              </w:rPr>
            </w:pPr>
            <w:r>
              <w:rPr>
                <w:rFonts w:hint="eastAsia" w:ascii="宋体" w:hAnsi="宋体" w:cs="宋体"/>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p>
        </w:tc>
        <w:tc>
          <w:tcPr>
            <w:tcW w:w="1623"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1071" w:type="dxa"/>
          </w:tcPr>
          <w:p>
            <w:pPr>
              <w:spacing w:line="360" w:lineRule="auto"/>
              <w:ind w:firstLine="420" w:firstLineChars="200"/>
              <w:rPr>
                <w:rFonts w:ascii="宋体" w:hAnsi="宋体" w:cs="宋体"/>
                <w:highlight w:val="none"/>
              </w:rPr>
            </w:pPr>
          </w:p>
        </w:tc>
        <w:tc>
          <w:tcPr>
            <w:tcW w:w="1250" w:type="dxa"/>
          </w:tcPr>
          <w:p>
            <w:pPr>
              <w:spacing w:line="360" w:lineRule="auto"/>
              <w:ind w:firstLine="420" w:firstLineChars="200"/>
              <w:rPr>
                <w:rFonts w:ascii="宋体" w:hAnsi="宋体" w:cs="宋体"/>
                <w:highlight w:val="none"/>
              </w:rPr>
            </w:pPr>
          </w:p>
        </w:tc>
        <w:tc>
          <w:tcPr>
            <w:tcW w:w="1106" w:type="dxa"/>
          </w:tcPr>
          <w:p>
            <w:pPr>
              <w:spacing w:line="360" w:lineRule="auto"/>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p>
        </w:tc>
        <w:tc>
          <w:tcPr>
            <w:tcW w:w="1623"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1071" w:type="dxa"/>
          </w:tcPr>
          <w:p>
            <w:pPr>
              <w:spacing w:line="360" w:lineRule="auto"/>
              <w:ind w:firstLine="420" w:firstLineChars="200"/>
              <w:rPr>
                <w:rFonts w:ascii="宋体" w:hAnsi="宋体" w:cs="宋体"/>
                <w:highlight w:val="none"/>
              </w:rPr>
            </w:pPr>
          </w:p>
        </w:tc>
        <w:tc>
          <w:tcPr>
            <w:tcW w:w="1250" w:type="dxa"/>
          </w:tcPr>
          <w:p>
            <w:pPr>
              <w:spacing w:line="360" w:lineRule="auto"/>
              <w:ind w:firstLine="420" w:firstLineChars="200"/>
              <w:rPr>
                <w:rFonts w:ascii="宋体" w:hAnsi="宋体" w:cs="宋体"/>
                <w:highlight w:val="none"/>
              </w:rPr>
            </w:pPr>
          </w:p>
        </w:tc>
        <w:tc>
          <w:tcPr>
            <w:tcW w:w="1106" w:type="dxa"/>
          </w:tcPr>
          <w:p>
            <w:pPr>
              <w:spacing w:line="360" w:lineRule="auto"/>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20" w:firstLineChars="200"/>
              <w:rPr>
                <w:rFonts w:ascii="宋体" w:hAnsi="宋体" w:cs="宋体"/>
                <w:highlight w:val="none"/>
              </w:rPr>
            </w:pPr>
          </w:p>
        </w:tc>
        <w:tc>
          <w:tcPr>
            <w:tcW w:w="1623"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902" w:type="dxa"/>
          </w:tcPr>
          <w:p>
            <w:pPr>
              <w:spacing w:line="360" w:lineRule="auto"/>
              <w:ind w:firstLine="420" w:firstLineChars="200"/>
              <w:rPr>
                <w:rFonts w:ascii="宋体" w:hAnsi="宋体" w:cs="宋体"/>
                <w:highlight w:val="none"/>
              </w:rPr>
            </w:pPr>
          </w:p>
        </w:tc>
        <w:tc>
          <w:tcPr>
            <w:tcW w:w="1071" w:type="dxa"/>
          </w:tcPr>
          <w:p>
            <w:pPr>
              <w:spacing w:line="360" w:lineRule="auto"/>
              <w:ind w:firstLine="420" w:firstLineChars="200"/>
              <w:rPr>
                <w:rFonts w:ascii="宋体" w:hAnsi="宋体" w:cs="宋体"/>
                <w:highlight w:val="none"/>
              </w:rPr>
            </w:pPr>
          </w:p>
        </w:tc>
        <w:tc>
          <w:tcPr>
            <w:tcW w:w="1250" w:type="dxa"/>
          </w:tcPr>
          <w:p>
            <w:pPr>
              <w:spacing w:line="360" w:lineRule="auto"/>
              <w:ind w:firstLine="420" w:firstLineChars="200"/>
              <w:rPr>
                <w:rFonts w:ascii="宋体" w:hAnsi="宋体" w:cs="宋体"/>
                <w:highlight w:val="none"/>
              </w:rPr>
            </w:pPr>
          </w:p>
        </w:tc>
        <w:tc>
          <w:tcPr>
            <w:tcW w:w="1106" w:type="dxa"/>
          </w:tcPr>
          <w:p>
            <w:pPr>
              <w:spacing w:line="360" w:lineRule="auto"/>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pPr>
              <w:spacing w:line="360" w:lineRule="auto"/>
              <w:ind w:firstLine="420" w:firstLineChars="200"/>
              <w:rPr>
                <w:rFonts w:ascii="宋体" w:hAnsi="宋体" w:cs="宋体"/>
                <w:highlight w:val="none"/>
              </w:rPr>
            </w:pPr>
            <w:r>
              <w:rPr>
                <w:rFonts w:hint="eastAsia" w:ascii="宋体" w:hAnsi="宋体" w:cs="宋体"/>
                <w:highlight w:val="none"/>
              </w:rPr>
              <w:t>合同总价款（大小写）：</w:t>
            </w:r>
          </w:p>
          <w:p>
            <w:pPr>
              <w:spacing w:line="360" w:lineRule="auto"/>
              <w:ind w:firstLine="420" w:firstLineChars="200"/>
              <w:rPr>
                <w:rFonts w:ascii="宋体" w:hAnsi="宋体" w:cs="宋体"/>
                <w:highlight w:val="none"/>
              </w:rPr>
            </w:pPr>
            <w:r>
              <w:rPr>
                <w:rFonts w:hint="eastAsia" w:ascii="宋体" w:hAnsi="宋体" w:cs="宋体"/>
                <w:szCs w:val="28"/>
                <w:highlight w:val="none"/>
              </w:rPr>
              <w:t>备注：上述服务包含相关设备购置、人员工资及售后服务、税金、劳保基金、人员培训等费用。</w:t>
            </w:r>
          </w:p>
        </w:tc>
      </w:tr>
    </w:tbl>
    <w:p>
      <w:pPr>
        <w:spacing w:line="360" w:lineRule="auto"/>
        <w:ind w:firstLine="422" w:firstLineChars="200"/>
        <w:rPr>
          <w:rFonts w:ascii="宋体" w:hAnsi="宋体" w:cs="宋体"/>
          <w:highlight w:val="none"/>
        </w:rPr>
      </w:pPr>
      <w:r>
        <w:rPr>
          <w:rFonts w:hint="eastAsia" w:ascii="宋体" w:hAnsi="宋体" w:cs="宋体"/>
          <w:b/>
          <w:bCs/>
          <w:szCs w:val="27"/>
          <w:highlight w:val="none"/>
        </w:rPr>
        <w:t xml:space="preserve">第二条  </w:t>
      </w:r>
      <w:r>
        <w:rPr>
          <w:rFonts w:hint="eastAsia" w:ascii="宋体" w:hAnsi="宋体" w:cs="宋体"/>
          <w:szCs w:val="27"/>
          <w:highlight w:val="none"/>
        </w:rPr>
        <w:t>服务标准（包括达到的水平要求），按下列第（ ）项执行：</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①按国家标准执行；②按部颁标准执行；③若无以上标准，则应不低于同行业服务标准；④有特殊要求的，按甲乙双方在合同中商定的要求执行；</w:t>
      </w:r>
    </w:p>
    <w:p>
      <w:pPr>
        <w:spacing w:line="360" w:lineRule="auto"/>
        <w:ind w:firstLine="420" w:firstLineChars="200"/>
        <w:rPr>
          <w:rFonts w:ascii="宋体" w:hAnsi="宋体" w:cs="宋体"/>
          <w:szCs w:val="27"/>
          <w:highlight w:val="none"/>
          <w:u w:val="single"/>
        </w:rPr>
      </w:pPr>
      <w:r>
        <w:rPr>
          <w:rFonts w:hint="eastAsia" w:ascii="宋体" w:hAnsi="宋体" w:cs="宋体"/>
          <w:highlight w:val="none"/>
        </w:rPr>
        <w:t>乙方提供的服务标准和水平应与招标采购文件规定的标准和水平相一致。</w:t>
      </w:r>
    </w:p>
    <w:p>
      <w:pPr>
        <w:spacing w:line="360" w:lineRule="auto"/>
        <w:ind w:firstLine="422" w:firstLineChars="200"/>
        <w:rPr>
          <w:rFonts w:ascii="宋体" w:hAnsi="宋体" w:cs="宋体"/>
          <w:szCs w:val="27"/>
          <w:highlight w:val="none"/>
        </w:rPr>
      </w:pPr>
      <w:r>
        <w:rPr>
          <w:rFonts w:hint="eastAsia" w:ascii="宋体" w:hAnsi="宋体" w:cs="宋体"/>
          <w:b/>
          <w:bCs/>
          <w:szCs w:val="27"/>
          <w:highlight w:val="none"/>
        </w:rPr>
        <w:t xml:space="preserve">第三条  </w:t>
      </w:r>
      <w:r>
        <w:rPr>
          <w:rFonts w:hint="eastAsia" w:ascii="宋体" w:hAnsi="宋体" w:cs="宋体"/>
          <w:szCs w:val="27"/>
          <w:highlight w:val="none"/>
        </w:rPr>
        <w:t>服务的方式、方法、、地点和期限</w:t>
      </w:r>
    </w:p>
    <w:p>
      <w:pPr>
        <w:spacing w:line="360" w:lineRule="auto"/>
        <w:ind w:firstLine="420" w:firstLineChars="200"/>
        <w:rPr>
          <w:rFonts w:ascii="宋体" w:hAnsi="宋体" w:cs="宋体"/>
          <w:highlight w:val="none"/>
        </w:rPr>
      </w:pPr>
      <w:r>
        <w:rPr>
          <w:rFonts w:hint="eastAsia" w:ascii="宋体" w:hAnsi="宋体" w:cs="宋体"/>
          <w:szCs w:val="27"/>
          <w:highlight w:val="none"/>
        </w:rPr>
        <w:t>1、服务方式：</w:t>
      </w:r>
    </w:p>
    <w:p>
      <w:pPr>
        <w:spacing w:line="360" w:lineRule="auto"/>
        <w:ind w:firstLine="420" w:firstLineChars="200"/>
        <w:rPr>
          <w:rFonts w:ascii="宋体" w:hAnsi="宋体" w:cs="宋体"/>
          <w:highlight w:val="none"/>
        </w:rPr>
      </w:pPr>
      <w:r>
        <w:rPr>
          <w:rFonts w:hint="eastAsia" w:ascii="宋体" w:hAnsi="宋体" w:cs="宋体"/>
          <w:highlight w:val="none"/>
        </w:rPr>
        <w:t>2、服务方法：</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2、服务地点：</w:t>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r>
        <w:rPr>
          <w:rFonts w:hint="eastAsia" w:ascii="宋体" w:hAnsi="宋体" w:cs="宋体"/>
          <w:szCs w:val="27"/>
          <w:highlight w:val="none"/>
        </w:rPr>
        <w:softHyphen/>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3、服务期限：</w:t>
      </w:r>
    </w:p>
    <w:p>
      <w:pPr>
        <w:spacing w:line="360" w:lineRule="auto"/>
        <w:ind w:firstLine="420" w:firstLineChars="200"/>
        <w:rPr>
          <w:rFonts w:ascii="宋体" w:hAnsi="宋体" w:cs="宋体"/>
          <w:highlight w:val="none"/>
        </w:rPr>
      </w:pPr>
      <w:r>
        <w:rPr>
          <w:rFonts w:hint="eastAsia" w:ascii="宋体" w:hAnsi="宋体" w:cs="宋体"/>
          <w:highlight w:val="none"/>
        </w:rPr>
        <w:t>第四条  费用及支付方式</w:t>
      </w:r>
    </w:p>
    <w:p>
      <w:pPr>
        <w:pStyle w:val="10"/>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(一)本项目费用有以下组成：</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 xml:space="preserve"> 1、XX 万元；</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2、XX 万元；</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w:t>
      </w:r>
    </w:p>
    <w:p>
      <w:pPr>
        <w:pStyle w:val="10"/>
        <w:kinsoku w:val="0"/>
        <w:overflowPunct w:val="0"/>
        <w:ind w:firstLine="422" w:firstLineChars="200"/>
        <w:rPr>
          <w:rFonts w:ascii="宋体" w:hAnsi="宋体" w:cs="宋体"/>
          <w:b/>
          <w:highlight w:val="none"/>
        </w:rPr>
      </w:pPr>
      <w:r>
        <w:rPr>
          <w:rFonts w:hint="eastAsia" w:ascii="宋体" w:hAnsi="宋体" w:cs="宋体"/>
          <w:b/>
          <w:highlight w:val="none"/>
        </w:rPr>
        <w:t>(二)费用支付方式：</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1、XXXX；</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2、XXXX ；</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3、在支付前甲方对乙方的服务进行考核或验收，合格的支付相应款 项。乙方须向甲方出具合法有效完整的完税发票及凭证资料进行支付结算。</w:t>
      </w:r>
    </w:p>
    <w:p>
      <w:pPr>
        <w:pStyle w:val="10"/>
        <w:kinsoku w:val="0"/>
        <w:overflowPunct w:val="0"/>
        <w:ind w:firstLine="422" w:firstLineChars="200"/>
        <w:rPr>
          <w:rFonts w:ascii="宋体" w:hAnsi="宋体" w:cs="宋体"/>
          <w:highlight w:val="none"/>
        </w:rPr>
      </w:pPr>
      <w:r>
        <w:rPr>
          <w:rFonts w:hint="eastAsia" w:ascii="宋体" w:hAnsi="宋体" w:cs="宋体"/>
          <w:b/>
          <w:highlight w:val="none"/>
        </w:rPr>
        <w:t xml:space="preserve">第五条  付款条件   </w:t>
      </w:r>
      <w:r>
        <w:rPr>
          <w:rFonts w:hint="eastAsia" w:ascii="宋体" w:hAnsi="宋体" w:cs="宋体"/>
          <w:highlight w:val="none"/>
        </w:rPr>
        <w:t xml:space="preserve">               </w:t>
      </w:r>
    </w:p>
    <w:p>
      <w:pPr>
        <w:spacing w:line="360" w:lineRule="auto"/>
        <w:ind w:firstLine="420" w:firstLineChars="200"/>
        <w:rPr>
          <w:rFonts w:ascii="宋体" w:hAnsi="宋体" w:cs="宋体"/>
          <w:highlight w:val="none"/>
        </w:rPr>
      </w:pPr>
      <w:r>
        <w:rPr>
          <w:rFonts w:hint="eastAsia" w:ascii="宋体" w:hAnsi="宋体" w:cs="宋体"/>
          <w:highlight w:val="none"/>
        </w:rPr>
        <w:t>本合同以人民币付款。</w:t>
      </w:r>
    </w:p>
    <w:p>
      <w:pPr>
        <w:spacing w:line="360" w:lineRule="auto"/>
        <w:ind w:firstLine="420" w:firstLineChars="200"/>
        <w:rPr>
          <w:rFonts w:ascii="宋体" w:hAnsi="宋体" w:cs="宋体"/>
          <w:highlight w:val="none"/>
        </w:rPr>
      </w:pPr>
      <w:r>
        <w:rPr>
          <w:rFonts w:hint="eastAsia" w:ascii="宋体" w:hAnsi="宋体" w:cs="宋体"/>
          <w:highlight w:val="none"/>
        </w:rPr>
        <w:t>该项目是否实行预付款：</w:t>
      </w:r>
    </w:p>
    <w:p>
      <w:pPr>
        <w:spacing w:line="360" w:lineRule="auto"/>
        <w:ind w:firstLine="420" w:firstLineChars="200"/>
        <w:rPr>
          <w:rFonts w:ascii="宋体" w:hAnsi="宋体" w:cs="宋体"/>
          <w:highlight w:val="none"/>
        </w:rPr>
      </w:pPr>
      <w:r>
        <w:rPr>
          <w:rFonts w:hint="eastAsia" w:ascii="宋体" w:hAnsi="宋体" w:cs="宋体"/>
          <w:highlight w:val="none"/>
        </w:rPr>
        <w:t>实行预付款的条件和比例：</w:t>
      </w:r>
    </w:p>
    <w:p>
      <w:pPr>
        <w:spacing w:line="360" w:lineRule="auto"/>
        <w:ind w:firstLine="420" w:firstLineChars="200"/>
        <w:rPr>
          <w:rFonts w:ascii="宋体" w:hAnsi="宋体" w:cs="宋体"/>
          <w:highlight w:val="none"/>
        </w:rPr>
      </w:pPr>
      <w:r>
        <w:rPr>
          <w:rFonts w:hint="eastAsia" w:ascii="宋体" w:hAnsi="宋体" w:cs="宋体"/>
          <w:highlight w:val="none"/>
        </w:rPr>
        <w:t xml:space="preserve">合同款项结算方式和支付比例：   </w:t>
      </w:r>
    </w:p>
    <w:p>
      <w:pPr>
        <w:spacing w:line="360" w:lineRule="auto"/>
        <w:ind w:firstLine="420" w:firstLineChars="200"/>
        <w:rPr>
          <w:rFonts w:ascii="宋体" w:hAnsi="宋体" w:cs="宋体"/>
          <w:highlight w:val="none"/>
          <w:u w:val="single"/>
        </w:rPr>
      </w:pPr>
      <w:r>
        <w:rPr>
          <w:rFonts w:hint="eastAsia" w:ascii="宋体" w:hAnsi="宋体" w:cs="宋体"/>
          <w:highlight w:val="none"/>
        </w:rPr>
        <w:t>(具体付款方式</w:t>
      </w:r>
      <w:r>
        <w:rPr>
          <w:rFonts w:hint="eastAsia" w:ascii="宋体" w:hAnsi="宋体" w:cs="宋体"/>
          <w:highlight w:val="none"/>
          <w:u w:val="single"/>
        </w:rPr>
        <w:t>按投标人须知前附表以及采、购双方的具体约定</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第六条  验收方法</w:t>
      </w:r>
    </w:p>
    <w:p>
      <w:pPr>
        <w:spacing w:line="360" w:lineRule="auto"/>
        <w:ind w:firstLine="420" w:firstLineChars="200"/>
        <w:rPr>
          <w:rFonts w:ascii="宋体" w:hAnsi="宋体" w:cs="宋体"/>
          <w:highlight w:val="none"/>
        </w:rPr>
      </w:pPr>
      <w:r>
        <w:rPr>
          <w:rFonts w:hint="eastAsia" w:ascii="宋体" w:hAnsi="宋体" w:cs="宋体"/>
          <w:highlight w:val="none"/>
        </w:rPr>
        <w:t>1.甲、乙双方应严格履行合同有关条款，如果验收过程中发现乙方在没有征得采购人同意的情况下擅自变更合同服务内容，将拒绝通过验收，由此引起的一切后果及损失由乙方承担。</w:t>
      </w:r>
    </w:p>
    <w:p>
      <w:pPr>
        <w:spacing w:line="360" w:lineRule="auto"/>
        <w:ind w:firstLine="420" w:firstLineChars="200"/>
        <w:rPr>
          <w:rFonts w:ascii="宋体" w:hAnsi="宋体" w:cs="宋体"/>
          <w:highlight w:val="none"/>
        </w:rPr>
      </w:pPr>
      <w:r>
        <w:rPr>
          <w:rFonts w:hint="eastAsia" w:ascii="宋体" w:hAnsi="宋体" w:cs="宋体"/>
          <w:highlight w:val="none"/>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firstLineChars="200"/>
        <w:rPr>
          <w:rFonts w:ascii="宋体" w:hAnsi="宋体" w:cs="宋体"/>
          <w:highlight w:val="none"/>
        </w:rPr>
      </w:pPr>
      <w:r>
        <w:rPr>
          <w:rFonts w:hint="eastAsia" w:ascii="宋体" w:hAnsi="宋体" w:cs="宋体"/>
          <w:highlight w:val="none"/>
        </w:rPr>
        <w:t>3、甲方视情况可以邀请参加本项目的其他投标人或者第三方机构参与验收，参与验收的投标人或者第三方机构的意见作为验收书的参考资料一并存档。</w:t>
      </w:r>
    </w:p>
    <w:p>
      <w:pPr>
        <w:spacing w:line="360" w:lineRule="auto"/>
        <w:ind w:firstLine="420" w:firstLineChars="200"/>
        <w:rPr>
          <w:rFonts w:ascii="宋体" w:hAnsi="宋体" w:cs="宋体"/>
          <w:highlight w:val="none"/>
        </w:rPr>
      </w:pPr>
      <w:r>
        <w:rPr>
          <w:rFonts w:hint="eastAsia" w:ascii="宋体" w:hAnsi="宋体" w:cs="宋体"/>
          <w:highlight w:val="none"/>
        </w:rPr>
        <w:t>4、涉及安全、消防、环保等其他需要由质检或行业主管部门进行验收的项目，必须邀请相关部门或相关专家参与验收。涉及社会化服务的项目，甲方将要求社会公众人员参与验收。</w:t>
      </w:r>
    </w:p>
    <w:p>
      <w:pPr>
        <w:spacing w:line="360" w:lineRule="auto"/>
        <w:ind w:firstLine="420" w:firstLineChars="200"/>
        <w:rPr>
          <w:rFonts w:ascii="宋体" w:hAnsi="宋体" w:cs="宋体"/>
          <w:highlight w:val="none"/>
        </w:rPr>
      </w:pPr>
      <w:r>
        <w:rPr>
          <w:rFonts w:hint="eastAsia" w:ascii="宋体" w:hAnsi="宋体" w:cs="宋体"/>
          <w:highlight w:val="none"/>
        </w:rPr>
        <w:t>检测、验收费用承担方式：</w:t>
      </w:r>
    </w:p>
    <w:p>
      <w:pPr>
        <w:pStyle w:val="10"/>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第七条 知识产权</w:t>
      </w:r>
    </w:p>
    <w:p>
      <w:pPr>
        <w:pStyle w:val="10"/>
        <w:kinsoku w:val="0"/>
        <w:overflowPunct w:val="0"/>
        <w:spacing w:line="364" w:lineRule="auto"/>
        <w:ind w:firstLine="420" w:firstLineChars="200"/>
        <w:rPr>
          <w:rFonts w:ascii="宋体" w:hAnsi="宋体" w:cs="宋体"/>
          <w:highlight w:val="none"/>
        </w:rPr>
      </w:pPr>
      <w:r>
        <w:rPr>
          <w:rFonts w:hint="eastAsia" w:ascii="宋体" w:hAnsi="宋体" w:eastAsia="宋体" w:cs="宋体"/>
          <w:highlight w:val="none"/>
        </w:rPr>
        <w:t>乙方应</w:t>
      </w:r>
      <w:r>
        <w:rPr>
          <w:rFonts w:hint="eastAsia" w:ascii="宋体" w:hAnsi="宋体" w:cs="宋体"/>
          <w:highlight w:val="none"/>
          <w:lang w:val="en-US" w:eastAsia="zh-CN"/>
        </w:rPr>
        <w:t>保证</w:t>
      </w:r>
      <w:r>
        <w:rPr>
          <w:rFonts w:hint="eastAsia" w:ascii="宋体" w:hAnsi="宋体" w:eastAsia="宋体" w:cs="宋体"/>
          <w:highlight w:val="none"/>
        </w:rPr>
        <w:t>所提供的</w:t>
      </w:r>
      <w:r>
        <w:rPr>
          <w:rFonts w:hint="eastAsia" w:ascii="宋体" w:hAnsi="宋体" w:cs="宋体"/>
          <w:highlight w:val="none"/>
        </w:rPr>
        <w:t>服务或其任何一部分均不会侵犯任何第三方的专利权、商标权或著作权。</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第八条 无产权瑕疵条款</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乙方保证所提供的服务的所有权完全属于乙方且无任何抵押、查封等产权瑕疵。如有产权瑕疵的，视为乙方违约。乙方应负担由此而产生的一切损失。</w:t>
      </w:r>
    </w:p>
    <w:p>
      <w:pPr>
        <w:spacing w:line="400" w:lineRule="exact"/>
        <w:ind w:firstLine="422" w:firstLineChars="200"/>
        <w:rPr>
          <w:rFonts w:ascii="宋体" w:hAnsi="宋体" w:cs="宋体"/>
          <w:b/>
          <w:bCs/>
          <w:szCs w:val="27"/>
          <w:highlight w:val="none"/>
        </w:rPr>
      </w:pPr>
      <w:r>
        <w:rPr>
          <w:rFonts w:hint="eastAsia" w:ascii="宋体" w:hAnsi="宋体" w:cs="宋体"/>
          <w:b/>
          <w:bCs/>
          <w:szCs w:val="27"/>
          <w:highlight w:val="none"/>
        </w:rPr>
        <w:t xml:space="preserve">第九条  </w:t>
      </w:r>
      <w:r>
        <w:rPr>
          <w:rFonts w:hint="eastAsia" w:ascii="宋体" w:hAnsi="宋体" w:cs="宋体"/>
          <w:szCs w:val="27"/>
          <w:highlight w:val="none"/>
        </w:rPr>
        <w:t>履约（或质量）保证金</w:t>
      </w:r>
    </w:p>
    <w:p>
      <w:pPr>
        <w:spacing w:line="360" w:lineRule="auto"/>
        <w:ind w:firstLine="420" w:firstLineChars="200"/>
        <w:rPr>
          <w:rFonts w:ascii="宋体" w:hAnsi="宋体" w:cs="宋体"/>
          <w:highlight w:val="none"/>
        </w:rPr>
      </w:pPr>
      <w:r>
        <w:rPr>
          <w:rFonts w:hint="eastAsia" w:ascii="宋体" w:hAnsi="宋体" w:cs="宋体"/>
          <w:highlight w:val="none"/>
        </w:rPr>
        <w:t>1.本项目不收取履约保证金。确需收取履约保证金的，甲方不得要求乙方以现款的形式提供。乙方提供的履约保证金按规定格式以银行保函形式提供，与此有关的费用由服务方承担。</w:t>
      </w:r>
    </w:p>
    <w:p>
      <w:pPr>
        <w:spacing w:line="360" w:lineRule="auto"/>
        <w:ind w:firstLine="420" w:firstLineChars="200"/>
        <w:rPr>
          <w:rFonts w:ascii="宋体" w:hAnsi="宋体" w:cs="宋体"/>
          <w:highlight w:val="none"/>
        </w:rPr>
      </w:pPr>
      <w:r>
        <w:rPr>
          <w:rFonts w:hint="eastAsia" w:ascii="宋体" w:hAnsi="宋体" w:cs="宋体"/>
          <w:highlight w:val="none"/>
        </w:rPr>
        <w:t>2.若确需质量保证金的，质量保证金不得超过合同总价款的5%</w:t>
      </w:r>
    </w:p>
    <w:p>
      <w:pPr>
        <w:spacing w:line="360" w:lineRule="auto"/>
        <w:ind w:firstLine="420" w:firstLineChars="200"/>
        <w:rPr>
          <w:rFonts w:ascii="宋体" w:hAnsi="宋体" w:cs="宋体"/>
          <w:highlight w:val="none"/>
        </w:rPr>
      </w:pPr>
      <w:r>
        <w:rPr>
          <w:rFonts w:hint="eastAsia" w:ascii="宋体" w:hAnsi="宋体" w:cs="宋体"/>
          <w:highlight w:val="none"/>
        </w:rPr>
        <w:t>3.如乙方未能履行其合同规定的任何义务，甲方有权从履约保证金中取得补偿。</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第十条 甲方的权利和义务</w:t>
      </w:r>
    </w:p>
    <w:p>
      <w:pPr>
        <w:spacing w:line="360" w:lineRule="auto"/>
        <w:ind w:firstLine="420" w:firstLineChars="200"/>
        <w:rPr>
          <w:rFonts w:ascii="宋体" w:hAnsi="宋体" w:cs="宋体"/>
          <w:highlight w:val="none"/>
        </w:rPr>
      </w:pPr>
      <w:r>
        <w:rPr>
          <w:rFonts w:hint="eastAsia" w:ascii="宋体" w:hAnsi="宋体" w:cs="宋体"/>
          <w:highlight w:val="none"/>
        </w:rPr>
        <w:t>1、甲方有权对合同规定范围内乙方的行为进行监督和检查，拥有监管权。有权定期核对乙方提供服务所配备的人员数量。对甲方认为不合理的部分有权下达整改通知书，并要求乙方限期整改。</w:t>
      </w:r>
    </w:p>
    <w:p>
      <w:pPr>
        <w:spacing w:line="360" w:lineRule="auto"/>
        <w:ind w:firstLine="420" w:firstLineChars="200"/>
        <w:rPr>
          <w:rFonts w:ascii="宋体" w:hAnsi="宋体" w:cs="宋体"/>
          <w:highlight w:val="none"/>
        </w:rPr>
      </w:pPr>
      <w:r>
        <w:rPr>
          <w:rFonts w:hint="eastAsia" w:ascii="宋体" w:hAnsi="宋体" w:cs="宋体"/>
          <w:highlight w:val="none"/>
        </w:rPr>
        <w:t>2、甲方有权依据双方签订的考评办法对乙方提供的服务进行定期考评。当考评结果未达到标准时，有权依据考评办法约定的数额扣除履约保证金。</w:t>
      </w:r>
    </w:p>
    <w:p>
      <w:pPr>
        <w:spacing w:line="360" w:lineRule="auto"/>
        <w:ind w:firstLine="420" w:firstLineChars="200"/>
        <w:rPr>
          <w:rFonts w:ascii="宋体" w:hAnsi="宋体" w:cs="宋体"/>
          <w:highlight w:val="none"/>
        </w:rPr>
      </w:pPr>
      <w:r>
        <w:rPr>
          <w:rFonts w:hint="eastAsia" w:ascii="宋体" w:hAnsi="宋体" w:cs="宋体"/>
          <w:highlight w:val="none"/>
        </w:rPr>
        <w:t>3、负责检查监督乙方管理工作的实施及制度的执行情况。</w:t>
      </w:r>
    </w:p>
    <w:p>
      <w:pPr>
        <w:spacing w:line="360" w:lineRule="auto"/>
        <w:ind w:firstLine="420" w:firstLineChars="200"/>
        <w:rPr>
          <w:rFonts w:ascii="宋体" w:hAnsi="宋体" w:cs="宋体"/>
          <w:highlight w:val="none"/>
        </w:rPr>
      </w:pPr>
      <w:r>
        <w:rPr>
          <w:rFonts w:hint="eastAsia" w:ascii="宋体" w:hAnsi="宋体" w:cs="宋体"/>
          <w:highlight w:val="none"/>
        </w:rPr>
        <w:t>4、根据本合同规定，按时向乙方支付应付服务费用。</w:t>
      </w:r>
    </w:p>
    <w:p>
      <w:pPr>
        <w:spacing w:line="360" w:lineRule="auto"/>
        <w:ind w:firstLine="420" w:firstLineChars="200"/>
        <w:rPr>
          <w:rFonts w:ascii="宋体" w:hAnsi="宋体" w:cs="宋体"/>
          <w:highlight w:val="none"/>
        </w:rPr>
      </w:pPr>
      <w:r>
        <w:rPr>
          <w:rFonts w:hint="eastAsia" w:ascii="宋体" w:hAnsi="宋体" w:cs="宋体"/>
          <w:highlight w:val="none"/>
        </w:rPr>
        <w:t xml:space="preserve">5、国家法律、法规所规定由甲方承担的其他责任               </w:t>
      </w:r>
    </w:p>
    <w:p>
      <w:pPr>
        <w:pStyle w:val="10"/>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第十一条 乙方的权利和义务</w:t>
      </w:r>
    </w:p>
    <w:p>
      <w:pPr>
        <w:spacing w:line="360" w:lineRule="auto"/>
        <w:ind w:firstLine="420" w:firstLineChars="200"/>
        <w:rPr>
          <w:rFonts w:ascii="宋体" w:hAnsi="宋体" w:cs="宋体"/>
          <w:highlight w:val="none"/>
        </w:rPr>
      </w:pPr>
      <w:r>
        <w:rPr>
          <w:rFonts w:hint="eastAsia" w:ascii="宋体" w:hAnsi="宋体" w:cs="宋体"/>
          <w:highlight w:val="none"/>
        </w:rPr>
        <w:t>1、对本合同规定的委托服务范围内的项目享有管理权及服务义务。</w:t>
      </w:r>
    </w:p>
    <w:p>
      <w:pPr>
        <w:spacing w:line="360" w:lineRule="auto"/>
        <w:ind w:firstLine="420" w:firstLineChars="200"/>
        <w:rPr>
          <w:rFonts w:ascii="宋体" w:hAnsi="宋体" w:cs="宋体"/>
          <w:highlight w:val="none"/>
        </w:rPr>
      </w:pPr>
      <w:r>
        <w:rPr>
          <w:rFonts w:hint="eastAsia" w:ascii="宋体" w:hAnsi="宋体" w:cs="宋体"/>
          <w:highlight w:val="none"/>
        </w:rPr>
        <w:t>2、根据本合同的规定向甲方收取相关服务费用，并有权在本项目管理范围内管理及合理使用。</w:t>
      </w:r>
    </w:p>
    <w:p>
      <w:pPr>
        <w:spacing w:line="360" w:lineRule="auto"/>
        <w:ind w:firstLine="420" w:firstLineChars="200"/>
        <w:rPr>
          <w:rFonts w:ascii="宋体" w:hAnsi="宋体" w:cs="宋体"/>
          <w:highlight w:val="none"/>
        </w:rPr>
      </w:pPr>
      <w:r>
        <w:rPr>
          <w:rFonts w:hint="eastAsia" w:ascii="宋体" w:hAnsi="宋体" w:cs="宋体"/>
          <w:highlight w:val="none"/>
        </w:rPr>
        <w:t>3、及时向甲方通告本项目服务范围内有关服务的重大事项，及时配合处理投诉。</w:t>
      </w:r>
    </w:p>
    <w:p>
      <w:pPr>
        <w:spacing w:line="360" w:lineRule="auto"/>
        <w:ind w:firstLine="420" w:firstLineChars="200"/>
        <w:rPr>
          <w:rFonts w:ascii="宋体" w:hAnsi="宋体" w:cs="宋体"/>
          <w:highlight w:val="none"/>
        </w:rPr>
      </w:pPr>
      <w:r>
        <w:rPr>
          <w:rFonts w:hint="eastAsia" w:ascii="宋体" w:hAnsi="宋体" w:cs="宋体"/>
          <w:highlight w:val="none"/>
        </w:rPr>
        <w:t>4、接受项目行业管理部门及政府有关部门的指导，接受甲方的监督。</w:t>
      </w:r>
    </w:p>
    <w:p>
      <w:pPr>
        <w:spacing w:line="360" w:lineRule="auto"/>
        <w:ind w:firstLine="420" w:firstLineChars="200"/>
        <w:rPr>
          <w:rFonts w:ascii="宋体" w:hAnsi="宋体" w:cs="宋体"/>
          <w:highlight w:val="none"/>
        </w:rPr>
      </w:pPr>
      <w:r>
        <w:rPr>
          <w:rFonts w:hint="eastAsia" w:ascii="宋体" w:hAnsi="宋体" w:cs="宋体"/>
          <w:highlight w:val="none"/>
        </w:rPr>
        <w:t>5、国家法律、法规所规定由乙方承担的其它责任。</w:t>
      </w:r>
    </w:p>
    <w:p>
      <w:pPr>
        <w:pStyle w:val="10"/>
        <w:kinsoku w:val="0"/>
        <w:overflowPunct w:val="0"/>
        <w:spacing w:line="364" w:lineRule="auto"/>
        <w:ind w:firstLine="422" w:firstLineChars="200"/>
        <w:rPr>
          <w:rFonts w:ascii="宋体" w:hAnsi="宋体" w:cs="宋体"/>
          <w:b/>
          <w:highlight w:val="none"/>
        </w:rPr>
      </w:pPr>
      <w:r>
        <w:rPr>
          <w:rFonts w:hint="eastAsia" w:ascii="宋体" w:hAnsi="宋体" w:cs="宋体"/>
          <w:b/>
          <w:highlight w:val="none"/>
        </w:rPr>
        <w:t>第十二条 违约责任</w:t>
      </w:r>
    </w:p>
    <w:p>
      <w:pPr>
        <w:pStyle w:val="10"/>
        <w:kinsoku w:val="0"/>
        <w:overflowPunct w:val="0"/>
        <w:ind w:firstLine="420" w:firstLineChars="200"/>
        <w:rPr>
          <w:rFonts w:ascii="宋体" w:hAnsi="宋体" w:cs="宋体"/>
          <w:highlight w:val="none"/>
        </w:rPr>
      </w:pPr>
      <w:r>
        <w:rPr>
          <w:rFonts w:hint="eastAsia" w:ascii="宋体" w:hAnsi="宋体" w:cs="宋体"/>
          <w:highlight w:val="none"/>
        </w:rPr>
        <w:t>1、甲乙双方必须遵守本合同并执行合同中的各项规定，保证本合同的正常履行。</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2、甲方逾期付款的，除应及时付足款项外，应向乙方偿付欠款总额万分之 /天的违约金；逾期付款超过 天的，乙方有权终止合同。</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pStyle w:val="10"/>
        <w:kinsoku w:val="0"/>
        <w:overflowPunct w:val="0"/>
        <w:spacing w:line="364" w:lineRule="auto"/>
        <w:ind w:firstLine="420" w:firstLineChars="200"/>
        <w:rPr>
          <w:rFonts w:ascii="宋体" w:hAnsi="宋体" w:cs="宋体"/>
          <w:highlight w:val="none"/>
        </w:rPr>
      </w:pPr>
      <w:r>
        <w:rPr>
          <w:rFonts w:hint="eastAsia" w:ascii="宋体" w:hAnsi="宋体" w:cs="宋体"/>
          <w:highlight w:val="none"/>
        </w:rPr>
        <w:t>4、变更、中止或者终止合同，有过错的一方应当承担赔偿责任，双方都有过错的，各自承担相应的责任。</w:t>
      </w:r>
    </w:p>
    <w:p>
      <w:pPr>
        <w:spacing w:line="360" w:lineRule="auto"/>
        <w:ind w:firstLine="422" w:firstLineChars="200"/>
        <w:rPr>
          <w:rFonts w:ascii="宋体" w:hAnsi="宋体" w:cs="宋体"/>
          <w:b/>
          <w:highlight w:val="none"/>
        </w:rPr>
      </w:pPr>
      <w:r>
        <w:rPr>
          <w:rFonts w:hint="eastAsia" w:ascii="宋体" w:hAnsi="宋体" w:cs="宋体"/>
          <w:b/>
          <w:bCs/>
          <w:szCs w:val="27"/>
          <w:highlight w:val="none"/>
        </w:rPr>
        <w:t xml:space="preserve">第十三条 </w:t>
      </w:r>
      <w:r>
        <w:rPr>
          <w:rFonts w:hint="eastAsia" w:ascii="宋体" w:hAnsi="宋体" w:cs="宋体"/>
          <w:bCs/>
          <w:highlight w:val="none"/>
        </w:rPr>
        <w:t>转让与分包</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w:t>
      </w:r>
      <w:r>
        <w:rPr>
          <w:rFonts w:hint="eastAsia" w:ascii="宋体" w:hAnsi="宋体" w:cs="宋体"/>
          <w:highlight w:val="none"/>
        </w:rPr>
        <w:t>除甲方事先书面同意外，乙方不得部分转让或全部转让其应履行的合同义务。</w:t>
      </w:r>
    </w:p>
    <w:p>
      <w:pPr>
        <w:spacing w:line="360" w:lineRule="auto"/>
        <w:ind w:firstLine="420" w:firstLineChars="200"/>
        <w:rPr>
          <w:rFonts w:ascii="宋体" w:hAnsi="宋体" w:cs="宋体"/>
          <w:highlight w:val="none"/>
        </w:rPr>
      </w:pPr>
      <w:r>
        <w:rPr>
          <w:rFonts w:hint="eastAsia" w:ascii="宋体" w:hAnsi="宋体" w:cs="宋体"/>
          <w:highlight w:val="none"/>
        </w:rPr>
        <w:t>2</w:t>
      </w:r>
      <w:r>
        <w:rPr>
          <w:rFonts w:hint="eastAsia" w:ascii="宋体" w:hAnsi="宋体" w:cs="宋体"/>
          <w:szCs w:val="27"/>
          <w:highlight w:val="none"/>
        </w:rPr>
        <w:t>.</w:t>
      </w:r>
      <w:r>
        <w:rPr>
          <w:rFonts w:hint="eastAsia" w:ascii="宋体" w:hAnsi="宋体" w:cs="宋体"/>
          <w:highlight w:val="none"/>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firstLineChars="200"/>
        <w:rPr>
          <w:rFonts w:ascii="宋体" w:hAnsi="宋体" w:cs="宋体"/>
          <w:b/>
          <w:highlight w:val="none"/>
        </w:rPr>
      </w:pPr>
      <w:r>
        <w:rPr>
          <w:rFonts w:hint="eastAsia" w:ascii="宋体" w:hAnsi="宋体" w:cs="宋体"/>
          <w:b/>
          <w:bCs/>
          <w:szCs w:val="27"/>
          <w:highlight w:val="none"/>
        </w:rPr>
        <w:t xml:space="preserve">第十四条 </w:t>
      </w:r>
      <w:r>
        <w:rPr>
          <w:rFonts w:hint="eastAsia" w:ascii="宋体" w:hAnsi="宋体" w:cs="宋体"/>
          <w:bCs/>
          <w:highlight w:val="none"/>
        </w:rPr>
        <w:t>合同文件及资料的使用</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w:t>
      </w:r>
      <w:r>
        <w:rPr>
          <w:rFonts w:hint="eastAsia" w:ascii="宋体" w:hAnsi="宋体" w:cs="宋体"/>
          <w:highlight w:val="none"/>
        </w:rPr>
        <w:t>乙方在未经甲方同意的情况下，不得将合同、合同中的规定、有关计划、图纸、样本或甲方为上述内容向乙方提供的资料透露给任何人。</w:t>
      </w:r>
    </w:p>
    <w:p>
      <w:pPr>
        <w:spacing w:line="360" w:lineRule="auto"/>
        <w:ind w:firstLine="420" w:firstLineChars="200"/>
        <w:rPr>
          <w:rFonts w:ascii="宋体" w:hAnsi="宋体" w:cs="宋体"/>
          <w:highlight w:val="none"/>
        </w:rPr>
      </w:pPr>
      <w:r>
        <w:rPr>
          <w:rFonts w:hint="eastAsia" w:ascii="宋体" w:hAnsi="宋体" w:cs="宋体"/>
          <w:highlight w:val="none"/>
        </w:rPr>
        <w:t>2</w:t>
      </w:r>
      <w:r>
        <w:rPr>
          <w:rFonts w:hint="eastAsia" w:ascii="宋体" w:hAnsi="宋体" w:cs="宋体"/>
          <w:szCs w:val="27"/>
          <w:highlight w:val="none"/>
        </w:rPr>
        <w:t>.</w:t>
      </w:r>
      <w:r>
        <w:rPr>
          <w:rFonts w:hint="eastAsia" w:ascii="宋体" w:hAnsi="宋体" w:cs="宋体"/>
          <w:highlight w:val="none"/>
        </w:rPr>
        <w:t>除非执行合同需要，在事先未得到甲方同意的情况下，乙方不得使用前款所列的任何文件和资料。</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第十五条 不可抗力事件处理</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w:t>
      </w:r>
      <w:r>
        <w:rPr>
          <w:rFonts w:hint="eastAsia" w:ascii="宋体" w:hAnsi="宋体" w:cs="宋体"/>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firstLineChars="200"/>
        <w:rPr>
          <w:rFonts w:ascii="宋体" w:hAnsi="宋体" w:cs="宋体"/>
          <w:szCs w:val="27"/>
          <w:highlight w:val="none"/>
        </w:rPr>
      </w:pPr>
      <w:r>
        <w:rPr>
          <w:rFonts w:hint="eastAsia" w:ascii="宋体" w:hAnsi="宋体" w:cs="宋体"/>
          <w:highlight w:val="none"/>
        </w:rPr>
        <w:t>2</w:t>
      </w:r>
      <w:r>
        <w:rPr>
          <w:rFonts w:hint="eastAsia" w:ascii="宋体" w:hAnsi="宋体" w:cs="宋体"/>
          <w:szCs w:val="27"/>
          <w:highlight w:val="none"/>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pStyle w:val="2"/>
        <w:kinsoku w:val="0"/>
        <w:overflowPunct w:val="0"/>
        <w:ind w:firstLine="422" w:firstLineChars="200"/>
        <w:rPr>
          <w:rFonts w:ascii="宋体" w:hAnsi="宋体" w:cs="宋体"/>
          <w:kern w:val="2"/>
          <w:sz w:val="21"/>
          <w:szCs w:val="27"/>
          <w:highlight w:val="none"/>
        </w:rPr>
      </w:pPr>
      <w:r>
        <w:rPr>
          <w:rFonts w:hint="eastAsia" w:ascii="宋体" w:hAnsi="宋体" w:cs="宋体"/>
          <w:kern w:val="2"/>
          <w:sz w:val="21"/>
          <w:szCs w:val="27"/>
          <w:highlight w:val="none"/>
        </w:rPr>
        <w:t>第十六条 合同纠纷调处</w:t>
      </w:r>
    </w:p>
    <w:p>
      <w:pPr>
        <w:spacing w:line="360" w:lineRule="auto"/>
        <w:ind w:firstLine="420" w:firstLineChars="200"/>
        <w:rPr>
          <w:rFonts w:ascii="宋体" w:hAnsi="宋体" w:cs="宋体"/>
          <w:highlight w:val="none"/>
        </w:rPr>
      </w:pPr>
      <w:r>
        <w:rPr>
          <w:rFonts w:hint="eastAsia" w:ascii="宋体" w:hAnsi="宋体" w:cs="宋体"/>
          <w:highlight w:val="none"/>
        </w:rPr>
        <w:t>1</w:t>
      </w:r>
      <w:r>
        <w:rPr>
          <w:rFonts w:hint="eastAsia" w:ascii="宋体" w:hAnsi="宋体" w:cs="宋体"/>
          <w:szCs w:val="27"/>
          <w:highlight w:val="none"/>
        </w:rPr>
        <w:t>.按本合同规定应该偿付的违约金、赔偿金、保管保养费和各种经济损失，应当在明确责任后10天内，按银行规定的结算办法付清，否则按逾期付款处理。</w:t>
      </w:r>
    </w:p>
    <w:p>
      <w:pPr>
        <w:spacing w:line="360" w:lineRule="auto"/>
        <w:ind w:firstLine="420" w:firstLineChars="200"/>
        <w:rPr>
          <w:rFonts w:ascii="宋体" w:hAnsi="宋体" w:cs="宋体"/>
          <w:szCs w:val="27"/>
          <w:highlight w:val="none"/>
        </w:rPr>
      </w:pPr>
      <w:r>
        <w:rPr>
          <w:rFonts w:hint="eastAsia" w:ascii="宋体" w:hAnsi="宋体" w:cs="宋体"/>
          <w:highlight w:val="none"/>
        </w:rPr>
        <w:t>2</w:t>
      </w:r>
      <w:r>
        <w:rPr>
          <w:rFonts w:hint="eastAsia" w:ascii="宋体" w:hAnsi="宋体" w:cs="宋体"/>
          <w:szCs w:val="27"/>
          <w:highlight w:val="none"/>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szCs w:val="27"/>
          <w:highlight w:val="none"/>
          <w:u w:val="single"/>
        </w:rPr>
        <w:t>周口仲裁委员会</w:t>
      </w:r>
      <w:r>
        <w:rPr>
          <w:rFonts w:hint="eastAsia" w:ascii="宋体" w:hAnsi="宋体" w:cs="宋体"/>
          <w:szCs w:val="27"/>
          <w:highlight w:val="none"/>
        </w:rPr>
        <w:t>申请仲裁。②向</w:t>
      </w:r>
      <w:r>
        <w:rPr>
          <w:rFonts w:hint="eastAsia" w:ascii="宋体" w:hAnsi="宋体" w:cs="宋体"/>
          <w:highlight w:val="none"/>
        </w:rPr>
        <w:t>合同签订地有级别管辖权的</w:t>
      </w:r>
      <w:r>
        <w:rPr>
          <w:rFonts w:hint="eastAsia" w:ascii="宋体" w:hAnsi="宋体" w:cs="宋体"/>
          <w:szCs w:val="27"/>
          <w:highlight w:val="none"/>
        </w:rPr>
        <w:t>人民法院起诉。</w:t>
      </w:r>
    </w:p>
    <w:p>
      <w:pPr>
        <w:pStyle w:val="2"/>
        <w:kinsoku w:val="0"/>
        <w:overflowPunct w:val="0"/>
        <w:ind w:firstLine="420" w:firstLineChars="200"/>
        <w:rPr>
          <w:rFonts w:ascii="宋体" w:hAnsi="宋体" w:cs="宋体"/>
          <w:b w:val="0"/>
          <w:bCs w:val="0"/>
          <w:kern w:val="2"/>
          <w:sz w:val="21"/>
          <w:szCs w:val="27"/>
          <w:highlight w:val="none"/>
        </w:rPr>
      </w:pPr>
      <w:r>
        <w:rPr>
          <w:rFonts w:hint="eastAsia" w:ascii="宋体" w:hAnsi="宋体" w:cs="宋体"/>
          <w:b w:val="0"/>
          <w:bCs w:val="0"/>
          <w:kern w:val="2"/>
          <w:sz w:val="21"/>
          <w:szCs w:val="27"/>
          <w:highlight w:val="none"/>
        </w:rPr>
        <w:t>3、甲、乙双方均有权利向本项目具有监管职能的政府采购监督管理部门举报反映对方在合同履约中的违法违纪行为。</w:t>
      </w:r>
    </w:p>
    <w:p>
      <w:pPr>
        <w:spacing w:line="360" w:lineRule="auto"/>
        <w:ind w:firstLine="422" w:firstLineChars="200"/>
        <w:rPr>
          <w:rFonts w:ascii="宋体" w:hAnsi="宋体" w:cs="宋体"/>
          <w:b/>
          <w:bCs/>
          <w:szCs w:val="27"/>
          <w:highlight w:val="none"/>
        </w:rPr>
      </w:pPr>
      <w:r>
        <w:rPr>
          <w:rFonts w:hint="eastAsia" w:ascii="宋体" w:hAnsi="宋体" w:cs="宋体"/>
          <w:b/>
          <w:bCs/>
          <w:szCs w:val="27"/>
          <w:highlight w:val="none"/>
        </w:rPr>
        <w:t>第十七条 其他</w:t>
      </w:r>
    </w:p>
    <w:p>
      <w:pPr>
        <w:spacing w:line="360" w:lineRule="auto"/>
        <w:ind w:firstLine="422" w:firstLineChars="200"/>
        <w:rPr>
          <w:rFonts w:ascii="宋体" w:hAnsi="宋体" w:cs="宋体"/>
          <w:szCs w:val="27"/>
          <w:highlight w:val="none"/>
        </w:rPr>
      </w:pPr>
      <w:r>
        <w:rPr>
          <w:rFonts w:hint="eastAsia" w:ascii="宋体" w:hAnsi="宋体" w:cs="宋体"/>
          <w:b/>
          <w:bCs/>
          <w:szCs w:val="27"/>
          <w:highlight w:val="none"/>
        </w:rPr>
        <w:t xml:space="preserve"> </w:t>
      </w:r>
      <w:r>
        <w:rPr>
          <w:rFonts w:hint="eastAsia" w:ascii="宋体" w:hAnsi="宋体" w:cs="宋体"/>
          <w:szCs w:val="27"/>
          <w:highlight w:val="none"/>
        </w:rPr>
        <w:t>下列关于周口市公共资源交易中心政府采购代理机构名称</w:t>
      </w:r>
      <w:r>
        <w:rPr>
          <w:rFonts w:hint="eastAsia" w:ascii="宋体" w:hAnsi="宋体" w:cs="宋体"/>
          <w:szCs w:val="27"/>
          <w:highlight w:val="none"/>
          <w:u w:val="single"/>
        </w:rPr>
        <w:t>某项目（项目编号：某编号）</w:t>
      </w:r>
      <w:r>
        <w:rPr>
          <w:rFonts w:hint="eastAsia" w:ascii="宋体" w:hAnsi="宋体" w:cs="宋体"/>
          <w:szCs w:val="27"/>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 xml:space="preserve">    </w:t>
      </w:r>
      <w:r>
        <w:rPr>
          <w:rFonts w:hint="eastAsia" w:ascii="宋体" w:hAnsi="宋体" w:cs="宋体"/>
          <w:highlight w:val="none"/>
        </w:rPr>
        <w:t>本合同一式</w:t>
      </w:r>
      <w:r>
        <w:rPr>
          <w:rFonts w:hint="eastAsia" w:ascii="宋体" w:hAnsi="宋体" w:cs="宋体"/>
          <w:highlight w:val="none"/>
          <w:u w:val="single"/>
        </w:rPr>
        <w:t xml:space="preserve">   </w:t>
      </w:r>
      <w:r>
        <w:rPr>
          <w:rFonts w:hint="eastAsia" w:ascii="宋体" w:hAnsi="宋体" w:cs="宋体"/>
          <w:highlight w:val="none"/>
        </w:rPr>
        <w:t>份，甲乙双方各执</w:t>
      </w:r>
      <w:r>
        <w:rPr>
          <w:rFonts w:hint="eastAsia" w:ascii="宋体" w:hAnsi="宋体" w:cs="宋体"/>
          <w:highlight w:val="none"/>
          <w:u w:val="single"/>
        </w:rPr>
        <w:t xml:space="preserve">   </w:t>
      </w:r>
      <w:r>
        <w:rPr>
          <w:rFonts w:hint="eastAsia" w:ascii="宋体" w:hAnsi="宋体" w:cs="宋体"/>
          <w:highlight w:val="none"/>
        </w:rPr>
        <w:t>份，自双方当事人签字盖章之日起生效。</w:t>
      </w:r>
    </w:p>
    <w:p>
      <w:pPr>
        <w:spacing w:line="360" w:lineRule="auto"/>
        <w:ind w:firstLine="420" w:firstLineChars="200"/>
        <w:rPr>
          <w:rFonts w:ascii="宋体" w:hAnsi="宋体" w:cs="宋体"/>
          <w:szCs w:val="27"/>
          <w:highlight w:val="none"/>
        </w:rPr>
      </w:pPr>
    </w:p>
    <w:p>
      <w:pPr>
        <w:pStyle w:val="37"/>
        <w:ind w:firstLine="210"/>
        <w:rPr>
          <w:rFonts w:ascii="宋体" w:hAnsi="宋体" w:cs="宋体"/>
          <w:highlight w:val="none"/>
        </w:rPr>
      </w:pP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 xml:space="preserve">采购人（甲方）：    （公章）           供货人（乙方）：     （公章）  </w:t>
      </w:r>
    </w:p>
    <w:p>
      <w:pPr>
        <w:spacing w:line="360" w:lineRule="auto"/>
        <w:ind w:firstLine="420" w:firstLineChars="200"/>
        <w:rPr>
          <w:rFonts w:ascii="宋体" w:hAnsi="宋体" w:cs="宋体"/>
          <w:highlight w:val="none"/>
        </w:rPr>
      </w:pPr>
      <w:r>
        <w:rPr>
          <w:rFonts w:hint="eastAsia" w:ascii="宋体" w:hAnsi="宋体" w:cs="宋体"/>
          <w:szCs w:val="27"/>
          <w:highlight w:val="none"/>
        </w:rPr>
        <w:t>地址：                               地址：</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法定代表人：                         法定代表人：</w:t>
      </w:r>
    </w:p>
    <w:p>
      <w:pPr>
        <w:spacing w:line="360" w:lineRule="auto"/>
        <w:ind w:firstLine="420" w:firstLineChars="200"/>
        <w:rPr>
          <w:rFonts w:ascii="宋体" w:hAnsi="宋体" w:cs="宋体"/>
          <w:highlight w:val="none"/>
          <w:u w:val="single"/>
        </w:rPr>
      </w:pPr>
      <w:r>
        <w:rPr>
          <w:rFonts w:hint="eastAsia" w:ascii="宋体" w:hAnsi="宋体" w:cs="宋体"/>
          <w:szCs w:val="27"/>
          <w:highlight w:val="none"/>
        </w:rPr>
        <w:t>委托代理人：                         委托代理人：</w:t>
      </w:r>
    </w:p>
    <w:p>
      <w:pPr>
        <w:spacing w:line="360" w:lineRule="auto"/>
        <w:ind w:firstLine="420" w:firstLineChars="200"/>
        <w:rPr>
          <w:rFonts w:ascii="宋体" w:hAnsi="宋体" w:cs="宋体"/>
          <w:highlight w:val="none"/>
        </w:rPr>
      </w:pPr>
      <w:r>
        <w:rPr>
          <w:rFonts w:hint="eastAsia" w:ascii="宋体" w:hAnsi="宋体" w:cs="宋体"/>
          <w:highlight w:val="none"/>
        </w:rPr>
        <w:t>电话：                               电话：</w:t>
      </w:r>
    </w:p>
    <w:p>
      <w:pPr>
        <w:spacing w:line="360" w:lineRule="auto"/>
        <w:ind w:firstLine="420" w:firstLineChars="200"/>
        <w:rPr>
          <w:rFonts w:ascii="宋体" w:hAnsi="宋体" w:cs="宋体"/>
          <w:szCs w:val="27"/>
          <w:highlight w:val="none"/>
        </w:rPr>
      </w:pPr>
      <w:r>
        <w:rPr>
          <w:rFonts w:hint="eastAsia" w:ascii="宋体" w:hAnsi="宋体" w:cs="宋体"/>
          <w:szCs w:val="27"/>
          <w:highlight w:val="none"/>
        </w:rPr>
        <w:t>开户银行：                           开户银行：</w:t>
      </w:r>
    </w:p>
    <w:p>
      <w:pPr>
        <w:spacing w:line="360" w:lineRule="auto"/>
        <w:ind w:firstLine="420" w:firstLineChars="200"/>
        <w:rPr>
          <w:rFonts w:ascii="宋体" w:hAnsi="宋体" w:cs="宋体"/>
          <w:highlight w:val="none"/>
        </w:rPr>
      </w:pPr>
      <w:r>
        <w:rPr>
          <w:rFonts w:hint="eastAsia" w:ascii="宋体" w:hAnsi="宋体" w:cs="宋体"/>
          <w:szCs w:val="27"/>
          <w:highlight w:val="none"/>
        </w:rPr>
        <w:t>账号：                               账号：</w:t>
      </w:r>
    </w:p>
    <w:p>
      <w:pPr>
        <w:spacing w:line="640" w:lineRule="exact"/>
        <w:ind w:firstLine="420" w:firstLineChars="200"/>
        <w:rPr>
          <w:rFonts w:ascii="宋体" w:hAnsi="宋体" w:cs="宋体"/>
          <w:szCs w:val="27"/>
          <w:highlight w:val="none"/>
          <w:u w:val="single"/>
        </w:rPr>
      </w:pPr>
    </w:p>
    <w:p>
      <w:pPr>
        <w:pStyle w:val="37"/>
        <w:ind w:firstLine="210"/>
        <w:jc w:val="center"/>
        <w:rPr>
          <w:b/>
          <w:sz w:val="32"/>
          <w:szCs w:val="32"/>
          <w:highlight w:val="none"/>
        </w:rPr>
      </w:pPr>
      <w:r>
        <w:rPr>
          <w:rFonts w:hint="eastAsia" w:ascii="宋体" w:hAnsi="宋体" w:cs="宋体"/>
          <w:szCs w:val="27"/>
          <w:highlight w:val="none"/>
          <w:u w:val="single"/>
        </w:rPr>
        <w:t>        </w:t>
      </w:r>
      <w:r>
        <w:rPr>
          <w:rFonts w:hint="eastAsia" w:ascii="宋体" w:hAnsi="宋体" w:cs="宋体"/>
          <w:szCs w:val="27"/>
          <w:highlight w:val="none"/>
        </w:rPr>
        <w:t>年</w:t>
      </w:r>
      <w:r>
        <w:rPr>
          <w:rFonts w:hint="eastAsia" w:ascii="宋体" w:hAnsi="宋体" w:cs="宋体"/>
          <w:szCs w:val="27"/>
          <w:highlight w:val="none"/>
          <w:u w:val="single"/>
        </w:rPr>
        <w:t xml:space="preserve">    </w:t>
      </w:r>
      <w:r>
        <w:rPr>
          <w:rFonts w:hint="eastAsia" w:ascii="宋体" w:hAnsi="宋体" w:cs="宋体"/>
          <w:szCs w:val="27"/>
          <w:highlight w:val="none"/>
        </w:rPr>
        <w:t>月</w:t>
      </w:r>
      <w:r>
        <w:rPr>
          <w:rFonts w:hint="eastAsia" w:ascii="宋体" w:hAnsi="宋体" w:cs="宋体"/>
          <w:szCs w:val="27"/>
          <w:highlight w:val="none"/>
          <w:u w:val="single"/>
        </w:rPr>
        <w:t xml:space="preserve">    </w:t>
      </w:r>
      <w:r>
        <w:rPr>
          <w:rFonts w:hint="eastAsia" w:ascii="宋体" w:hAnsi="宋体" w:cs="宋体"/>
          <w:szCs w:val="27"/>
          <w:highlight w:val="none"/>
        </w:rPr>
        <w:t xml:space="preserve">日                      </w:t>
      </w:r>
      <w:r>
        <w:rPr>
          <w:rFonts w:hint="eastAsia" w:ascii="宋体" w:hAnsi="宋体" w:cs="宋体"/>
          <w:szCs w:val="27"/>
          <w:highlight w:val="none"/>
          <w:u w:val="single"/>
        </w:rPr>
        <w:t xml:space="preserve">         </w:t>
      </w:r>
      <w:r>
        <w:rPr>
          <w:rFonts w:hint="eastAsia" w:ascii="宋体" w:hAnsi="宋体" w:cs="宋体"/>
          <w:szCs w:val="27"/>
          <w:highlight w:val="none"/>
        </w:rPr>
        <w:t>年</w:t>
      </w:r>
      <w:r>
        <w:rPr>
          <w:rFonts w:hint="eastAsia" w:ascii="宋体" w:hAnsi="宋体" w:cs="宋体"/>
          <w:szCs w:val="27"/>
          <w:highlight w:val="none"/>
          <w:u w:val="single"/>
        </w:rPr>
        <w:t xml:space="preserve">    </w:t>
      </w:r>
      <w:r>
        <w:rPr>
          <w:rFonts w:hint="eastAsia" w:ascii="宋体" w:hAnsi="宋体" w:cs="宋体"/>
          <w:szCs w:val="27"/>
          <w:highlight w:val="none"/>
        </w:rPr>
        <w:t>月</w:t>
      </w:r>
      <w:r>
        <w:rPr>
          <w:rFonts w:hint="eastAsia" w:ascii="宋体" w:hAnsi="宋体" w:cs="宋体"/>
          <w:szCs w:val="27"/>
          <w:highlight w:val="none"/>
          <w:u w:val="single"/>
        </w:rPr>
        <w:t xml:space="preserve">  </w:t>
      </w:r>
      <w:r>
        <w:rPr>
          <w:rFonts w:hint="eastAsia" w:ascii="宋体" w:hAnsi="宋体" w:cs="宋体"/>
          <w:szCs w:val="27"/>
          <w:highlight w:val="none"/>
        </w:rPr>
        <w:t>日</w:t>
      </w:r>
    </w:p>
    <w:p>
      <w:pPr>
        <w:pStyle w:val="37"/>
        <w:ind w:firstLine="321"/>
        <w:jc w:val="center"/>
        <w:rPr>
          <w:b/>
          <w:sz w:val="32"/>
          <w:szCs w:val="32"/>
          <w:highlight w:val="none"/>
        </w:rPr>
      </w:pPr>
      <w:r>
        <w:rPr>
          <w:rFonts w:hint="eastAsia"/>
          <w:b/>
          <w:sz w:val="32"/>
          <w:szCs w:val="32"/>
          <w:highlight w:val="none"/>
        </w:rPr>
        <w:t>周口市政府采购合同融资政策告知函</w:t>
      </w:r>
    </w:p>
    <w:p>
      <w:pPr>
        <w:pStyle w:val="37"/>
        <w:ind w:firstLine="240"/>
        <w:rPr>
          <w:rFonts w:asciiTheme="minorEastAsia" w:hAnsiTheme="minorEastAsia" w:eastAsiaTheme="minorEastAsia"/>
          <w:sz w:val="24"/>
          <w:highlight w:val="none"/>
        </w:rPr>
      </w:pPr>
    </w:p>
    <w:p>
      <w:pPr>
        <w:pStyle w:val="37"/>
        <w:ind w:firstLine="240"/>
        <w:rPr>
          <w:rFonts w:asciiTheme="minorEastAsia" w:hAnsiTheme="minorEastAsia" w:eastAsiaTheme="minorEastAsia"/>
          <w:sz w:val="24"/>
          <w:highlight w:val="none"/>
        </w:rPr>
      </w:pPr>
    </w:p>
    <w:p>
      <w:pPr>
        <w:pStyle w:val="37"/>
        <w:ind w:firstLine="240"/>
        <w:rPr>
          <w:rFonts w:asciiTheme="minorEastAsia" w:hAnsiTheme="minorEastAsia" w:eastAsiaTheme="minorEastAsia"/>
          <w:sz w:val="24"/>
          <w:highlight w:val="none"/>
        </w:rPr>
      </w:pPr>
    </w:p>
    <w:p>
      <w:pPr>
        <w:pStyle w:val="37"/>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各供应商：</w:t>
      </w:r>
    </w:p>
    <w:p>
      <w:pPr>
        <w:pStyle w:val="37"/>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欢迎贵公司参与周口市政府采购活动！</w:t>
      </w:r>
    </w:p>
    <w:p>
      <w:pPr>
        <w:pStyle w:val="37"/>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37"/>
        <w:ind w:firstLine="2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贷款渠道和提供贷款的金融机构，可在河南省政府采购网“河南省政府采购合同融资平台”查询联系。</w:t>
      </w: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26"/>
        <w:spacing w:before="0" w:beforeAutospacing="0" w:after="0" w:afterAutospacing="0" w:line="330" w:lineRule="atLeast"/>
        <w:rPr>
          <w:rFonts w:cs="仿宋_GB2312"/>
          <w:b/>
          <w:bCs/>
          <w:color w:val="0000FF"/>
          <w:sz w:val="21"/>
          <w:szCs w:val="21"/>
          <w:highlight w:val="none"/>
        </w:rPr>
      </w:pPr>
    </w:p>
    <w:p>
      <w:pPr>
        <w:pStyle w:val="37"/>
        <w:ind w:firstLine="210"/>
        <w:rPr>
          <w:highlight w:val="none"/>
        </w:rPr>
      </w:pPr>
    </w:p>
    <w:sectPr>
      <w:pgSz w:w="11907" w:h="16840"/>
      <w:pgMar w:top="1440" w:right="1588" w:bottom="1440"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黑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8"/>
                </w:pPr>
                <w:r>
                  <w:fldChar w:fldCharType="begin"/>
                </w:r>
                <w:r>
                  <w:instrText xml:space="preserve"> PAGE  \* MERGEFORMAT </w:instrText>
                </w:r>
                <w:r>
                  <w:fldChar w:fldCharType="separate"/>
                </w:r>
                <w:r>
                  <w:t>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spacing w:line="160" w:lineRule="atLeast"/>
      <w:jc w:val="both"/>
      <w:rPr>
        <w:rFonts w:hint="eastAsia"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3D9CF9"/>
    <w:multiLevelType w:val="singleLevel"/>
    <w:tmpl w:val="8E3D9CF9"/>
    <w:lvl w:ilvl="0" w:tentative="0">
      <w:start w:val="2"/>
      <w:numFmt w:val="decimal"/>
      <w:lvlText w:val="%1."/>
      <w:lvlJc w:val="left"/>
      <w:pPr>
        <w:tabs>
          <w:tab w:val="left" w:pos="312"/>
        </w:tabs>
      </w:pPr>
    </w:lvl>
  </w:abstractNum>
  <w:abstractNum w:abstractNumId="1">
    <w:nsid w:val="00000002"/>
    <w:multiLevelType w:val="singleLevel"/>
    <w:tmpl w:val="00000002"/>
    <w:lvl w:ilvl="0" w:tentative="0">
      <w:start w:val="3"/>
      <w:numFmt w:val="decimal"/>
      <w:suff w:val="nothing"/>
      <w:lvlText w:val="(%1)"/>
      <w:lvlJc w:val="left"/>
    </w:lvl>
  </w:abstractNum>
  <w:abstractNum w:abstractNumId="2">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gutterAtTop/>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VjOTQ5NGFmNGFjMTAwMjZiODlhMzA0ZTU0NWNjMTYifQ=="/>
    <w:docVar w:name="KSO_WPS_MARK_KEY" w:val="54303b05-852d-469c-a882-2ee4ae2cfa35"/>
  </w:docVars>
  <w:rsids>
    <w:rsidRoot w:val="00172A27"/>
    <w:rsid w:val="00000EB7"/>
    <w:rsid w:val="00002165"/>
    <w:rsid w:val="00003AB0"/>
    <w:rsid w:val="00006828"/>
    <w:rsid w:val="00007916"/>
    <w:rsid w:val="000102C8"/>
    <w:rsid w:val="00010D52"/>
    <w:rsid w:val="000129DA"/>
    <w:rsid w:val="00013396"/>
    <w:rsid w:val="00013D3C"/>
    <w:rsid w:val="00014E7F"/>
    <w:rsid w:val="000213BA"/>
    <w:rsid w:val="00024C10"/>
    <w:rsid w:val="0004275F"/>
    <w:rsid w:val="00044689"/>
    <w:rsid w:val="000449D3"/>
    <w:rsid w:val="00045FE3"/>
    <w:rsid w:val="00050196"/>
    <w:rsid w:val="000511E4"/>
    <w:rsid w:val="000529C4"/>
    <w:rsid w:val="00052DCC"/>
    <w:rsid w:val="0005462A"/>
    <w:rsid w:val="00057BB8"/>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E0E"/>
    <w:rsid w:val="000D1060"/>
    <w:rsid w:val="000D13CD"/>
    <w:rsid w:val="000D2FDB"/>
    <w:rsid w:val="000D5EE1"/>
    <w:rsid w:val="000E6816"/>
    <w:rsid w:val="000F00E0"/>
    <w:rsid w:val="000F1943"/>
    <w:rsid w:val="000F24C7"/>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6082"/>
    <w:rsid w:val="00247A19"/>
    <w:rsid w:val="00251AE3"/>
    <w:rsid w:val="00257C04"/>
    <w:rsid w:val="00265B18"/>
    <w:rsid w:val="00270508"/>
    <w:rsid w:val="00270AB4"/>
    <w:rsid w:val="00280A38"/>
    <w:rsid w:val="0028546B"/>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369C"/>
    <w:rsid w:val="00373F72"/>
    <w:rsid w:val="003752C8"/>
    <w:rsid w:val="0037728A"/>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12000"/>
    <w:rsid w:val="00412743"/>
    <w:rsid w:val="004144EF"/>
    <w:rsid w:val="00415E9C"/>
    <w:rsid w:val="00416396"/>
    <w:rsid w:val="00417D8B"/>
    <w:rsid w:val="00421E87"/>
    <w:rsid w:val="00427E1C"/>
    <w:rsid w:val="00436E32"/>
    <w:rsid w:val="00440598"/>
    <w:rsid w:val="004441AE"/>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6352"/>
    <w:rsid w:val="004B7594"/>
    <w:rsid w:val="004C2474"/>
    <w:rsid w:val="004C4124"/>
    <w:rsid w:val="004C4A46"/>
    <w:rsid w:val="004C5947"/>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32B9"/>
    <w:rsid w:val="006158DC"/>
    <w:rsid w:val="0061645A"/>
    <w:rsid w:val="0062126D"/>
    <w:rsid w:val="00621B09"/>
    <w:rsid w:val="006227BE"/>
    <w:rsid w:val="0063018F"/>
    <w:rsid w:val="00632A25"/>
    <w:rsid w:val="006353B4"/>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A04"/>
    <w:rsid w:val="006F3DCD"/>
    <w:rsid w:val="006F61CD"/>
    <w:rsid w:val="006F68AD"/>
    <w:rsid w:val="00702C0E"/>
    <w:rsid w:val="00706198"/>
    <w:rsid w:val="00714C4C"/>
    <w:rsid w:val="00715BAF"/>
    <w:rsid w:val="00726195"/>
    <w:rsid w:val="007268FD"/>
    <w:rsid w:val="00731000"/>
    <w:rsid w:val="00732671"/>
    <w:rsid w:val="007353E7"/>
    <w:rsid w:val="00741235"/>
    <w:rsid w:val="007635E7"/>
    <w:rsid w:val="00771B3B"/>
    <w:rsid w:val="00772250"/>
    <w:rsid w:val="0077769A"/>
    <w:rsid w:val="00777F77"/>
    <w:rsid w:val="00781022"/>
    <w:rsid w:val="00785043"/>
    <w:rsid w:val="007865D6"/>
    <w:rsid w:val="00795CE5"/>
    <w:rsid w:val="007A02D3"/>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E85"/>
    <w:rsid w:val="008249A0"/>
    <w:rsid w:val="008256E0"/>
    <w:rsid w:val="0082787A"/>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9002BC"/>
    <w:rsid w:val="00905099"/>
    <w:rsid w:val="009141DA"/>
    <w:rsid w:val="0091594C"/>
    <w:rsid w:val="0091644E"/>
    <w:rsid w:val="009202CA"/>
    <w:rsid w:val="00923FD9"/>
    <w:rsid w:val="0092553D"/>
    <w:rsid w:val="00925D64"/>
    <w:rsid w:val="0093017D"/>
    <w:rsid w:val="00931C19"/>
    <w:rsid w:val="00933328"/>
    <w:rsid w:val="00933FF5"/>
    <w:rsid w:val="0094012B"/>
    <w:rsid w:val="009405C8"/>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A05FC7"/>
    <w:rsid w:val="00A11EE6"/>
    <w:rsid w:val="00A21FFC"/>
    <w:rsid w:val="00A248DE"/>
    <w:rsid w:val="00A325C7"/>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B1BAE"/>
    <w:rsid w:val="00AB3E61"/>
    <w:rsid w:val="00AB40DB"/>
    <w:rsid w:val="00AB7180"/>
    <w:rsid w:val="00AC28E3"/>
    <w:rsid w:val="00AC5FEA"/>
    <w:rsid w:val="00AC68FB"/>
    <w:rsid w:val="00AC7F1A"/>
    <w:rsid w:val="00AD1707"/>
    <w:rsid w:val="00AD4CA5"/>
    <w:rsid w:val="00AE0466"/>
    <w:rsid w:val="00AE701D"/>
    <w:rsid w:val="00AE7549"/>
    <w:rsid w:val="00AF7CA7"/>
    <w:rsid w:val="00B00A00"/>
    <w:rsid w:val="00B222CB"/>
    <w:rsid w:val="00B2244A"/>
    <w:rsid w:val="00B22C29"/>
    <w:rsid w:val="00B261F9"/>
    <w:rsid w:val="00B353DE"/>
    <w:rsid w:val="00B46D0E"/>
    <w:rsid w:val="00B50E69"/>
    <w:rsid w:val="00B53549"/>
    <w:rsid w:val="00B61578"/>
    <w:rsid w:val="00B61F6A"/>
    <w:rsid w:val="00B63E2D"/>
    <w:rsid w:val="00B63E3B"/>
    <w:rsid w:val="00B65B2B"/>
    <w:rsid w:val="00B74DF6"/>
    <w:rsid w:val="00B75749"/>
    <w:rsid w:val="00B75770"/>
    <w:rsid w:val="00B80066"/>
    <w:rsid w:val="00B810FF"/>
    <w:rsid w:val="00B813C9"/>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EE1"/>
    <w:rsid w:val="00D5419F"/>
    <w:rsid w:val="00D63B3F"/>
    <w:rsid w:val="00D663BA"/>
    <w:rsid w:val="00D722E5"/>
    <w:rsid w:val="00D90069"/>
    <w:rsid w:val="00D90654"/>
    <w:rsid w:val="00D90954"/>
    <w:rsid w:val="00D963B5"/>
    <w:rsid w:val="00DB2611"/>
    <w:rsid w:val="00DB3311"/>
    <w:rsid w:val="00DB5086"/>
    <w:rsid w:val="00DB6E55"/>
    <w:rsid w:val="00DB7C7E"/>
    <w:rsid w:val="00DC178C"/>
    <w:rsid w:val="00DC4C8F"/>
    <w:rsid w:val="00DD0C58"/>
    <w:rsid w:val="00DD4886"/>
    <w:rsid w:val="00DE2836"/>
    <w:rsid w:val="00DF2BF0"/>
    <w:rsid w:val="00DF50DE"/>
    <w:rsid w:val="00DF6901"/>
    <w:rsid w:val="00DF7061"/>
    <w:rsid w:val="00E061E2"/>
    <w:rsid w:val="00E10368"/>
    <w:rsid w:val="00E10BED"/>
    <w:rsid w:val="00E20C65"/>
    <w:rsid w:val="00E23C7A"/>
    <w:rsid w:val="00E34F1B"/>
    <w:rsid w:val="00E37B8C"/>
    <w:rsid w:val="00E41920"/>
    <w:rsid w:val="00E4462C"/>
    <w:rsid w:val="00E46EEB"/>
    <w:rsid w:val="00E47566"/>
    <w:rsid w:val="00E50376"/>
    <w:rsid w:val="00E525C0"/>
    <w:rsid w:val="00E70704"/>
    <w:rsid w:val="00E73041"/>
    <w:rsid w:val="00E774FE"/>
    <w:rsid w:val="00E85EA8"/>
    <w:rsid w:val="00E91F2D"/>
    <w:rsid w:val="00E94E14"/>
    <w:rsid w:val="00EB0ADA"/>
    <w:rsid w:val="00EB48A6"/>
    <w:rsid w:val="00EB7E8A"/>
    <w:rsid w:val="00EC1F8A"/>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53E32"/>
    <w:rsid w:val="00F61537"/>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311D17"/>
    <w:rsid w:val="017C3055"/>
    <w:rsid w:val="018B5C56"/>
    <w:rsid w:val="01934780"/>
    <w:rsid w:val="01DF5C17"/>
    <w:rsid w:val="01EC42D0"/>
    <w:rsid w:val="021533E7"/>
    <w:rsid w:val="021A62ED"/>
    <w:rsid w:val="021F6AE2"/>
    <w:rsid w:val="02305D77"/>
    <w:rsid w:val="0243687E"/>
    <w:rsid w:val="026C6D7F"/>
    <w:rsid w:val="027A149C"/>
    <w:rsid w:val="02B07FF7"/>
    <w:rsid w:val="02BA21E0"/>
    <w:rsid w:val="02CA345F"/>
    <w:rsid w:val="02ED333D"/>
    <w:rsid w:val="03092923"/>
    <w:rsid w:val="03196F07"/>
    <w:rsid w:val="034026E5"/>
    <w:rsid w:val="035166A0"/>
    <w:rsid w:val="03733BDF"/>
    <w:rsid w:val="03A308DC"/>
    <w:rsid w:val="03DC636C"/>
    <w:rsid w:val="040532BA"/>
    <w:rsid w:val="040B08CC"/>
    <w:rsid w:val="04176582"/>
    <w:rsid w:val="04BA2023"/>
    <w:rsid w:val="050B6D23"/>
    <w:rsid w:val="051259ED"/>
    <w:rsid w:val="05252CCF"/>
    <w:rsid w:val="053718C6"/>
    <w:rsid w:val="056326BB"/>
    <w:rsid w:val="05645491"/>
    <w:rsid w:val="05936B68"/>
    <w:rsid w:val="05C0008F"/>
    <w:rsid w:val="05F504EE"/>
    <w:rsid w:val="061E4834"/>
    <w:rsid w:val="06287461"/>
    <w:rsid w:val="064B1AAF"/>
    <w:rsid w:val="065D2B7B"/>
    <w:rsid w:val="07041580"/>
    <w:rsid w:val="072010BD"/>
    <w:rsid w:val="07932A4C"/>
    <w:rsid w:val="07F876A6"/>
    <w:rsid w:val="08306015"/>
    <w:rsid w:val="08660CC0"/>
    <w:rsid w:val="08703D30"/>
    <w:rsid w:val="088E7A4F"/>
    <w:rsid w:val="08B33959"/>
    <w:rsid w:val="08BB45BC"/>
    <w:rsid w:val="08CC4A1B"/>
    <w:rsid w:val="08DB1CFF"/>
    <w:rsid w:val="09066CD0"/>
    <w:rsid w:val="092E1232"/>
    <w:rsid w:val="095C6D8E"/>
    <w:rsid w:val="096D2F3E"/>
    <w:rsid w:val="098761CE"/>
    <w:rsid w:val="09885527"/>
    <w:rsid w:val="09A92667"/>
    <w:rsid w:val="09E813E1"/>
    <w:rsid w:val="09EF6C13"/>
    <w:rsid w:val="0A261F09"/>
    <w:rsid w:val="0A2F0DBE"/>
    <w:rsid w:val="0A481E7F"/>
    <w:rsid w:val="0A9E30AD"/>
    <w:rsid w:val="0AC105A6"/>
    <w:rsid w:val="0AC736EC"/>
    <w:rsid w:val="0AEE2A27"/>
    <w:rsid w:val="0B226B74"/>
    <w:rsid w:val="0B867103"/>
    <w:rsid w:val="0B93537C"/>
    <w:rsid w:val="0BBA0B5B"/>
    <w:rsid w:val="0BE35ECF"/>
    <w:rsid w:val="0BEB3B44"/>
    <w:rsid w:val="0C0644C0"/>
    <w:rsid w:val="0C4F74F5"/>
    <w:rsid w:val="0C505731"/>
    <w:rsid w:val="0C7B02EA"/>
    <w:rsid w:val="0CB8153E"/>
    <w:rsid w:val="0CBB4B8B"/>
    <w:rsid w:val="0CC2416B"/>
    <w:rsid w:val="0CCA3020"/>
    <w:rsid w:val="0D417345"/>
    <w:rsid w:val="0DD405FA"/>
    <w:rsid w:val="0DDC1DC5"/>
    <w:rsid w:val="0E3C1CFB"/>
    <w:rsid w:val="0E4D1706"/>
    <w:rsid w:val="0E590AFF"/>
    <w:rsid w:val="0EA31D7A"/>
    <w:rsid w:val="0F9F2542"/>
    <w:rsid w:val="0FDF5034"/>
    <w:rsid w:val="103435D2"/>
    <w:rsid w:val="10753CA3"/>
    <w:rsid w:val="107B4D5D"/>
    <w:rsid w:val="10855BDB"/>
    <w:rsid w:val="10A67900"/>
    <w:rsid w:val="10AB7932"/>
    <w:rsid w:val="10D62AA4"/>
    <w:rsid w:val="112F78F5"/>
    <w:rsid w:val="11613351"/>
    <w:rsid w:val="11B36778"/>
    <w:rsid w:val="12080872"/>
    <w:rsid w:val="12103BCB"/>
    <w:rsid w:val="126A32DB"/>
    <w:rsid w:val="12C0739F"/>
    <w:rsid w:val="1351688D"/>
    <w:rsid w:val="13517FF7"/>
    <w:rsid w:val="13533D6F"/>
    <w:rsid w:val="13552B79"/>
    <w:rsid w:val="13561AB1"/>
    <w:rsid w:val="13793DF7"/>
    <w:rsid w:val="137E7A43"/>
    <w:rsid w:val="13E23345"/>
    <w:rsid w:val="13FB7F63"/>
    <w:rsid w:val="141C4A83"/>
    <w:rsid w:val="14214AFF"/>
    <w:rsid w:val="14354A58"/>
    <w:rsid w:val="144E2788"/>
    <w:rsid w:val="1451054A"/>
    <w:rsid w:val="14677422"/>
    <w:rsid w:val="146A4FD5"/>
    <w:rsid w:val="148B12E6"/>
    <w:rsid w:val="149C34F4"/>
    <w:rsid w:val="152E6B10"/>
    <w:rsid w:val="15311E8E"/>
    <w:rsid w:val="15437E13"/>
    <w:rsid w:val="156C736A"/>
    <w:rsid w:val="157C1645"/>
    <w:rsid w:val="1598015F"/>
    <w:rsid w:val="159D5775"/>
    <w:rsid w:val="15BF1042"/>
    <w:rsid w:val="15D47D5A"/>
    <w:rsid w:val="15FA2BC8"/>
    <w:rsid w:val="16041350"/>
    <w:rsid w:val="160C6457"/>
    <w:rsid w:val="161C0D90"/>
    <w:rsid w:val="16353AA0"/>
    <w:rsid w:val="164B6F7F"/>
    <w:rsid w:val="1656732A"/>
    <w:rsid w:val="16571DC8"/>
    <w:rsid w:val="169F376F"/>
    <w:rsid w:val="16A62408"/>
    <w:rsid w:val="16BA4105"/>
    <w:rsid w:val="17215529"/>
    <w:rsid w:val="175B58E8"/>
    <w:rsid w:val="1783656C"/>
    <w:rsid w:val="17944956"/>
    <w:rsid w:val="179A1DFB"/>
    <w:rsid w:val="17C117AD"/>
    <w:rsid w:val="17E10BD4"/>
    <w:rsid w:val="17E86A50"/>
    <w:rsid w:val="181939B9"/>
    <w:rsid w:val="18952734"/>
    <w:rsid w:val="18D74DC1"/>
    <w:rsid w:val="18EB2C9C"/>
    <w:rsid w:val="195E16BF"/>
    <w:rsid w:val="19A60971"/>
    <w:rsid w:val="19ED659F"/>
    <w:rsid w:val="1A6C12ED"/>
    <w:rsid w:val="1A9D7FC6"/>
    <w:rsid w:val="1AE259D8"/>
    <w:rsid w:val="1AED58EF"/>
    <w:rsid w:val="1B3501FE"/>
    <w:rsid w:val="1B960FA2"/>
    <w:rsid w:val="1BF51B10"/>
    <w:rsid w:val="1C2362A8"/>
    <w:rsid w:val="1C273FEB"/>
    <w:rsid w:val="1C424981"/>
    <w:rsid w:val="1C5A7422"/>
    <w:rsid w:val="1C940F54"/>
    <w:rsid w:val="1C9A2A0F"/>
    <w:rsid w:val="1CA078F9"/>
    <w:rsid w:val="1CA473E9"/>
    <w:rsid w:val="1CA76EDA"/>
    <w:rsid w:val="1CB12360"/>
    <w:rsid w:val="1CC82894"/>
    <w:rsid w:val="1CDC777D"/>
    <w:rsid w:val="1CFA2F29"/>
    <w:rsid w:val="1D747E59"/>
    <w:rsid w:val="1DB01DBE"/>
    <w:rsid w:val="1DB7314C"/>
    <w:rsid w:val="1DCA7323"/>
    <w:rsid w:val="1E430E84"/>
    <w:rsid w:val="1E4F7829"/>
    <w:rsid w:val="1E7159F1"/>
    <w:rsid w:val="1E982F7E"/>
    <w:rsid w:val="1EA3498E"/>
    <w:rsid w:val="1EBB0A1A"/>
    <w:rsid w:val="1EBF4137"/>
    <w:rsid w:val="1EFC175F"/>
    <w:rsid w:val="1F132604"/>
    <w:rsid w:val="1F1C595D"/>
    <w:rsid w:val="1F397F3B"/>
    <w:rsid w:val="1F3A0BB5"/>
    <w:rsid w:val="1F5A46D7"/>
    <w:rsid w:val="1F78690B"/>
    <w:rsid w:val="1FA92FCB"/>
    <w:rsid w:val="1FAB4B1F"/>
    <w:rsid w:val="1FB50AD1"/>
    <w:rsid w:val="1FBC7140"/>
    <w:rsid w:val="1FC252A5"/>
    <w:rsid w:val="20193BC8"/>
    <w:rsid w:val="202D76F6"/>
    <w:rsid w:val="204F3B10"/>
    <w:rsid w:val="20547008"/>
    <w:rsid w:val="20601879"/>
    <w:rsid w:val="206C021E"/>
    <w:rsid w:val="20981EA4"/>
    <w:rsid w:val="20A51947"/>
    <w:rsid w:val="20EC5803"/>
    <w:rsid w:val="21751354"/>
    <w:rsid w:val="2177331E"/>
    <w:rsid w:val="219A700D"/>
    <w:rsid w:val="21EF55AB"/>
    <w:rsid w:val="220D398C"/>
    <w:rsid w:val="22EA32EC"/>
    <w:rsid w:val="22F4099F"/>
    <w:rsid w:val="2301566F"/>
    <w:rsid w:val="23242385"/>
    <w:rsid w:val="23290648"/>
    <w:rsid w:val="23384D2F"/>
    <w:rsid w:val="234731C4"/>
    <w:rsid w:val="23825FAA"/>
    <w:rsid w:val="23CB7951"/>
    <w:rsid w:val="24165293"/>
    <w:rsid w:val="2482721D"/>
    <w:rsid w:val="2483647E"/>
    <w:rsid w:val="24A10BF5"/>
    <w:rsid w:val="24D70B68"/>
    <w:rsid w:val="24FB6014"/>
    <w:rsid w:val="2519649B"/>
    <w:rsid w:val="251E2F40"/>
    <w:rsid w:val="25203CCD"/>
    <w:rsid w:val="2584600A"/>
    <w:rsid w:val="258C3110"/>
    <w:rsid w:val="25B25F29"/>
    <w:rsid w:val="25DF5936"/>
    <w:rsid w:val="25E46AA9"/>
    <w:rsid w:val="26223BC6"/>
    <w:rsid w:val="26483AF9"/>
    <w:rsid w:val="264E6012"/>
    <w:rsid w:val="26802C75"/>
    <w:rsid w:val="26AB07CC"/>
    <w:rsid w:val="26E86A6C"/>
    <w:rsid w:val="26F62F37"/>
    <w:rsid w:val="275D2FB6"/>
    <w:rsid w:val="27610678"/>
    <w:rsid w:val="27873B8F"/>
    <w:rsid w:val="28593D52"/>
    <w:rsid w:val="287B63A6"/>
    <w:rsid w:val="28887BBF"/>
    <w:rsid w:val="28F25980"/>
    <w:rsid w:val="28F33BD2"/>
    <w:rsid w:val="292A336C"/>
    <w:rsid w:val="29613C02"/>
    <w:rsid w:val="29A0718A"/>
    <w:rsid w:val="29BD5D4E"/>
    <w:rsid w:val="29DD218D"/>
    <w:rsid w:val="2A111E36"/>
    <w:rsid w:val="2A383867"/>
    <w:rsid w:val="2A397C18"/>
    <w:rsid w:val="2A5015D5"/>
    <w:rsid w:val="2AB729DE"/>
    <w:rsid w:val="2AB949A8"/>
    <w:rsid w:val="2AF63392"/>
    <w:rsid w:val="2B856638"/>
    <w:rsid w:val="2BA67492"/>
    <w:rsid w:val="2C047EA4"/>
    <w:rsid w:val="2C66791C"/>
    <w:rsid w:val="2C673F8F"/>
    <w:rsid w:val="2C6B1CD2"/>
    <w:rsid w:val="2CB41783"/>
    <w:rsid w:val="2CC338BC"/>
    <w:rsid w:val="2CE00E0B"/>
    <w:rsid w:val="2D221D01"/>
    <w:rsid w:val="2D360531"/>
    <w:rsid w:val="2D531028"/>
    <w:rsid w:val="2D676A80"/>
    <w:rsid w:val="2D7A3266"/>
    <w:rsid w:val="2DCE2518"/>
    <w:rsid w:val="2DD41AF8"/>
    <w:rsid w:val="2DD9710F"/>
    <w:rsid w:val="2DDB4C35"/>
    <w:rsid w:val="2DE0224B"/>
    <w:rsid w:val="2DE53D06"/>
    <w:rsid w:val="2DFB7085"/>
    <w:rsid w:val="2E8E1A42"/>
    <w:rsid w:val="2EAA4B78"/>
    <w:rsid w:val="2EC95935"/>
    <w:rsid w:val="2F097580"/>
    <w:rsid w:val="2F5F2B72"/>
    <w:rsid w:val="2FAA0D63"/>
    <w:rsid w:val="2FC17E5A"/>
    <w:rsid w:val="2FCA6D0F"/>
    <w:rsid w:val="2FD01CE8"/>
    <w:rsid w:val="30C212F0"/>
    <w:rsid w:val="30D512C0"/>
    <w:rsid w:val="30E20088"/>
    <w:rsid w:val="312513B2"/>
    <w:rsid w:val="31995893"/>
    <w:rsid w:val="31B042BF"/>
    <w:rsid w:val="31DE2F46"/>
    <w:rsid w:val="31F12401"/>
    <w:rsid w:val="31FE5396"/>
    <w:rsid w:val="31FF5F72"/>
    <w:rsid w:val="32035D60"/>
    <w:rsid w:val="32195D2C"/>
    <w:rsid w:val="321B3C68"/>
    <w:rsid w:val="323F1C36"/>
    <w:rsid w:val="325154C6"/>
    <w:rsid w:val="326E6953"/>
    <w:rsid w:val="32847649"/>
    <w:rsid w:val="32C71C2C"/>
    <w:rsid w:val="32E427DE"/>
    <w:rsid w:val="32EC3440"/>
    <w:rsid w:val="33055DF4"/>
    <w:rsid w:val="33523A32"/>
    <w:rsid w:val="339B7340"/>
    <w:rsid w:val="33DA636A"/>
    <w:rsid w:val="33F848B7"/>
    <w:rsid w:val="34366616"/>
    <w:rsid w:val="345D2848"/>
    <w:rsid w:val="34637732"/>
    <w:rsid w:val="346C2A8B"/>
    <w:rsid w:val="34943D90"/>
    <w:rsid w:val="349A13A6"/>
    <w:rsid w:val="34B524C1"/>
    <w:rsid w:val="34D60CBB"/>
    <w:rsid w:val="35A23F2B"/>
    <w:rsid w:val="35E85214"/>
    <w:rsid w:val="360311CD"/>
    <w:rsid w:val="360D7E33"/>
    <w:rsid w:val="3659703F"/>
    <w:rsid w:val="36B71ED4"/>
    <w:rsid w:val="36B85B13"/>
    <w:rsid w:val="36D23A94"/>
    <w:rsid w:val="36D30B9F"/>
    <w:rsid w:val="36F56D67"/>
    <w:rsid w:val="376940D0"/>
    <w:rsid w:val="3790083E"/>
    <w:rsid w:val="37AE7F63"/>
    <w:rsid w:val="37B370E4"/>
    <w:rsid w:val="38204506"/>
    <w:rsid w:val="38DC4FA1"/>
    <w:rsid w:val="38ED03A5"/>
    <w:rsid w:val="38FB1FB4"/>
    <w:rsid w:val="39243934"/>
    <w:rsid w:val="39321D68"/>
    <w:rsid w:val="393517E8"/>
    <w:rsid w:val="396170BB"/>
    <w:rsid w:val="3A1C460B"/>
    <w:rsid w:val="3A777A93"/>
    <w:rsid w:val="3AC16F61"/>
    <w:rsid w:val="3ACA2C02"/>
    <w:rsid w:val="3ACC4283"/>
    <w:rsid w:val="3AE80991"/>
    <w:rsid w:val="3B3B4CAD"/>
    <w:rsid w:val="3B693880"/>
    <w:rsid w:val="3B903503"/>
    <w:rsid w:val="3B920829"/>
    <w:rsid w:val="3BAE6CD9"/>
    <w:rsid w:val="3BB84807"/>
    <w:rsid w:val="3C270B87"/>
    <w:rsid w:val="3C3000ED"/>
    <w:rsid w:val="3C371186"/>
    <w:rsid w:val="3C3C2D43"/>
    <w:rsid w:val="3CF25AF7"/>
    <w:rsid w:val="3D232399"/>
    <w:rsid w:val="3D2E2D19"/>
    <w:rsid w:val="3D31181A"/>
    <w:rsid w:val="3D485717"/>
    <w:rsid w:val="3DA037A5"/>
    <w:rsid w:val="3DC87CB2"/>
    <w:rsid w:val="3E18158D"/>
    <w:rsid w:val="3E216694"/>
    <w:rsid w:val="3E285C74"/>
    <w:rsid w:val="3E3839DE"/>
    <w:rsid w:val="3E4E3201"/>
    <w:rsid w:val="3E7C38CA"/>
    <w:rsid w:val="3E873BCC"/>
    <w:rsid w:val="3E9055C8"/>
    <w:rsid w:val="3EAD617A"/>
    <w:rsid w:val="3ECF7E9E"/>
    <w:rsid w:val="3EFB5137"/>
    <w:rsid w:val="3F1749BD"/>
    <w:rsid w:val="3F285800"/>
    <w:rsid w:val="3F2A77CA"/>
    <w:rsid w:val="3F4F365B"/>
    <w:rsid w:val="3F577E93"/>
    <w:rsid w:val="3F6A6789"/>
    <w:rsid w:val="3F7D78FA"/>
    <w:rsid w:val="3F9A5B70"/>
    <w:rsid w:val="3FA56E51"/>
    <w:rsid w:val="4050500F"/>
    <w:rsid w:val="40517EBE"/>
    <w:rsid w:val="405C7E57"/>
    <w:rsid w:val="409273D5"/>
    <w:rsid w:val="40D6427E"/>
    <w:rsid w:val="40EF3CF6"/>
    <w:rsid w:val="41093759"/>
    <w:rsid w:val="412D35A2"/>
    <w:rsid w:val="412F10C8"/>
    <w:rsid w:val="41380196"/>
    <w:rsid w:val="41415EFF"/>
    <w:rsid w:val="414F52C6"/>
    <w:rsid w:val="41D026B4"/>
    <w:rsid w:val="420A5691"/>
    <w:rsid w:val="42213106"/>
    <w:rsid w:val="425D589D"/>
    <w:rsid w:val="425F59DD"/>
    <w:rsid w:val="42770F78"/>
    <w:rsid w:val="42935686"/>
    <w:rsid w:val="42CB6A8E"/>
    <w:rsid w:val="43195B8C"/>
    <w:rsid w:val="43574906"/>
    <w:rsid w:val="43D1290A"/>
    <w:rsid w:val="43EA7528"/>
    <w:rsid w:val="44C47D79"/>
    <w:rsid w:val="44CB55AC"/>
    <w:rsid w:val="44F45243"/>
    <w:rsid w:val="45100658"/>
    <w:rsid w:val="452567EA"/>
    <w:rsid w:val="456B16B7"/>
    <w:rsid w:val="45921C25"/>
    <w:rsid w:val="45E16709"/>
    <w:rsid w:val="46207231"/>
    <w:rsid w:val="465313B5"/>
    <w:rsid w:val="4654337F"/>
    <w:rsid w:val="46603AD2"/>
    <w:rsid w:val="46886BA6"/>
    <w:rsid w:val="471A1ED2"/>
    <w:rsid w:val="4743767B"/>
    <w:rsid w:val="47777325"/>
    <w:rsid w:val="477E5B11"/>
    <w:rsid w:val="478657BA"/>
    <w:rsid w:val="47CA7D9C"/>
    <w:rsid w:val="47F46BC7"/>
    <w:rsid w:val="481132D5"/>
    <w:rsid w:val="48524AAD"/>
    <w:rsid w:val="48627FD5"/>
    <w:rsid w:val="48861F15"/>
    <w:rsid w:val="490552AA"/>
    <w:rsid w:val="49AB59AC"/>
    <w:rsid w:val="4A003601"/>
    <w:rsid w:val="4A0B1FA6"/>
    <w:rsid w:val="4A1277D9"/>
    <w:rsid w:val="4A260766"/>
    <w:rsid w:val="4AF869CF"/>
    <w:rsid w:val="4B315A3D"/>
    <w:rsid w:val="4B7A4CDC"/>
    <w:rsid w:val="4B8225F6"/>
    <w:rsid w:val="4B944C64"/>
    <w:rsid w:val="4C3E2B07"/>
    <w:rsid w:val="4C577725"/>
    <w:rsid w:val="4C63431C"/>
    <w:rsid w:val="4C935807"/>
    <w:rsid w:val="4CAC7A71"/>
    <w:rsid w:val="4CB87FAD"/>
    <w:rsid w:val="4CF22EBA"/>
    <w:rsid w:val="4D21045F"/>
    <w:rsid w:val="4D4C3002"/>
    <w:rsid w:val="4D7F33D7"/>
    <w:rsid w:val="4DA90454"/>
    <w:rsid w:val="4E516B22"/>
    <w:rsid w:val="4E9F7959"/>
    <w:rsid w:val="4ECF5C98"/>
    <w:rsid w:val="4F245FE4"/>
    <w:rsid w:val="4F6E3703"/>
    <w:rsid w:val="4FFA680C"/>
    <w:rsid w:val="503E1327"/>
    <w:rsid w:val="505A6C95"/>
    <w:rsid w:val="50981A4B"/>
    <w:rsid w:val="50BD3AD5"/>
    <w:rsid w:val="50EF43D0"/>
    <w:rsid w:val="50FF09C9"/>
    <w:rsid w:val="51024103"/>
    <w:rsid w:val="51143E36"/>
    <w:rsid w:val="5177586B"/>
    <w:rsid w:val="51842D6A"/>
    <w:rsid w:val="519A2E90"/>
    <w:rsid w:val="51A90A23"/>
    <w:rsid w:val="520420FD"/>
    <w:rsid w:val="52390069"/>
    <w:rsid w:val="524F431A"/>
    <w:rsid w:val="52500E9E"/>
    <w:rsid w:val="52861534"/>
    <w:rsid w:val="528D1696"/>
    <w:rsid w:val="52AD183E"/>
    <w:rsid w:val="52CB2821"/>
    <w:rsid w:val="52CC5908"/>
    <w:rsid w:val="530879CB"/>
    <w:rsid w:val="53B65415"/>
    <w:rsid w:val="53FD0BB2"/>
    <w:rsid w:val="53FF0DCE"/>
    <w:rsid w:val="540957A8"/>
    <w:rsid w:val="542F765C"/>
    <w:rsid w:val="543E06FA"/>
    <w:rsid w:val="54596730"/>
    <w:rsid w:val="546463D8"/>
    <w:rsid w:val="54813591"/>
    <w:rsid w:val="54914939"/>
    <w:rsid w:val="54B576DE"/>
    <w:rsid w:val="54D758A7"/>
    <w:rsid w:val="54E34B9A"/>
    <w:rsid w:val="54EB5EC1"/>
    <w:rsid w:val="54F226E1"/>
    <w:rsid w:val="55052414"/>
    <w:rsid w:val="553D1BAE"/>
    <w:rsid w:val="554D13F6"/>
    <w:rsid w:val="55766E6E"/>
    <w:rsid w:val="55B94FAC"/>
    <w:rsid w:val="55F3226C"/>
    <w:rsid w:val="56165297"/>
    <w:rsid w:val="56B24C1F"/>
    <w:rsid w:val="56CF0F2B"/>
    <w:rsid w:val="56E16569"/>
    <w:rsid w:val="570457DB"/>
    <w:rsid w:val="571C57F3"/>
    <w:rsid w:val="57580486"/>
    <w:rsid w:val="575E462C"/>
    <w:rsid w:val="57D63BF4"/>
    <w:rsid w:val="587D519F"/>
    <w:rsid w:val="589A7317"/>
    <w:rsid w:val="59B52E52"/>
    <w:rsid w:val="59B90367"/>
    <w:rsid w:val="59DA41E0"/>
    <w:rsid w:val="5A2375CC"/>
    <w:rsid w:val="5A2424B3"/>
    <w:rsid w:val="5A2F4B9E"/>
    <w:rsid w:val="5A3906A0"/>
    <w:rsid w:val="5A7B6CD4"/>
    <w:rsid w:val="5A9919E3"/>
    <w:rsid w:val="5AAE70AA"/>
    <w:rsid w:val="5ABF12B7"/>
    <w:rsid w:val="5B2A7B0A"/>
    <w:rsid w:val="5B411CCC"/>
    <w:rsid w:val="5B417B6B"/>
    <w:rsid w:val="5B54373E"/>
    <w:rsid w:val="5B8027F4"/>
    <w:rsid w:val="5B81656C"/>
    <w:rsid w:val="5BC745F2"/>
    <w:rsid w:val="5BCD3B32"/>
    <w:rsid w:val="5C3F7E9C"/>
    <w:rsid w:val="5C5F065B"/>
    <w:rsid w:val="5C6F4617"/>
    <w:rsid w:val="5C982768"/>
    <w:rsid w:val="5CA161B2"/>
    <w:rsid w:val="5CBC5AAE"/>
    <w:rsid w:val="5CC543A9"/>
    <w:rsid w:val="5CE46DB3"/>
    <w:rsid w:val="5D1F7DEB"/>
    <w:rsid w:val="5D3C6BEF"/>
    <w:rsid w:val="5E1A1D8F"/>
    <w:rsid w:val="5E2865BB"/>
    <w:rsid w:val="5E3577AE"/>
    <w:rsid w:val="5EB855B3"/>
    <w:rsid w:val="5EE21916"/>
    <w:rsid w:val="5F0E295E"/>
    <w:rsid w:val="5F1871E8"/>
    <w:rsid w:val="5F2416E8"/>
    <w:rsid w:val="5F261B1F"/>
    <w:rsid w:val="5F3B6A32"/>
    <w:rsid w:val="5F4417E0"/>
    <w:rsid w:val="5F6E5059"/>
    <w:rsid w:val="5F88669E"/>
    <w:rsid w:val="5FF94923"/>
    <w:rsid w:val="5FF9750B"/>
    <w:rsid w:val="606F72DB"/>
    <w:rsid w:val="60D22077"/>
    <w:rsid w:val="60F035F8"/>
    <w:rsid w:val="61483DB4"/>
    <w:rsid w:val="61D373F6"/>
    <w:rsid w:val="61F03F10"/>
    <w:rsid w:val="61FD4500"/>
    <w:rsid w:val="622A5268"/>
    <w:rsid w:val="622F04A1"/>
    <w:rsid w:val="62707B3A"/>
    <w:rsid w:val="62A768B8"/>
    <w:rsid w:val="62B334AF"/>
    <w:rsid w:val="62DF24F6"/>
    <w:rsid w:val="63BC45E5"/>
    <w:rsid w:val="63C86026"/>
    <w:rsid w:val="63F0603D"/>
    <w:rsid w:val="64436AB5"/>
    <w:rsid w:val="645C0879"/>
    <w:rsid w:val="64741C1C"/>
    <w:rsid w:val="647D689B"/>
    <w:rsid w:val="648C064A"/>
    <w:rsid w:val="649F2599"/>
    <w:rsid w:val="65055B18"/>
    <w:rsid w:val="651641C9"/>
    <w:rsid w:val="656B3097"/>
    <w:rsid w:val="65742119"/>
    <w:rsid w:val="657F2DFA"/>
    <w:rsid w:val="65A44D2D"/>
    <w:rsid w:val="65B0271E"/>
    <w:rsid w:val="65C43C25"/>
    <w:rsid w:val="65EF1521"/>
    <w:rsid w:val="665C4848"/>
    <w:rsid w:val="66AB4942"/>
    <w:rsid w:val="66DC0AFB"/>
    <w:rsid w:val="66F67E0E"/>
    <w:rsid w:val="67303449"/>
    <w:rsid w:val="679E1DF4"/>
    <w:rsid w:val="67E73776"/>
    <w:rsid w:val="687951D6"/>
    <w:rsid w:val="688431F8"/>
    <w:rsid w:val="689077D1"/>
    <w:rsid w:val="68AB69AF"/>
    <w:rsid w:val="68D653C8"/>
    <w:rsid w:val="68D85250"/>
    <w:rsid w:val="69470DF5"/>
    <w:rsid w:val="696077C1"/>
    <w:rsid w:val="698D4180"/>
    <w:rsid w:val="69AF055A"/>
    <w:rsid w:val="69B51B3F"/>
    <w:rsid w:val="69BF098B"/>
    <w:rsid w:val="69C441F4"/>
    <w:rsid w:val="6AAD6A36"/>
    <w:rsid w:val="6B182A49"/>
    <w:rsid w:val="6B511AB7"/>
    <w:rsid w:val="6B762D04"/>
    <w:rsid w:val="6BE9595D"/>
    <w:rsid w:val="6C8C5F63"/>
    <w:rsid w:val="6CCD1611"/>
    <w:rsid w:val="6D1A1931"/>
    <w:rsid w:val="6D1F0B58"/>
    <w:rsid w:val="6D321474"/>
    <w:rsid w:val="6D3654A5"/>
    <w:rsid w:val="6DA71E62"/>
    <w:rsid w:val="6DB602F7"/>
    <w:rsid w:val="6DE7336D"/>
    <w:rsid w:val="6E22598D"/>
    <w:rsid w:val="6E3B6A4F"/>
    <w:rsid w:val="6E3F02ED"/>
    <w:rsid w:val="6EB24C26"/>
    <w:rsid w:val="6ED24CBD"/>
    <w:rsid w:val="6EE47BF5"/>
    <w:rsid w:val="6F047014"/>
    <w:rsid w:val="6F0E46F1"/>
    <w:rsid w:val="6F751AEC"/>
    <w:rsid w:val="709E54A1"/>
    <w:rsid w:val="70D50A94"/>
    <w:rsid w:val="718F6E95"/>
    <w:rsid w:val="71A32941"/>
    <w:rsid w:val="71FD0B25"/>
    <w:rsid w:val="720B620B"/>
    <w:rsid w:val="721147C0"/>
    <w:rsid w:val="721A6835"/>
    <w:rsid w:val="72823C75"/>
    <w:rsid w:val="729F75AC"/>
    <w:rsid w:val="72A430EE"/>
    <w:rsid w:val="72BE68BD"/>
    <w:rsid w:val="72C708B1"/>
    <w:rsid w:val="72EE22E1"/>
    <w:rsid w:val="73075151"/>
    <w:rsid w:val="731F249B"/>
    <w:rsid w:val="739A5FC5"/>
    <w:rsid w:val="73C83C54"/>
    <w:rsid w:val="74170E85"/>
    <w:rsid w:val="74392095"/>
    <w:rsid w:val="7447614D"/>
    <w:rsid w:val="74975370"/>
    <w:rsid w:val="74AA60C2"/>
    <w:rsid w:val="74DE3871"/>
    <w:rsid w:val="75096F5F"/>
    <w:rsid w:val="751E6757"/>
    <w:rsid w:val="752B3379"/>
    <w:rsid w:val="759321B8"/>
    <w:rsid w:val="75954C96"/>
    <w:rsid w:val="759E1D9D"/>
    <w:rsid w:val="75CD2682"/>
    <w:rsid w:val="75DA08FB"/>
    <w:rsid w:val="75DC35E9"/>
    <w:rsid w:val="762F6E99"/>
    <w:rsid w:val="767F69B6"/>
    <w:rsid w:val="769E5BA6"/>
    <w:rsid w:val="77184DE6"/>
    <w:rsid w:val="77AE2E62"/>
    <w:rsid w:val="77BE6726"/>
    <w:rsid w:val="77ED2E5B"/>
    <w:rsid w:val="77FA11D3"/>
    <w:rsid w:val="77FD1797"/>
    <w:rsid w:val="78120820"/>
    <w:rsid w:val="782C4FAF"/>
    <w:rsid w:val="789E20B4"/>
    <w:rsid w:val="789E6834"/>
    <w:rsid w:val="78AF2513"/>
    <w:rsid w:val="78ED1F7D"/>
    <w:rsid w:val="78FB3F8B"/>
    <w:rsid w:val="791365FE"/>
    <w:rsid w:val="794A5D98"/>
    <w:rsid w:val="79521FAF"/>
    <w:rsid w:val="797F3C93"/>
    <w:rsid w:val="79986B03"/>
    <w:rsid w:val="79DD67E6"/>
    <w:rsid w:val="7A545120"/>
    <w:rsid w:val="7A684727"/>
    <w:rsid w:val="7AB23BF5"/>
    <w:rsid w:val="7AD26045"/>
    <w:rsid w:val="7AE81103"/>
    <w:rsid w:val="7B25086A"/>
    <w:rsid w:val="7BCF79D9"/>
    <w:rsid w:val="7BDA1655"/>
    <w:rsid w:val="7BDE7397"/>
    <w:rsid w:val="7C0304D8"/>
    <w:rsid w:val="7C1A4C7A"/>
    <w:rsid w:val="7C2974E5"/>
    <w:rsid w:val="7C444892"/>
    <w:rsid w:val="7C55371E"/>
    <w:rsid w:val="7CAE7448"/>
    <w:rsid w:val="7CB43E57"/>
    <w:rsid w:val="7CB62772"/>
    <w:rsid w:val="7CCD4D16"/>
    <w:rsid w:val="7D6F401F"/>
    <w:rsid w:val="7D9D293A"/>
    <w:rsid w:val="7DBB1012"/>
    <w:rsid w:val="7DF36BF7"/>
    <w:rsid w:val="7DF764EE"/>
    <w:rsid w:val="7E33504C"/>
    <w:rsid w:val="7E543E84"/>
    <w:rsid w:val="7E7F0292"/>
    <w:rsid w:val="7EAC5767"/>
    <w:rsid w:val="7EC90255"/>
    <w:rsid w:val="7EF40C80"/>
    <w:rsid w:val="7F565496"/>
    <w:rsid w:val="7F620EF8"/>
    <w:rsid w:val="7FED310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line="0" w:lineRule="atLeast"/>
      <w:jc w:val="center"/>
      <w:outlineLvl w:val="1"/>
    </w:pPr>
    <w:rPr>
      <w:kern w:val="0"/>
      <w:sz w:val="28"/>
    </w:rPr>
  </w:style>
  <w:style w:type="paragraph" w:styleId="4">
    <w:name w:val="heading 3"/>
    <w:basedOn w:val="1"/>
    <w:next w:val="1"/>
    <w:link w:val="44"/>
    <w:qFormat/>
    <w:uiPriority w:val="0"/>
    <w:pPr>
      <w:keepNext/>
      <w:keepLines/>
      <w:spacing w:before="260" w:after="260" w:line="416" w:lineRule="auto"/>
      <w:outlineLvl w:val="2"/>
    </w:pPr>
    <w:rPr>
      <w:b/>
      <w:bCs/>
      <w:sz w:val="32"/>
      <w:szCs w:val="32"/>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5">
    <w:name w:val="index 8"/>
    <w:basedOn w:val="1"/>
    <w:next w:val="1"/>
    <w:qFormat/>
    <w:uiPriority w:val="0"/>
    <w:pPr>
      <w:ind w:left="1400" w:leftChars="1400"/>
    </w:pPr>
  </w:style>
  <w:style w:type="paragraph" w:styleId="6">
    <w:name w:val="caption"/>
    <w:basedOn w:val="1"/>
    <w:next w:val="1"/>
    <w:qFormat/>
    <w:uiPriority w:val="0"/>
    <w:rPr>
      <w:rFonts w:ascii="Cambria" w:hAnsi="Cambria" w:eastAsia="黑体"/>
      <w:sz w:val="20"/>
    </w:rPr>
  </w:style>
  <w:style w:type="paragraph" w:styleId="7">
    <w:name w:val="Document Map"/>
    <w:basedOn w:val="1"/>
    <w:link w:val="52"/>
    <w:qFormat/>
    <w:uiPriority w:val="0"/>
    <w:rPr>
      <w:rFonts w:ascii="宋体"/>
      <w:sz w:val="18"/>
      <w:szCs w:val="18"/>
    </w:rPr>
  </w:style>
  <w:style w:type="paragraph" w:styleId="8">
    <w:name w:val="annotation text"/>
    <w:basedOn w:val="1"/>
    <w:link w:val="51"/>
    <w:qFormat/>
    <w:uiPriority w:val="0"/>
    <w:pPr>
      <w:jc w:val="left"/>
    </w:pPr>
  </w:style>
  <w:style w:type="paragraph" w:styleId="9">
    <w:name w:val="Body Text 3"/>
    <w:basedOn w:val="1"/>
    <w:qFormat/>
    <w:uiPriority w:val="0"/>
    <w:pPr>
      <w:spacing w:after="120"/>
    </w:pPr>
    <w:rPr>
      <w:sz w:val="16"/>
      <w:szCs w:val="16"/>
    </w:rPr>
  </w:style>
  <w:style w:type="paragraph" w:styleId="10">
    <w:name w:val="Body Text"/>
    <w:basedOn w:val="1"/>
    <w:next w:val="11"/>
    <w:link w:val="49"/>
    <w:qFormat/>
    <w:uiPriority w:val="99"/>
    <w:pPr>
      <w:spacing w:after="120"/>
    </w:pPr>
  </w:style>
  <w:style w:type="paragraph" w:customStyle="1" w:styleId="11">
    <w:name w:val="Body Text 21"/>
    <w:basedOn w:val="1"/>
    <w:next w:val="10"/>
    <w:qFormat/>
    <w:uiPriority w:val="0"/>
    <w:rPr>
      <w:rFonts w:ascii="ˎ̥" w:hAnsi="ˎ̥" w:cs="宋体"/>
      <w:b/>
      <w:sz w:val="32"/>
    </w:rPr>
  </w:style>
  <w:style w:type="paragraph" w:styleId="12">
    <w:name w:val="Body Text Indent"/>
    <w:basedOn w:val="1"/>
    <w:qFormat/>
    <w:uiPriority w:val="0"/>
    <w:pPr>
      <w:ind w:firstLine="632" w:firstLineChars="200"/>
    </w:pPr>
    <w:rPr>
      <w:rFonts w:ascii="仿宋_GB2312" w:hAnsi="华文楷体" w:eastAsia="仿宋_GB2312"/>
      <w:sz w:val="32"/>
    </w:rPr>
  </w:style>
  <w:style w:type="paragraph" w:styleId="13">
    <w:name w:val="List 2"/>
    <w:basedOn w:val="1"/>
    <w:qFormat/>
    <w:uiPriority w:val="0"/>
    <w:pPr>
      <w:ind w:left="400" w:leftChars="200" w:hanging="200" w:hangingChars="200"/>
    </w:pPr>
  </w:style>
  <w:style w:type="paragraph" w:styleId="14">
    <w:name w:val="Plain Text"/>
    <w:basedOn w:val="1"/>
    <w:link w:val="57"/>
    <w:qFormat/>
    <w:uiPriority w:val="99"/>
    <w:rPr>
      <w:rFonts w:ascii="宋体" w:hAnsi="Courier New"/>
      <w:szCs w:val="20"/>
    </w:rPr>
  </w:style>
  <w:style w:type="paragraph" w:styleId="15">
    <w:name w:val="Date"/>
    <w:basedOn w:val="1"/>
    <w:next w:val="1"/>
    <w:link w:val="53"/>
    <w:qFormat/>
    <w:uiPriority w:val="0"/>
    <w:pPr>
      <w:ind w:left="100" w:leftChars="2500"/>
    </w:pPr>
  </w:style>
  <w:style w:type="paragraph" w:styleId="16">
    <w:name w:val="Body Text Indent 2"/>
    <w:basedOn w:val="1"/>
    <w:qFormat/>
    <w:uiPriority w:val="0"/>
    <w:pPr>
      <w:spacing w:after="120" w:line="480" w:lineRule="auto"/>
      <w:ind w:left="420" w:leftChars="200"/>
    </w:pPr>
  </w:style>
  <w:style w:type="paragraph" w:styleId="17">
    <w:name w:val="Balloon Text"/>
    <w:basedOn w:val="1"/>
    <w:qFormat/>
    <w:uiPriority w:val="0"/>
    <w:rPr>
      <w:sz w:val="18"/>
      <w:szCs w:val="18"/>
    </w:rPr>
  </w:style>
  <w:style w:type="paragraph" w:styleId="18">
    <w:name w:val="footer"/>
    <w:basedOn w:val="1"/>
    <w:link w:val="74"/>
    <w:qFormat/>
    <w:uiPriority w:val="99"/>
    <w:pPr>
      <w:tabs>
        <w:tab w:val="center" w:pos="4153"/>
        <w:tab w:val="right" w:pos="8306"/>
      </w:tabs>
      <w:snapToGrid w:val="0"/>
      <w:jc w:val="left"/>
    </w:pPr>
    <w:rPr>
      <w:sz w:val="18"/>
      <w:szCs w:val="18"/>
    </w:rPr>
  </w:style>
  <w:style w:type="paragraph" w:styleId="19">
    <w:name w:val="envelope return"/>
    <w:basedOn w:val="1"/>
    <w:qFormat/>
    <w:uiPriority w:val="99"/>
    <w:pPr>
      <w:snapToGrid w:val="0"/>
    </w:pPr>
    <w:rPr>
      <w:rFonts w:ascii="Arial" w:hAnsi="Arial"/>
    </w:rPr>
  </w:style>
  <w:style w:type="paragraph" w:styleId="20">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120" w:after="120"/>
      <w:jc w:val="left"/>
    </w:pPr>
    <w:rPr>
      <w:caps/>
    </w:rPr>
  </w:style>
  <w:style w:type="paragraph" w:styleId="22">
    <w:name w:val="footnote text"/>
    <w:basedOn w:val="1"/>
    <w:qFormat/>
    <w:uiPriority w:val="99"/>
    <w:pPr>
      <w:snapToGrid w:val="0"/>
      <w:jc w:val="left"/>
    </w:pPr>
    <w:rPr>
      <w:sz w:val="18"/>
      <w:szCs w:val="18"/>
    </w:rPr>
  </w:style>
  <w:style w:type="paragraph" w:styleId="23">
    <w:name w:val="Body Text 2"/>
    <w:basedOn w:val="1"/>
    <w:link w:val="71"/>
    <w:qFormat/>
    <w:uiPriority w:val="0"/>
    <w:pPr>
      <w:spacing w:after="120" w:line="480" w:lineRule="auto"/>
    </w:pPr>
  </w:style>
  <w:style w:type="paragraph" w:styleId="24">
    <w:name w:val="Message Header"/>
    <w:basedOn w:val="1"/>
    <w:next w:val="25"/>
    <w:qFormat/>
    <w:uiPriority w:val="0"/>
    <w:pPr>
      <w:widowControl/>
      <w:shd w:val="pct20" w:color="000000" w:fill="auto"/>
      <w:ind w:left="1080" w:hanging="1080"/>
    </w:pPr>
    <w:rPr>
      <w:rFonts w:ascii="Cambria" w:hAnsi="Cambria" w:eastAsia="Cambria"/>
      <w:sz w:val="24"/>
    </w:rPr>
  </w:style>
  <w:style w:type="paragraph" w:customStyle="1" w:styleId="25">
    <w:name w:val="我的正文"/>
    <w:basedOn w:val="12"/>
    <w:qFormat/>
    <w:uiPriority w:val="0"/>
    <w:pPr>
      <w:spacing w:line="500" w:lineRule="exact"/>
      <w:ind w:firstLine="480" w:firstLineChars="200"/>
    </w:pPr>
    <w:rPr>
      <w:sz w:val="24"/>
    </w:rPr>
  </w:style>
  <w:style w:type="paragraph" w:styleId="26">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7">
    <w:name w:val="Body Text First Indent"/>
    <w:basedOn w:val="10"/>
    <w:link w:val="48"/>
    <w:qFormat/>
    <w:uiPriority w:val="0"/>
    <w:pPr>
      <w:ind w:firstLine="420" w:firstLineChars="100"/>
    </w:pPr>
  </w:style>
  <w:style w:type="paragraph" w:styleId="28">
    <w:name w:val="Body Text First Indent 2"/>
    <w:basedOn w:val="12"/>
    <w:qFormat/>
    <w:uiPriority w:val="99"/>
    <w:pPr>
      <w:tabs>
        <w:tab w:val="left" w:pos="0"/>
        <w:tab w:val="left" w:pos="993"/>
        <w:tab w:val="left" w:pos="1134"/>
      </w:tabs>
      <w:ind w:firstLine="420"/>
    </w:pPr>
  </w:style>
  <w:style w:type="table" w:styleId="30">
    <w:name w:val="Table Grid"/>
    <w:basedOn w:val="2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2">
    <w:name w:val="Strong"/>
    <w:qFormat/>
    <w:uiPriority w:val="22"/>
    <w:rPr>
      <w:b/>
      <w:bCs/>
    </w:rPr>
  </w:style>
  <w:style w:type="character" w:styleId="33">
    <w:name w:val="page number"/>
    <w:basedOn w:val="31"/>
    <w:qFormat/>
    <w:uiPriority w:val="0"/>
  </w:style>
  <w:style w:type="character" w:styleId="34">
    <w:name w:val="FollowedHyperlink"/>
    <w:basedOn w:val="31"/>
    <w:qFormat/>
    <w:uiPriority w:val="0"/>
    <w:rPr>
      <w:color w:val="000000"/>
      <w:u w:val="none"/>
    </w:rPr>
  </w:style>
  <w:style w:type="character" w:styleId="35">
    <w:name w:val="Hyperlink"/>
    <w:qFormat/>
    <w:uiPriority w:val="0"/>
    <w:rPr>
      <w:color w:val="333333"/>
      <w:u w:val="none"/>
    </w:rPr>
  </w:style>
  <w:style w:type="character" w:styleId="36">
    <w:name w:val="annotation reference"/>
    <w:qFormat/>
    <w:uiPriority w:val="99"/>
    <w:rPr>
      <w:sz w:val="21"/>
    </w:rPr>
  </w:style>
  <w:style w:type="paragraph" w:customStyle="1" w:styleId="37">
    <w:name w:val="BodyText1I"/>
    <w:basedOn w:val="38"/>
    <w:qFormat/>
    <w:uiPriority w:val="99"/>
    <w:pPr>
      <w:ind w:firstLine="420" w:firstLineChars="100"/>
    </w:pPr>
  </w:style>
  <w:style w:type="paragraph" w:customStyle="1" w:styleId="38">
    <w:name w:val="BodyText"/>
    <w:basedOn w:val="1"/>
    <w:qFormat/>
    <w:uiPriority w:val="99"/>
    <w:pPr>
      <w:spacing w:after="120"/>
    </w:pPr>
  </w:style>
  <w:style w:type="paragraph" w:customStyle="1" w:styleId="39">
    <w:name w:val="Default"/>
    <w:next w:val="5"/>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40">
    <w:name w:val="Char Char10 Char Char Char Char"/>
    <w:basedOn w:val="1"/>
    <w:next w:val="41"/>
    <w:qFormat/>
    <w:uiPriority w:val="0"/>
    <w:rPr>
      <w:rFonts w:ascii="Times New Roman" w:hAnsi="Times New Roman" w:eastAsia="宋体" w:cs="Times New Roman"/>
    </w:rPr>
  </w:style>
  <w:style w:type="paragraph" w:customStyle="1" w:styleId="41">
    <w:name w:val="xl87"/>
    <w:basedOn w:val="1"/>
    <w:next w:val="42"/>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kern w:val="0"/>
      <w:sz w:val="20"/>
    </w:rPr>
  </w:style>
  <w:style w:type="paragraph" w:customStyle="1" w:styleId="42">
    <w:name w:val="xl72"/>
    <w:basedOn w:val="1"/>
    <w:next w:val="15"/>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仿宋_GB2312" w:hAnsi="宋体" w:eastAsia="仿宋_GB2312" w:cs="宋体"/>
      <w:kern w:val="0"/>
      <w:sz w:val="20"/>
    </w:rPr>
  </w:style>
  <w:style w:type="paragraph" w:customStyle="1" w:styleId="43">
    <w:name w:val="无间隔1"/>
    <w:next w:val="6"/>
    <w:qFormat/>
    <w:uiPriority w:val="0"/>
    <w:pPr>
      <w:widowControl w:val="0"/>
      <w:jc w:val="both"/>
    </w:pPr>
    <w:rPr>
      <w:rFonts w:ascii="Calibri" w:hAnsi="Calibri" w:eastAsia="宋体" w:cs="Times New Roman"/>
      <w:kern w:val="2"/>
      <w:sz w:val="21"/>
      <w:szCs w:val="22"/>
      <w:lang w:val="en-US" w:eastAsia="zh-CN" w:bidi="ar-SA"/>
    </w:rPr>
  </w:style>
  <w:style w:type="character" w:customStyle="1" w:styleId="44">
    <w:name w:val="标题 3 字符"/>
    <w:link w:val="4"/>
    <w:semiHidden/>
    <w:qFormat/>
    <w:uiPriority w:val="0"/>
    <w:rPr>
      <w:b/>
      <w:bCs/>
      <w:kern w:val="2"/>
      <w:sz w:val="32"/>
      <w:szCs w:val="32"/>
    </w:rPr>
  </w:style>
  <w:style w:type="character" w:customStyle="1" w:styleId="45">
    <w:name w:val="font231"/>
    <w:qFormat/>
    <w:uiPriority w:val="0"/>
    <w:rPr>
      <w:rFonts w:hint="eastAsia" w:ascii="宋体" w:hAnsi="宋体" w:eastAsia="宋体" w:cs="宋体"/>
      <w:color w:val="000000"/>
      <w:sz w:val="22"/>
      <w:szCs w:val="22"/>
      <w:u w:val="none"/>
    </w:rPr>
  </w:style>
  <w:style w:type="character" w:customStyle="1" w:styleId="46">
    <w:name w:val="font11"/>
    <w:qFormat/>
    <w:uiPriority w:val="0"/>
    <w:rPr>
      <w:rFonts w:hint="default" w:ascii="Times New Roman" w:hAnsi="Times New Roman" w:cs="Times New Roman"/>
      <w:color w:val="000000"/>
      <w:sz w:val="18"/>
      <w:szCs w:val="18"/>
      <w:u w:val="none"/>
    </w:rPr>
  </w:style>
  <w:style w:type="character" w:customStyle="1" w:styleId="47">
    <w:name w:val="font191"/>
    <w:qFormat/>
    <w:uiPriority w:val="0"/>
    <w:rPr>
      <w:rFonts w:hint="default" w:ascii="Calibri" w:hAnsi="Calibri" w:cs="Calibri"/>
      <w:color w:val="000000"/>
      <w:sz w:val="22"/>
      <w:szCs w:val="22"/>
      <w:u w:val="none"/>
    </w:rPr>
  </w:style>
  <w:style w:type="character" w:customStyle="1" w:styleId="48">
    <w:name w:val="正文文本首行缩进 字符"/>
    <w:link w:val="27"/>
    <w:qFormat/>
    <w:uiPriority w:val="0"/>
    <w:rPr>
      <w:kern w:val="2"/>
      <w:sz w:val="21"/>
      <w:szCs w:val="24"/>
    </w:rPr>
  </w:style>
  <w:style w:type="character" w:customStyle="1" w:styleId="49">
    <w:name w:val="正文文本 字符"/>
    <w:link w:val="10"/>
    <w:qFormat/>
    <w:uiPriority w:val="99"/>
    <w:rPr>
      <w:kern w:val="2"/>
      <w:sz w:val="21"/>
      <w:szCs w:val="24"/>
    </w:rPr>
  </w:style>
  <w:style w:type="character" w:customStyle="1" w:styleId="50">
    <w:name w:val="font151"/>
    <w:qFormat/>
    <w:uiPriority w:val="0"/>
    <w:rPr>
      <w:rFonts w:hint="default" w:ascii="Calibri" w:hAnsi="Calibri" w:cs="Calibri"/>
      <w:color w:val="000000"/>
      <w:sz w:val="22"/>
      <w:szCs w:val="22"/>
      <w:u w:val="none"/>
    </w:rPr>
  </w:style>
  <w:style w:type="character" w:customStyle="1" w:styleId="51">
    <w:name w:val="批注文字 字符"/>
    <w:link w:val="8"/>
    <w:qFormat/>
    <w:uiPriority w:val="0"/>
    <w:rPr>
      <w:kern w:val="2"/>
      <w:sz w:val="21"/>
      <w:szCs w:val="24"/>
    </w:rPr>
  </w:style>
  <w:style w:type="character" w:customStyle="1" w:styleId="52">
    <w:name w:val="文档结构图 字符"/>
    <w:link w:val="7"/>
    <w:qFormat/>
    <w:uiPriority w:val="0"/>
    <w:rPr>
      <w:rFonts w:ascii="宋体"/>
      <w:kern w:val="2"/>
      <w:sz w:val="18"/>
      <w:szCs w:val="18"/>
    </w:rPr>
  </w:style>
  <w:style w:type="character" w:customStyle="1" w:styleId="53">
    <w:name w:val="日期 字符"/>
    <w:link w:val="15"/>
    <w:qFormat/>
    <w:uiPriority w:val="0"/>
    <w:rPr>
      <w:kern w:val="2"/>
      <w:sz w:val="21"/>
      <w:szCs w:val="24"/>
    </w:rPr>
  </w:style>
  <w:style w:type="character" w:customStyle="1" w:styleId="54">
    <w:name w:val="font221"/>
    <w:qFormat/>
    <w:uiPriority w:val="0"/>
    <w:rPr>
      <w:rFonts w:hint="eastAsia" w:ascii="宋体" w:hAnsi="宋体" w:eastAsia="宋体" w:cs="宋体"/>
      <w:color w:val="000000"/>
      <w:sz w:val="20"/>
      <w:szCs w:val="20"/>
      <w:u w:val="none"/>
    </w:rPr>
  </w:style>
  <w:style w:type="character" w:customStyle="1" w:styleId="55">
    <w:name w:val="font61"/>
    <w:qFormat/>
    <w:uiPriority w:val="0"/>
    <w:rPr>
      <w:rFonts w:hint="eastAsia" w:ascii="宋体" w:hAnsi="宋体" w:eastAsia="宋体" w:cs="宋体"/>
      <w:color w:val="FF0000"/>
      <w:sz w:val="22"/>
      <w:szCs w:val="22"/>
      <w:u w:val="none"/>
    </w:rPr>
  </w:style>
  <w:style w:type="character" w:customStyle="1" w:styleId="56">
    <w:name w:val="font31"/>
    <w:qFormat/>
    <w:uiPriority w:val="0"/>
    <w:rPr>
      <w:rFonts w:hint="eastAsia" w:ascii="宋体" w:hAnsi="宋体" w:eastAsia="宋体" w:cs="宋体"/>
      <w:color w:val="000000"/>
      <w:sz w:val="18"/>
      <w:szCs w:val="18"/>
      <w:u w:val="none"/>
    </w:rPr>
  </w:style>
  <w:style w:type="character" w:customStyle="1" w:styleId="57">
    <w:name w:val="纯文本 字符"/>
    <w:link w:val="14"/>
    <w:qFormat/>
    <w:uiPriority w:val="99"/>
    <w:rPr>
      <w:rFonts w:ascii="宋体" w:hAnsi="Courier New"/>
      <w:kern w:val="2"/>
      <w:sz w:val="21"/>
    </w:rPr>
  </w:style>
  <w:style w:type="character" w:customStyle="1" w:styleId="58">
    <w:name w:val="访问过的超链接1"/>
    <w:qFormat/>
    <w:uiPriority w:val="0"/>
    <w:rPr>
      <w:color w:val="333333"/>
      <w:u w:val="none"/>
    </w:rPr>
  </w:style>
  <w:style w:type="character" w:customStyle="1" w:styleId="59">
    <w:name w:val="font01"/>
    <w:qFormat/>
    <w:uiPriority w:val="0"/>
    <w:rPr>
      <w:rFonts w:hint="eastAsia" w:ascii="宋体" w:hAnsi="宋体" w:eastAsia="宋体" w:cs="宋体"/>
      <w:color w:val="000000"/>
      <w:sz w:val="22"/>
      <w:szCs w:val="22"/>
      <w:u w:val="none"/>
    </w:rPr>
  </w:style>
  <w:style w:type="character" w:customStyle="1" w:styleId="60">
    <w:name w:val="font21"/>
    <w:qFormat/>
    <w:uiPriority w:val="0"/>
    <w:rPr>
      <w:rFonts w:hint="default" w:ascii="Times New Roman" w:hAnsi="Times New Roman" w:cs="Times New Roman"/>
      <w:color w:val="000000"/>
      <w:sz w:val="18"/>
      <w:szCs w:val="18"/>
      <w:u w:val="none"/>
    </w:rPr>
  </w:style>
  <w:style w:type="paragraph" w:customStyle="1" w:styleId="61">
    <w:name w:val="p0"/>
    <w:basedOn w:val="1"/>
    <w:qFormat/>
    <w:uiPriority w:val="0"/>
    <w:pPr>
      <w:widowControl/>
    </w:pPr>
    <w:rPr>
      <w:rFonts w:ascii="Calibri" w:hAnsi="Calibri" w:cs="宋体"/>
      <w:kern w:val="0"/>
      <w:szCs w:val="21"/>
    </w:rPr>
  </w:style>
  <w:style w:type="paragraph" w:customStyle="1" w:styleId="62">
    <w:name w:val="List Paragraph1"/>
    <w:basedOn w:val="1"/>
    <w:qFormat/>
    <w:uiPriority w:val="0"/>
    <w:pPr>
      <w:ind w:firstLine="420" w:firstLineChars="200"/>
    </w:pPr>
  </w:style>
  <w:style w:type="paragraph" w:customStyle="1" w:styleId="63">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64">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65">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6">
    <w:name w:val="Char Char Char Char Char Char Char1 Char"/>
    <w:basedOn w:val="1"/>
    <w:qFormat/>
    <w:uiPriority w:val="0"/>
    <w:rPr>
      <w:rFonts w:ascii="Tahoma" w:hAnsi="Tahoma"/>
      <w:sz w:val="24"/>
      <w:szCs w:val="20"/>
    </w:rPr>
  </w:style>
  <w:style w:type="paragraph" w:styleId="67">
    <w:name w:val="List Paragraph"/>
    <w:basedOn w:val="1"/>
    <w:qFormat/>
    <w:uiPriority w:val="34"/>
    <w:pPr>
      <w:ind w:firstLine="420" w:firstLineChars="200"/>
    </w:pPr>
  </w:style>
  <w:style w:type="paragraph" w:customStyle="1" w:styleId="68">
    <w:name w:val="Char Char Char1 Char"/>
    <w:basedOn w:val="1"/>
    <w:qFormat/>
    <w:uiPriority w:val="0"/>
    <w:pPr>
      <w:spacing w:line="360" w:lineRule="auto"/>
      <w:ind w:firstLine="200" w:firstLineChars="200"/>
    </w:pPr>
    <w:rPr>
      <w:rFonts w:ascii="宋体" w:hAnsi="宋体" w:cs="宋体"/>
      <w:sz w:val="24"/>
    </w:rPr>
  </w:style>
  <w:style w:type="paragraph" w:customStyle="1" w:styleId="69">
    <w:name w:val="默认段落字体 Para Char Char Char Char Char Char Char Char Char Char"/>
    <w:basedOn w:val="1"/>
    <w:qFormat/>
    <w:uiPriority w:val="0"/>
    <w:pPr>
      <w:tabs>
        <w:tab w:val="right" w:pos="-2120"/>
      </w:tabs>
      <w:snapToGrid w:val="0"/>
    </w:pPr>
  </w:style>
  <w:style w:type="character" w:customStyle="1" w:styleId="70">
    <w:name w:val="generalinfo-address-text"/>
    <w:basedOn w:val="31"/>
    <w:qFormat/>
    <w:uiPriority w:val="0"/>
  </w:style>
  <w:style w:type="character" w:customStyle="1" w:styleId="71">
    <w:name w:val="正文文本 2 字符"/>
    <w:link w:val="23"/>
    <w:qFormat/>
    <w:uiPriority w:val="0"/>
    <w:rPr>
      <w:kern w:val="2"/>
      <w:sz w:val="21"/>
      <w:szCs w:val="24"/>
    </w:rPr>
  </w:style>
  <w:style w:type="character" w:customStyle="1" w:styleId="72">
    <w:name w:val="NormalCharacter"/>
    <w:qFormat/>
    <w:uiPriority w:val="0"/>
  </w:style>
  <w:style w:type="character" w:customStyle="1" w:styleId="73">
    <w:name w:val="页眉 字符"/>
    <w:link w:val="20"/>
    <w:qFormat/>
    <w:uiPriority w:val="99"/>
    <w:rPr>
      <w:kern w:val="2"/>
      <w:sz w:val="18"/>
      <w:szCs w:val="18"/>
    </w:rPr>
  </w:style>
  <w:style w:type="character" w:customStyle="1" w:styleId="74">
    <w:name w:val="页脚 字符"/>
    <w:link w:val="18"/>
    <w:qFormat/>
    <w:uiPriority w:val="99"/>
    <w:rPr>
      <w:kern w:val="2"/>
      <w:sz w:val="18"/>
      <w:szCs w:val="18"/>
    </w:rPr>
  </w:style>
  <w:style w:type="paragraph" w:customStyle="1" w:styleId="75">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6">
    <w:name w:val="contentlabel"/>
    <w:qFormat/>
    <w:uiPriority w:val="0"/>
  </w:style>
  <w:style w:type="paragraph" w:customStyle="1" w:styleId="77">
    <w:name w:val="Body Text First Indent1"/>
    <w:basedOn w:val="10"/>
    <w:qFormat/>
    <w:uiPriority w:val="0"/>
    <w:pPr>
      <w:autoSpaceDE w:val="0"/>
      <w:autoSpaceDN w:val="0"/>
      <w:ind w:firstLine="420" w:firstLineChars="100"/>
      <w:jc w:val="left"/>
    </w:pPr>
    <w:rPr>
      <w:rFonts w:ascii="宋体" w:hAnsi="等线" w:eastAsia="等线" w:cs="宋体"/>
      <w:kern w:val="0"/>
      <w:lang w:val="zh-CN"/>
    </w:rPr>
  </w:style>
  <w:style w:type="paragraph" w:customStyle="1" w:styleId="78">
    <w:name w:val="D&amp;L"/>
    <w:basedOn w:val="20"/>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9">
    <w:name w:val="icon_gys"/>
    <w:basedOn w:val="31"/>
    <w:qFormat/>
    <w:uiPriority w:val="0"/>
    <w:rPr>
      <w:sz w:val="21"/>
      <w:szCs w:val="21"/>
    </w:rPr>
  </w:style>
  <w:style w:type="character" w:customStyle="1" w:styleId="80">
    <w:name w:val="first-child"/>
    <w:basedOn w:val="31"/>
    <w:qFormat/>
    <w:uiPriority w:val="0"/>
    <w:rPr>
      <w:color w:val="1F3149"/>
      <w:sz w:val="24"/>
      <w:szCs w:val="24"/>
    </w:rPr>
  </w:style>
  <w:style w:type="character" w:customStyle="1" w:styleId="81">
    <w:name w:val="first-child1"/>
    <w:basedOn w:val="31"/>
    <w:qFormat/>
    <w:uiPriority w:val="0"/>
    <w:rPr>
      <w:color w:val="1F3149"/>
      <w:sz w:val="24"/>
      <w:szCs w:val="24"/>
    </w:rPr>
  </w:style>
  <w:style w:type="character" w:customStyle="1" w:styleId="82">
    <w:name w:val="xiadan"/>
    <w:basedOn w:val="31"/>
    <w:qFormat/>
    <w:uiPriority w:val="0"/>
    <w:rPr>
      <w:shd w:val="clear" w:color="auto" w:fill="E4393C"/>
    </w:rPr>
  </w:style>
  <w:style w:type="character" w:customStyle="1" w:styleId="83">
    <w:name w:val="fr"/>
    <w:basedOn w:val="31"/>
    <w:qFormat/>
    <w:uiPriority w:val="0"/>
  </w:style>
  <w:style w:type="character" w:customStyle="1" w:styleId="84">
    <w:name w:val="icon_ds"/>
    <w:basedOn w:val="31"/>
    <w:qFormat/>
    <w:uiPriority w:val="0"/>
  </w:style>
  <w:style w:type="paragraph" w:customStyle="1" w:styleId="85">
    <w:name w:val="正文1"/>
    <w:basedOn w:val="1"/>
    <w:qFormat/>
    <w:uiPriority w:val="0"/>
    <w:pPr>
      <w:widowControl/>
      <w:topLinePunct/>
      <w:spacing w:beforeLines="50" w:afterLines="50" w:line="300" w:lineRule="auto"/>
      <w:ind w:left="420"/>
    </w:pPr>
  </w:style>
  <w:style w:type="table" w:customStyle="1" w:styleId="86">
    <w:name w:val="Table Normal"/>
    <w:basedOn w:val="29"/>
    <w:semiHidden/>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87">
    <w:name w:val="前附表"/>
    <w:basedOn w:val="88"/>
    <w:qFormat/>
    <w:uiPriority w:val="0"/>
    <w:pPr>
      <w:spacing w:line="440" w:lineRule="exact"/>
      <w:ind w:left="50" w:leftChars="50" w:right="50" w:rightChars="50" w:firstLine="0" w:firstLineChars="0"/>
      <w:jc w:val="left"/>
    </w:pPr>
    <w:rPr>
      <w:rFonts w:cs="宋体"/>
      <w:color w:val="000000"/>
      <w:kern w:val="0"/>
      <w:sz w:val="21"/>
      <w:szCs w:val="21"/>
    </w:rPr>
  </w:style>
  <w:style w:type="paragraph" w:customStyle="1" w:styleId="88">
    <w:name w:val="正文样式"/>
    <w:basedOn w:val="1"/>
    <w:qFormat/>
    <w:uiPriority w:val="0"/>
  </w:style>
  <w:style w:type="paragraph" w:customStyle="1" w:styleId="89">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9"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889F62-DC44-404B-AA9E-4FABB5742B01}">
  <ds:schemaRefs/>
</ds:datastoreItem>
</file>

<file path=docProps/app.xml><?xml version="1.0" encoding="utf-8"?>
<Properties xmlns="http://schemas.openxmlformats.org/officeDocument/2006/extended-properties" xmlns:vt="http://schemas.openxmlformats.org/officeDocument/2006/docPropsVTypes">
  <Template>Normal</Template>
  <Pages>51</Pages>
  <Words>20915</Words>
  <Characters>21818</Characters>
  <Lines>146</Lines>
  <Paragraphs>41</Paragraphs>
  <TotalTime>0</TotalTime>
  <ScaleCrop>false</ScaleCrop>
  <LinksUpToDate>false</LinksUpToDate>
  <CharactersWithSpaces>22728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gg1</dc:creator>
  <cp:lastModifiedBy>user</cp:lastModifiedBy>
  <cp:lastPrinted>2024-03-20T01:10:00Z</cp:lastPrinted>
  <dcterms:modified xsi:type="dcterms:W3CDTF">2024-07-08T07:34:30Z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3F3AEF60031F459BB45F1EB8C7A16E06</vt:lpwstr>
  </property>
</Properties>
</file>