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宋体" w:hAnsi="宋体" w:cs="宋体"/>
          <w:b/>
          <w:shadow/>
          <w:color w:val="auto"/>
          <w:spacing w:val="36"/>
          <w:sz w:val="56"/>
          <w:szCs w:val="56"/>
          <w:highlight w:val="none"/>
        </w:rPr>
      </w:pPr>
      <w:bookmarkStart w:id="0" w:name="_Toc152042286"/>
      <w:bookmarkStart w:id="1" w:name="_Toc144974478"/>
      <w:bookmarkStart w:id="2" w:name="_Toc184635069"/>
      <w:r>
        <w:rPr>
          <w:rFonts w:hint="eastAsia" w:ascii="宋体" w:hAnsi="宋体" w:cs="宋体"/>
          <w:b/>
          <w:bCs/>
          <w:shadow/>
          <w:color w:val="auto"/>
          <w:kern w:val="0"/>
          <w:sz w:val="56"/>
          <w:szCs w:val="56"/>
          <w:highlight w:val="none"/>
        </w:rPr>
        <w:t>周口市公共资源交易中心</w:t>
      </w:r>
    </w:p>
    <w:p>
      <w:pPr>
        <w:tabs>
          <w:tab w:val="left" w:pos="315"/>
          <w:tab w:val="left" w:pos="8820"/>
        </w:tabs>
        <w:spacing w:line="500" w:lineRule="exact"/>
        <w:ind w:right="267" w:rightChars="127"/>
        <w:jc w:val="center"/>
        <w:rPr>
          <w:rFonts w:ascii="宋体" w:hAnsi="宋体" w:cs="宋体"/>
          <w:b/>
          <w:bCs/>
          <w:color w:val="auto"/>
          <w:sz w:val="48"/>
          <w:highlight w:val="none"/>
        </w:rPr>
      </w:pPr>
    </w:p>
    <w:p>
      <w:pPr>
        <w:pStyle w:val="56"/>
        <w:ind w:firstLine="482"/>
        <w:rPr>
          <w:rFonts w:ascii="宋体" w:hAnsi="宋体" w:cs="宋体"/>
          <w:b/>
          <w:bCs/>
          <w:color w:val="auto"/>
          <w:sz w:val="48"/>
          <w:highlight w:val="none"/>
        </w:rPr>
      </w:pPr>
    </w:p>
    <w:p>
      <w:pPr>
        <w:pStyle w:val="56"/>
        <w:ind w:firstLine="482"/>
        <w:rPr>
          <w:rFonts w:ascii="宋体" w:hAnsi="宋体" w:cs="宋体"/>
          <w:b/>
          <w:bCs/>
          <w:color w:val="auto"/>
          <w:sz w:val="48"/>
          <w:highlight w:val="none"/>
        </w:rPr>
      </w:pPr>
    </w:p>
    <w:p>
      <w:pPr>
        <w:pStyle w:val="56"/>
        <w:ind w:firstLine="482"/>
        <w:rPr>
          <w:rFonts w:ascii="宋体" w:hAnsi="宋体" w:cs="宋体"/>
          <w:b/>
          <w:bCs/>
          <w:color w:val="auto"/>
          <w:sz w:val="48"/>
          <w:highlight w:val="none"/>
        </w:rPr>
      </w:pPr>
    </w:p>
    <w:p>
      <w:pPr>
        <w:pStyle w:val="56"/>
        <w:ind w:firstLine="482"/>
        <w:rPr>
          <w:rFonts w:ascii="宋体" w:hAnsi="宋体" w:cs="宋体"/>
          <w:b/>
          <w:bCs/>
          <w:color w:val="auto"/>
          <w:sz w:val="48"/>
          <w:highlight w:val="none"/>
        </w:rPr>
      </w:pPr>
    </w:p>
    <w:p>
      <w:pPr>
        <w:tabs>
          <w:tab w:val="left" w:pos="315"/>
          <w:tab w:val="left" w:pos="8820"/>
        </w:tabs>
        <w:ind w:right="267" w:rightChars="127"/>
        <w:jc w:val="center"/>
        <w:rPr>
          <w:rFonts w:ascii="宋体" w:hAnsi="宋体" w:cs="宋体"/>
          <w:b/>
          <w:bCs/>
          <w:color w:val="auto"/>
          <w:sz w:val="56"/>
          <w:szCs w:val="28"/>
          <w:highlight w:val="none"/>
        </w:rPr>
      </w:pPr>
      <w:r>
        <w:rPr>
          <w:rFonts w:hint="eastAsia" w:ascii="宋体" w:hAnsi="宋体" w:cs="宋体"/>
          <w:b/>
          <w:bCs/>
          <w:color w:val="auto"/>
          <w:sz w:val="56"/>
          <w:szCs w:val="28"/>
          <w:highlight w:val="none"/>
        </w:rPr>
        <w:t>政 府 采 购 招 标 文 件</w:t>
      </w:r>
    </w:p>
    <w:p>
      <w:pPr>
        <w:tabs>
          <w:tab w:val="left" w:pos="315"/>
          <w:tab w:val="left" w:pos="8820"/>
        </w:tabs>
        <w:spacing w:line="500" w:lineRule="exact"/>
        <w:ind w:right="267" w:rightChars="127"/>
        <w:rPr>
          <w:rFonts w:ascii="宋体" w:hAnsi="宋体" w:cs="宋体"/>
          <w:color w:val="auto"/>
          <w:sz w:val="44"/>
          <w:highlight w:val="none"/>
        </w:rPr>
      </w:pPr>
    </w:p>
    <w:p>
      <w:pPr>
        <w:tabs>
          <w:tab w:val="left" w:pos="315"/>
          <w:tab w:val="left" w:pos="8820"/>
        </w:tabs>
        <w:ind w:right="267" w:rightChars="127"/>
        <w:rPr>
          <w:rFonts w:ascii="宋体" w:hAnsi="宋体" w:cs="宋体"/>
          <w:color w:val="auto"/>
          <w:sz w:val="44"/>
          <w:highlight w:val="none"/>
        </w:rPr>
      </w:pPr>
    </w:p>
    <w:p>
      <w:pPr>
        <w:tabs>
          <w:tab w:val="left" w:pos="315"/>
          <w:tab w:val="left" w:pos="8820"/>
        </w:tabs>
        <w:ind w:right="267" w:rightChars="127"/>
        <w:rPr>
          <w:rFonts w:ascii="宋体" w:hAnsi="宋体" w:cs="宋体"/>
          <w:color w:val="auto"/>
          <w:sz w:val="44"/>
          <w:highlight w:val="none"/>
        </w:rPr>
      </w:pPr>
    </w:p>
    <w:p>
      <w:pPr>
        <w:tabs>
          <w:tab w:val="left" w:pos="315"/>
          <w:tab w:val="left" w:pos="8820"/>
        </w:tabs>
        <w:ind w:right="267" w:rightChars="127"/>
        <w:rPr>
          <w:rFonts w:ascii="宋体" w:hAnsi="宋体" w:cs="宋体"/>
          <w:color w:val="auto"/>
          <w:sz w:val="44"/>
          <w:highlight w:val="none"/>
        </w:rPr>
      </w:pPr>
    </w:p>
    <w:p>
      <w:pPr>
        <w:tabs>
          <w:tab w:val="left" w:pos="315"/>
          <w:tab w:val="left" w:pos="8820"/>
        </w:tabs>
        <w:ind w:right="267" w:rightChars="127"/>
        <w:rPr>
          <w:rFonts w:ascii="宋体" w:hAnsi="宋体" w:cs="宋体"/>
          <w:color w:val="auto"/>
          <w:sz w:val="44"/>
          <w:highlight w:val="none"/>
        </w:rPr>
      </w:pPr>
    </w:p>
    <w:p>
      <w:pPr>
        <w:pStyle w:val="56"/>
        <w:ind w:firstLine="0" w:firstLineChars="0"/>
        <w:rPr>
          <w:rFonts w:ascii="宋体" w:hAnsi="宋体" w:cs="宋体"/>
          <w:color w:val="auto"/>
          <w:sz w:val="44"/>
          <w:highlight w:val="none"/>
        </w:rPr>
      </w:pPr>
    </w:p>
    <w:p>
      <w:pPr>
        <w:pStyle w:val="56"/>
        <w:ind w:firstLine="0" w:firstLineChars="0"/>
        <w:rPr>
          <w:rFonts w:ascii="宋体" w:hAnsi="宋体" w:cs="宋体"/>
          <w:color w:val="auto"/>
          <w:sz w:val="44"/>
          <w:highlight w:val="none"/>
        </w:rPr>
      </w:pPr>
    </w:p>
    <w:p>
      <w:pPr>
        <w:pStyle w:val="56"/>
        <w:ind w:firstLine="0" w:firstLineChars="0"/>
        <w:rPr>
          <w:rFonts w:ascii="宋体" w:hAnsi="宋体" w:cs="宋体"/>
          <w:color w:val="auto"/>
          <w:sz w:val="44"/>
          <w:highlight w:val="none"/>
        </w:rPr>
      </w:pPr>
    </w:p>
    <w:p>
      <w:pPr>
        <w:tabs>
          <w:tab w:val="left" w:pos="315"/>
          <w:tab w:val="left" w:pos="8820"/>
        </w:tabs>
        <w:spacing w:line="500" w:lineRule="exact"/>
        <w:ind w:right="267" w:rightChars="127"/>
        <w:rPr>
          <w:rFonts w:ascii="宋体" w:hAnsi="宋体" w:cs="宋体"/>
          <w:color w:val="auto"/>
          <w:sz w:val="36"/>
          <w:highlight w:val="none"/>
        </w:rPr>
      </w:pPr>
    </w:p>
    <w:p>
      <w:pPr>
        <w:pStyle w:val="19"/>
        <w:spacing w:line="360" w:lineRule="auto"/>
        <w:rPr>
          <w:rFonts w:hint="eastAsia" w:ascii="宋体" w:hAnsi="宋体" w:eastAsia="宋体" w:cs="宋体"/>
          <w:b/>
          <w:bCs/>
          <w:color w:val="auto"/>
          <w:sz w:val="32"/>
          <w:highlight w:val="none"/>
          <w:lang w:eastAsia="zh-CN"/>
        </w:rPr>
      </w:pPr>
      <w:r>
        <w:rPr>
          <w:rFonts w:hint="eastAsia" w:ascii="宋体" w:hAnsi="宋体" w:cs="宋体"/>
          <w:b/>
          <w:bCs/>
          <w:color w:val="auto"/>
          <w:sz w:val="32"/>
          <w:szCs w:val="32"/>
          <w:highlight w:val="none"/>
        </w:rPr>
        <w:t>项目名称：</w:t>
      </w:r>
      <w:r>
        <w:rPr>
          <w:rFonts w:hint="eastAsia" w:ascii="宋体" w:hAnsi="宋体" w:cs="宋体"/>
          <w:b/>
          <w:bCs/>
          <w:color w:val="auto"/>
          <w:sz w:val="32"/>
          <w:szCs w:val="32"/>
          <w:highlight w:val="none"/>
          <w:lang w:eastAsia="zh-CN"/>
        </w:rPr>
        <w:t>郸城县民政局郸城县石槽镇敬老院维修改造项目</w:t>
      </w:r>
    </w:p>
    <w:p>
      <w:pPr>
        <w:pStyle w:val="19"/>
        <w:spacing w:line="360" w:lineRule="auto"/>
        <w:rPr>
          <w:rFonts w:hint="eastAsia" w:ascii="宋体" w:hAnsi="宋体" w:eastAsia="宋体" w:cs="宋体"/>
          <w:b/>
          <w:bCs/>
          <w:color w:val="auto"/>
          <w:sz w:val="32"/>
          <w:highlight w:val="none"/>
          <w:lang w:eastAsia="zh-CN"/>
        </w:rPr>
      </w:pPr>
      <w:r>
        <w:rPr>
          <w:rFonts w:hint="eastAsia" w:ascii="宋体" w:hAnsi="宋体" w:cs="宋体"/>
          <w:b/>
          <w:bCs/>
          <w:color w:val="auto"/>
          <w:sz w:val="32"/>
          <w:highlight w:val="none"/>
        </w:rPr>
        <w:t>项目编号：</w:t>
      </w:r>
      <w:r>
        <w:rPr>
          <w:rFonts w:hint="eastAsia" w:ascii="宋体" w:hAnsi="宋体" w:cs="宋体"/>
          <w:b/>
          <w:bCs/>
          <w:color w:val="auto"/>
          <w:sz w:val="32"/>
          <w:highlight w:val="none"/>
          <w:lang w:val="en-US" w:eastAsia="zh-CN"/>
        </w:rPr>
        <w:t>郸财招标采购-2024-30</w:t>
      </w:r>
    </w:p>
    <w:p>
      <w:pPr>
        <w:spacing w:line="360" w:lineRule="auto"/>
        <w:jc w:val="center"/>
        <w:rPr>
          <w:rFonts w:ascii="宋体" w:hAnsi="宋体" w:cs="宋体"/>
          <w:b/>
          <w:color w:val="auto"/>
          <w:spacing w:val="-4"/>
          <w:sz w:val="32"/>
          <w:szCs w:val="32"/>
          <w:highlight w:val="none"/>
        </w:rPr>
      </w:pPr>
      <w:r>
        <w:rPr>
          <w:rFonts w:hint="eastAsia" w:ascii="宋体" w:hAnsi="宋体" w:cs="宋体"/>
          <w:b/>
          <w:color w:val="auto"/>
          <w:spacing w:val="-4"/>
          <w:sz w:val="32"/>
          <w:szCs w:val="32"/>
          <w:highlight w:val="none"/>
        </w:rPr>
        <w:t>202</w:t>
      </w:r>
      <w:r>
        <w:rPr>
          <w:rFonts w:hint="eastAsia" w:ascii="宋体" w:hAnsi="宋体" w:cs="宋体"/>
          <w:b/>
          <w:color w:val="auto"/>
          <w:spacing w:val="-4"/>
          <w:sz w:val="32"/>
          <w:szCs w:val="32"/>
          <w:highlight w:val="none"/>
          <w:lang w:val="en-US" w:eastAsia="zh-CN"/>
        </w:rPr>
        <w:t>4</w:t>
      </w:r>
      <w:r>
        <w:rPr>
          <w:rFonts w:hint="eastAsia" w:ascii="宋体" w:hAnsi="宋体" w:cs="宋体"/>
          <w:b/>
          <w:color w:val="auto"/>
          <w:spacing w:val="-4"/>
          <w:sz w:val="32"/>
          <w:szCs w:val="32"/>
          <w:highlight w:val="none"/>
        </w:rPr>
        <w:t>年0</w:t>
      </w:r>
      <w:r>
        <w:rPr>
          <w:rFonts w:hint="eastAsia" w:ascii="宋体" w:hAnsi="宋体" w:cs="宋体"/>
          <w:b/>
          <w:color w:val="auto"/>
          <w:spacing w:val="-4"/>
          <w:sz w:val="32"/>
          <w:szCs w:val="32"/>
          <w:highlight w:val="none"/>
          <w:lang w:val="en-US" w:eastAsia="zh-CN"/>
        </w:rPr>
        <w:t>7</w:t>
      </w:r>
      <w:r>
        <w:rPr>
          <w:rFonts w:hint="eastAsia" w:ascii="宋体" w:hAnsi="宋体" w:cs="宋体"/>
          <w:b/>
          <w:color w:val="auto"/>
          <w:spacing w:val="-4"/>
          <w:sz w:val="32"/>
          <w:szCs w:val="32"/>
          <w:highlight w:val="none"/>
        </w:rPr>
        <w:t>月</w:t>
      </w:r>
    </w:p>
    <w:p>
      <w:pPr>
        <w:spacing w:line="520" w:lineRule="exact"/>
        <w:jc w:val="center"/>
        <w:rPr>
          <w:rFonts w:hint="eastAsia" w:ascii="宋体" w:hAnsi="宋体" w:cs="宋体"/>
          <w:b/>
          <w:color w:val="auto"/>
          <w:sz w:val="32"/>
          <w:szCs w:val="32"/>
          <w:highlight w:val="none"/>
        </w:rPr>
      </w:pPr>
    </w:p>
    <w:p>
      <w:pPr>
        <w:spacing w:line="52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目录</w:t>
      </w:r>
      <w:bookmarkEnd w:id="0"/>
      <w:bookmarkEnd w:id="1"/>
    </w:p>
    <w:p>
      <w:pPr>
        <w:pStyle w:val="39"/>
        <w:tabs>
          <w:tab w:val="right" w:leader="dot" w:pos="8313"/>
        </w:tabs>
        <w:spacing w:line="520" w:lineRule="exact"/>
        <w:rPr>
          <w:rFonts w:hAnsi="宋体" w:cs="宋体"/>
          <w:color w:val="auto"/>
          <w:sz w:val="24"/>
          <w:szCs w:val="24"/>
          <w:highlight w:val="none"/>
        </w:rPr>
      </w:pP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TOC \o "1-3" \h \z \u </w:instrText>
      </w:r>
      <w:r>
        <w:rPr>
          <w:rFonts w:hint="eastAsia" w:hAnsi="宋体" w:cs="宋体"/>
          <w:color w:val="auto"/>
          <w:sz w:val="24"/>
          <w:szCs w:val="24"/>
          <w:highlight w:val="none"/>
        </w:rPr>
        <w:fldChar w:fldCharType="separate"/>
      </w:r>
      <w:r>
        <w:rPr>
          <w:color w:val="auto"/>
          <w:highlight w:val="none"/>
        </w:rPr>
        <w:fldChar w:fldCharType="begin"/>
      </w:r>
      <w:r>
        <w:rPr>
          <w:color w:val="auto"/>
          <w:highlight w:val="none"/>
        </w:rPr>
        <w:instrText xml:space="preserve"> HYPERLINK \l "_Toc15558" </w:instrText>
      </w:r>
      <w:r>
        <w:rPr>
          <w:color w:val="auto"/>
          <w:highlight w:val="none"/>
        </w:rPr>
        <w:fldChar w:fldCharType="separate"/>
      </w:r>
      <w:r>
        <w:rPr>
          <w:rFonts w:hint="eastAsia" w:hAnsi="宋体" w:cs="宋体"/>
          <w:color w:val="auto"/>
          <w:sz w:val="24"/>
          <w:szCs w:val="24"/>
          <w:highlight w:val="none"/>
        </w:rPr>
        <w:t>第一章 招标公告</w:t>
      </w:r>
      <w:r>
        <w:rPr>
          <w:rFonts w:hint="eastAsia" w:hAnsi="宋体" w:cs="宋体"/>
          <w:color w:val="auto"/>
          <w:sz w:val="24"/>
          <w:szCs w:val="24"/>
          <w:highlight w:val="none"/>
        </w:rPr>
        <w:tab/>
      </w: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PAGEREF _Toc15558 \h </w:instrText>
      </w:r>
      <w:r>
        <w:rPr>
          <w:rFonts w:hint="eastAsia" w:hAnsi="宋体" w:cs="宋体"/>
          <w:color w:val="auto"/>
          <w:sz w:val="24"/>
          <w:szCs w:val="24"/>
          <w:highlight w:val="none"/>
        </w:rPr>
        <w:fldChar w:fldCharType="separate"/>
      </w:r>
      <w:r>
        <w:rPr>
          <w:rFonts w:hint="eastAsia" w:hAnsi="宋体" w:cs="宋体"/>
          <w:color w:val="auto"/>
          <w:sz w:val="24"/>
          <w:szCs w:val="24"/>
          <w:highlight w:val="none"/>
        </w:rPr>
        <w:t>3</w:t>
      </w:r>
      <w:r>
        <w:rPr>
          <w:rFonts w:hint="eastAsia" w:hAnsi="宋体" w:cs="宋体"/>
          <w:color w:val="auto"/>
          <w:sz w:val="24"/>
          <w:szCs w:val="24"/>
          <w:highlight w:val="none"/>
        </w:rPr>
        <w:fldChar w:fldCharType="end"/>
      </w:r>
      <w:r>
        <w:rPr>
          <w:rFonts w:hint="eastAsia" w:hAnsi="宋体" w:cs="宋体"/>
          <w:color w:val="auto"/>
          <w:sz w:val="24"/>
          <w:szCs w:val="24"/>
          <w:highlight w:val="none"/>
        </w:rPr>
        <w:fldChar w:fldCharType="end"/>
      </w:r>
    </w:p>
    <w:p>
      <w:pPr>
        <w:pStyle w:val="39"/>
        <w:tabs>
          <w:tab w:val="right" w:leader="dot" w:pos="8313"/>
        </w:tabs>
        <w:spacing w:line="520" w:lineRule="exact"/>
        <w:rPr>
          <w:rFonts w:hAnsi="宋体" w:cs="宋体"/>
          <w:color w:val="auto"/>
          <w:sz w:val="24"/>
          <w:szCs w:val="24"/>
          <w:highlight w:val="none"/>
        </w:rPr>
      </w:pPr>
      <w:r>
        <w:rPr>
          <w:color w:val="auto"/>
          <w:highlight w:val="none"/>
        </w:rPr>
        <w:fldChar w:fldCharType="begin"/>
      </w:r>
      <w:r>
        <w:rPr>
          <w:color w:val="auto"/>
          <w:highlight w:val="none"/>
        </w:rPr>
        <w:instrText xml:space="preserve"> HYPERLINK \l "_Toc26819" </w:instrText>
      </w:r>
      <w:r>
        <w:rPr>
          <w:color w:val="auto"/>
          <w:highlight w:val="none"/>
        </w:rPr>
        <w:fldChar w:fldCharType="separate"/>
      </w:r>
      <w:r>
        <w:rPr>
          <w:rFonts w:hint="eastAsia" w:hAnsi="宋体" w:cs="宋体"/>
          <w:color w:val="auto"/>
          <w:sz w:val="24"/>
          <w:szCs w:val="24"/>
          <w:highlight w:val="none"/>
        </w:rPr>
        <w:t>第二章 投标人须知</w:t>
      </w:r>
      <w:r>
        <w:rPr>
          <w:rFonts w:hint="eastAsia" w:hAnsi="宋体" w:cs="宋体"/>
          <w:color w:val="auto"/>
          <w:sz w:val="24"/>
          <w:szCs w:val="24"/>
          <w:highlight w:val="none"/>
        </w:rPr>
        <w:tab/>
      </w: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PAGEREF _Toc26819 \h </w:instrText>
      </w:r>
      <w:r>
        <w:rPr>
          <w:rFonts w:hint="eastAsia" w:hAnsi="宋体" w:cs="宋体"/>
          <w:color w:val="auto"/>
          <w:sz w:val="24"/>
          <w:szCs w:val="24"/>
          <w:highlight w:val="none"/>
        </w:rPr>
        <w:fldChar w:fldCharType="separate"/>
      </w:r>
      <w:r>
        <w:rPr>
          <w:rFonts w:hint="eastAsia" w:hAnsi="宋体" w:cs="宋体"/>
          <w:color w:val="auto"/>
          <w:sz w:val="24"/>
          <w:szCs w:val="24"/>
          <w:highlight w:val="none"/>
        </w:rPr>
        <w:t>7</w:t>
      </w:r>
      <w:r>
        <w:rPr>
          <w:rFonts w:hint="eastAsia" w:hAnsi="宋体" w:cs="宋体"/>
          <w:color w:val="auto"/>
          <w:sz w:val="24"/>
          <w:szCs w:val="24"/>
          <w:highlight w:val="none"/>
        </w:rPr>
        <w:fldChar w:fldCharType="end"/>
      </w:r>
      <w:r>
        <w:rPr>
          <w:rFonts w:hint="eastAsia" w:hAnsi="宋体" w:cs="宋体"/>
          <w:color w:val="auto"/>
          <w:sz w:val="24"/>
          <w:szCs w:val="24"/>
          <w:highlight w:val="none"/>
        </w:rPr>
        <w:fldChar w:fldCharType="end"/>
      </w:r>
    </w:p>
    <w:p>
      <w:pPr>
        <w:pStyle w:val="39"/>
        <w:tabs>
          <w:tab w:val="right" w:leader="dot" w:pos="8313"/>
        </w:tabs>
        <w:spacing w:line="520" w:lineRule="exact"/>
        <w:rPr>
          <w:rFonts w:hAnsi="宋体" w:cs="宋体"/>
          <w:color w:val="auto"/>
          <w:sz w:val="24"/>
          <w:szCs w:val="24"/>
          <w:highlight w:val="none"/>
        </w:rPr>
      </w:pPr>
      <w:r>
        <w:rPr>
          <w:color w:val="auto"/>
          <w:highlight w:val="none"/>
        </w:rPr>
        <w:fldChar w:fldCharType="begin"/>
      </w:r>
      <w:r>
        <w:rPr>
          <w:color w:val="auto"/>
          <w:highlight w:val="none"/>
        </w:rPr>
        <w:instrText xml:space="preserve"> HYPERLINK \l "_Toc32630" </w:instrText>
      </w:r>
      <w:r>
        <w:rPr>
          <w:color w:val="auto"/>
          <w:highlight w:val="none"/>
        </w:rPr>
        <w:fldChar w:fldCharType="separate"/>
      </w:r>
      <w:r>
        <w:rPr>
          <w:rFonts w:hint="eastAsia" w:hAnsi="宋体" w:cs="宋体"/>
          <w:color w:val="auto"/>
          <w:sz w:val="24"/>
          <w:szCs w:val="24"/>
          <w:highlight w:val="none"/>
        </w:rPr>
        <w:t>第三章 评标办法（综合评估法）</w:t>
      </w:r>
      <w:r>
        <w:rPr>
          <w:rFonts w:hint="eastAsia" w:hAnsi="宋体" w:cs="宋体"/>
          <w:color w:val="auto"/>
          <w:sz w:val="24"/>
          <w:szCs w:val="24"/>
          <w:highlight w:val="none"/>
        </w:rPr>
        <w:tab/>
      </w: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PAGEREF _Toc32630 \h </w:instrText>
      </w:r>
      <w:r>
        <w:rPr>
          <w:rFonts w:hint="eastAsia" w:hAnsi="宋体" w:cs="宋体"/>
          <w:color w:val="auto"/>
          <w:sz w:val="24"/>
          <w:szCs w:val="24"/>
          <w:highlight w:val="none"/>
        </w:rPr>
        <w:fldChar w:fldCharType="separate"/>
      </w:r>
      <w:r>
        <w:rPr>
          <w:rFonts w:hint="eastAsia" w:hAnsi="宋体" w:cs="宋体"/>
          <w:color w:val="auto"/>
          <w:sz w:val="24"/>
          <w:szCs w:val="24"/>
          <w:highlight w:val="none"/>
        </w:rPr>
        <w:t>20</w:t>
      </w:r>
      <w:r>
        <w:rPr>
          <w:rFonts w:hint="eastAsia" w:hAnsi="宋体" w:cs="宋体"/>
          <w:color w:val="auto"/>
          <w:sz w:val="24"/>
          <w:szCs w:val="24"/>
          <w:highlight w:val="none"/>
        </w:rPr>
        <w:fldChar w:fldCharType="end"/>
      </w:r>
      <w:r>
        <w:rPr>
          <w:rFonts w:hint="eastAsia" w:hAnsi="宋体" w:cs="宋体"/>
          <w:color w:val="auto"/>
          <w:sz w:val="24"/>
          <w:szCs w:val="24"/>
          <w:highlight w:val="none"/>
        </w:rPr>
        <w:fldChar w:fldCharType="end"/>
      </w:r>
    </w:p>
    <w:p>
      <w:pPr>
        <w:pStyle w:val="39"/>
        <w:tabs>
          <w:tab w:val="right" w:leader="dot" w:pos="8313"/>
        </w:tabs>
        <w:spacing w:line="520" w:lineRule="exact"/>
        <w:rPr>
          <w:rFonts w:hAnsi="宋体" w:cs="宋体"/>
          <w:color w:val="auto"/>
          <w:sz w:val="24"/>
          <w:szCs w:val="24"/>
          <w:highlight w:val="none"/>
        </w:rPr>
      </w:pPr>
      <w:r>
        <w:rPr>
          <w:color w:val="auto"/>
          <w:highlight w:val="none"/>
        </w:rPr>
        <w:fldChar w:fldCharType="begin"/>
      </w:r>
      <w:r>
        <w:rPr>
          <w:color w:val="auto"/>
          <w:highlight w:val="none"/>
        </w:rPr>
        <w:instrText xml:space="preserve"> HYPERLINK \l "_Toc28658" </w:instrText>
      </w:r>
      <w:r>
        <w:rPr>
          <w:color w:val="auto"/>
          <w:highlight w:val="none"/>
        </w:rPr>
        <w:fldChar w:fldCharType="separate"/>
      </w:r>
      <w:r>
        <w:rPr>
          <w:rFonts w:hint="eastAsia" w:hAnsi="宋体" w:cs="宋体"/>
          <w:color w:val="auto"/>
          <w:sz w:val="24"/>
          <w:szCs w:val="24"/>
          <w:highlight w:val="none"/>
        </w:rPr>
        <w:t>第四章、周口市政府采购合同（工程类）标准文本</w:t>
      </w:r>
      <w:r>
        <w:rPr>
          <w:rFonts w:hint="eastAsia" w:hAnsi="宋体" w:cs="宋体"/>
          <w:color w:val="auto"/>
          <w:sz w:val="24"/>
          <w:szCs w:val="24"/>
          <w:highlight w:val="none"/>
        </w:rPr>
        <w:tab/>
      </w: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PAGEREF _Toc28658 \h </w:instrText>
      </w:r>
      <w:r>
        <w:rPr>
          <w:rFonts w:hint="eastAsia" w:hAnsi="宋体" w:cs="宋体"/>
          <w:color w:val="auto"/>
          <w:sz w:val="24"/>
          <w:szCs w:val="24"/>
          <w:highlight w:val="none"/>
        </w:rPr>
        <w:fldChar w:fldCharType="separate"/>
      </w:r>
      <w:r>
        <w:rPr>
          <w:rFonts w:hint="eastAsia" w:hAnsi="宋体" w:cs="宋体"/>
          <w:color w:val="auto"/>
          <w:sz w:val="24"/>
          <w:szCs w:val="24"/>
          <w:highlight w:val="none"/>
        </w:rPr>
        <w:t>25</w:t>
      </w:r>
      <w:r>
        <w:rPr>
          <w:rFonts w:hint="eastAsia" w:hAnsi="宋体" w:cs="宋体"/>
          <w:color w:val="auto"/>
          <w:sz w:val="24"/>
          <w:szCs w:val="24"/>
          <w:highlight w:val="none"/>
        </w:rPr>
        <w:fldChar w:fldCharType="end"/>
      </w:r>
      <w:r>
        <w:rPr>
          <w:rFonts w:hint="eastAsia" w:hAnsi="宋体" w:cs="宋体"/>
          <w:color w:val="auto"/>
          <w:sz w:val="24"/>
          <w:szCs w:val="24"/>
          <w:highlight w:val="none"/>
        </w:rPr>
        <w:fldChar w:fldCharType="end"/>
      </w:r>
    </w:p>
    <w:p>
      <w:pPr>
        <w:pStyle w:val="39"/>
        <w:tabs>
          <w:tab w:val="right" w:leader="dot" w:pos="8313"/>
        </w:tabs>
        <w:spacing w:line="520" w:lineRule="exact"/>
        <w:rPr>
          <w:rFonts w:hAnsi="宋体" w:cs="宋体"/>
          <w:color w:val="auto"/>
          <w:sz w:val="24"/>
          <w:szCs w:val="24"/>
          <w:highlight w:val="none"/>
        </w:rPr>
      </w:pPr>
      <w:r>
        <w:rPr>
          <w:color w:val="auto"/>
          <w:highlight w:val="none"/>
        </w:rPr>
        <w:fldChar w:fldCharType="begin"/>
      </w:r>
      <w:r>
        <w:rPr>
          <w:color w:val="auto"/>
          <w:highlight w:val="none"/>
        </w:rPr>
        <w:instrText xml:space="preserve"> HYPERLINK \l "_Toc11393" </w:instrText>
      </w:r>
      <w:r>
        <w:rPr>
          <w:color w:val="auto"/>
          <w:highlight w:val="none"/>
        </w:rPr>
        <w:fldChar w:fldCharType="separate"/>
      </w:r>
      <w:r>
        <w:rPr>
          <w:rFonts w:hint="eastAsia" w:hAnsi="宋体" w:cs="宋体"/>
          <w:color w:val="auto"/>
          <w:sz w:val="24"/>
          <w:szCs w:val="24"/>
          <w:highlight w:val="none"/>
        </w:rPr>
        <w:t>第五章 工程量清单</w:t>
      </w:r>
      <w:r>
        <w:rPr>
          <w:rFonts w:hint="eastAsia" w:hAnsi="宋体" w:cs="宋体"/>
          <w:color w:val="auto"/>
          <w:sz w:val="24"/>
          <w:szCs w:val="24"/>
          <w:highlight w:val="none"/>
        </w:rPr>
        <w:tab/>
      </w: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PAGEREF _Toc11393 \h </w:instrText>
      </w:r>
      <w:r>
        <w:rPr>
          <w:rFonts w:hint="eastAsia" w:hAnsi="宋体" w:cs="宋体"/>
          <w:color w:val="auto"/>
          <w:sz w:val="24"/>
          <w:szCs w:val="24"/>
          <w:highlight w:val="none"/>
        </w:rPr>
        <w:fldChar w:fldCharType="separate"/>
      </w:r>
      <w:r>
        <w:rPr>
          <w:rFonts w:hint="eastAsia" w:hAnsi="宋体" w:cs="宋体"/>
          <w:color w:val="auto"/>
          <w:sz w:val="24"/>
          <w:szCs w:val="24"/>
          <w:highlight w:val="none"/>
        </w:rPr>
        <w:t>40</w:t>
      </w:r>
      <w:r>
        <w:rPr>
          <w:rFonts w:hint="eastAsia" w:hAnsi="宋体" w:cs="宋体"/>
          <w:color w:val="auto"/>
          <w:sz w:val="24"/>
          <w:szCs w:val="24"/>
          <w:highlight w:val="none"/>
        </w:rPr>
        <w:fldChar w:fldCharType="end"/>
      </w:r>
      <w:r>
        <w:rPr>
          <w:rFonts w:hint="eastAsia" w:hAnsi="宋体" w:cs="宋体"/>
          <w:color w:val="auto"/>
          <w:sz w:val="24"/>
          <w:szCs w:val="24"/>
          <w:highlight w:val="none"/>
        </w:rPr>
        <w:fldChar w:fldCharType="end"/>
      </w:r>
    </w:p>
    <w:p>
      <w:pPr>
        <w:pStyle w:val="39"/>
        <w:tabs>
          <w:tab w:val="right" w:leader="dot" w:pos="8313"/>
        </w:tabs>
        <w:spacing w:line="520" w:lineRule="exact"/>
        <w:rPr>
          <w:rFonts w:hAnsi="宋体" w:cs="宋体"/>
          <w:color w:val="auto"/>
          <w:sz w:val="24"/>
          <w:szCs w:val="24"/>
          <w:highlight w:val="none"/>
        </w:rPr>
      </w:pPr>
      <w:r>
        <w:rPr>
          <w:color w:val="auto"/>
          <w:highlight w:val="none"/>
        </w:rPr>
        <w:fldChar w:fldCharType="begin"/>
      </w:r>
      <w:r>
        <w:rPr>
          <w:color w:val="auto"/>
          <w:highlight w:val="none"/>
        </w:rPr>
        <w:instrText xml:space="preserve"> HYPERLINK \l "_Toc30512" </w:instrText>
      </w:r>
      <w:r>
        <w:rPr>
          <w:color w:val="auto"/>
          <w:highlight w:val="none"/>
        </w:rPr>
        <w:fldChar w:fldCharType="separate"/>
      </w:r>
      <w:r>
        <w:rPr>
          <w:rFonts w:hint="eastAsia" w:hAnsi="宋体" w:cs="宋体"/>
          <w:color w:val="auto"/>
          <w:sz w:val="24"/>
          <w:szCs w:val="24"/>
          <w:highlight w:val="none"/>
        </w:rPr>
        <w:t>第六章 图纸</w:t>
      </w:r>
      <w:r>
        <w:rPr>
          <w:rFonts w:hint="eastAsia" w:hAnsi="宋体" w:cs="宋体"/>
          <w:color w:val="auto"/>
          <w:sz w:val="24"/>
          <w:szCs w:val="24"/>
          <w:highlight w:val="none"/>
        </w:rPr>
        <w:tab/>
      </w: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PAGEREF _Toc30512 \h </w:instrText>
      </w:r>
      <w:r>
        <w:rPr>
          <w:rFonts w:hint="eastAsia" w:hAnsi="宋体" w:cs="宋体"/>
          <w:color w:val="auto"/>
          <w:sz w:val="24"/>
          <w:szCs w:val="24"/>
          <w:highlight w:val="none"/>
        </w:rPr>
        <w:fldChar w:fldCharType="separate"/>
      </w:r>
      <w:r>
        <w:rPr>
          <w:rFonts w:hint="eastAsia" w:hAnsi="宋体" w:cs="宋体"/>
          <w:color w:val="auto"/>
          <w:sz w:val="24"/>
          <w:szCs w:val="24"/>
          <w:highlight w:val="none"/>
        </w:rPr>
        <w:t>41</w:t>
      </w:r>
      <w:r>
        <w:rPr>
          <w:rFonts w:hint="eastAsia" w:hAnsi="宋体" w:cs="宋体"/>
          <w:color w:val="auto"/>
          <w:sz w:val="24"/>
          <w:szCs w:val="24"/>
          <w:highlight w:val="none"/>
        </w:rPr>
        <w:fldChar w:fldCharType="end"/>
      </w:r>
      <w:r>
        <w:rPr>
          <w:rFonts w:hint="eastAsia" w:hAnsi="宋体" w:cs="宋体"/>
          <w:color w:val="auto"/>
          <w:sz w:val="24"/>
          <w:szCs w:val="24"/>
          <w:highlight w:val="none"/>
        </w:rPr>
        <w:fldChar w:fldCharType="end"/>
      </w:r>
    </w:p>
    <w:p>
      <w:pPr>
        <w:pStyle w:val="39"/>
        <w:tabs>
          <w:tab w:val="right" w:leader="dot" w:pos="8313"/>
        </w:tabs>
        <w:spacing w:line="520" w:lineRule="exact"/>
        <w:rPr>
          <w:rFonts w:hAnsi="宋体" w:cs="宋体"/>
          <w:color w:val="auto"/>
          <w:sz w:val="24"/>
          <w:szCs w:val="24"/>
          <w:highlight w:val="none"/>
        </w:rPr>
      </w:pPr>
      <w:r>
        <w:rPr>
          <w:color w:val="auto"/>
          <w:highlight w:val="none"/>
        </w:rPr>
        <w:fldChar w:fldCharType="begin"/>
      </w:r>
      <w:r>
        <w:rPr>
          <w:color w:val="auto"/>
          <w:highlight w:val="none"/>
        </w:rPr>
        <w:instrText xml:space="preserve"> HYPERLINK \l "_Toc14891" </w:instrText>
      </w:r>
      <w:r>
        <w:rPr>
          <w:color w:val="auto"/>
          <w:highlight w:val="none"/>
        </w:rPr>
        <w:fldChar w:fldCharType="separate"/>
      </w:r>
      <w:r>
        <w:rPr>
          <w:rFonts w:hint="eastAsia" w:hAnsi="宋体" w:cs="宋体"/>
          <w:color w:val="auto"/>
          <w:sz w:val="24"/>
          <w:szCs w:val="24"/>
          <w:highlight w:val="none"/>
        </w:rPr>
        <w:t>第七章 技术标准</w:t>
      </w:r>
      <w:r>
        <w:rPr>
          <w:rFonts w:hint="eastAsia" w:hAnsi="宋体" w:cs="宋体"/>
          <w:color w:val="auto"/>
          <w:sz w:val="24"/>
          <w:szCs w:val="24"/>
          <w:highlight w:val="none"/>
        </w:rPr>
        <w:tab/>
      </w: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PAGEREF _Toc14891 \h </w:instrText>
      </w:r>
      <w:r>
        <w:rPr>
          <w:rFonts w:hint="eastAsia" w:hAnsi="宋体" w:cs="宋体"/>
          <w:color w:val="auto"/>
          <w:sz w:val="24"/>
          <w:szCs w:val="24"/>
          <w:highlight w:val="none"/>
        </w:rPr>
        <w:fldChar w:fldCharType="separate"/>
      </w:r>
      <w:r>
        <w:rPr>
          <w:rFonts w:hint="eastAsia" w:hAnsi="宋体" w:cs="宋体"/>
          <w:color w:val="auto"/>
          <w:sz w:val="24"/>
          <w:szCs w:val="24"/>
          <w:highlight w:val="none"/>
        </w:rPr>
        <w:t>42</w:t>
      </w:r>
      <w:r>
        <w:rPr>
          <w:rFonts w:hint="eastAsia" w:hAnsi="宋体" w:cs="宋体"/>
          <w:color w:val="auto"/>
          <w:sz w:val="24"/>
          <w:szCs w:val="24"/>
          <w:highlight w:val="none"/>
        </w:rPr>
        <w:fldChar w:fldCharType="end"/>
      </w:r>
      <w:r>
        <w:rPr>
          <w:rFonts w:hint="eastAsia" w:hAnsi="宋体" w:cs="宋体"/>
          <w:color w:val="auto"/>
          <w:sz w:val="24"/>
          <w:szCs w:val="24"/>
          <w:highlight w:val="none"/>
        </w:rPr>
        <w:fldChar w:fldCharType="end"/>
      </w:r>
    </w:p>
    <w:p>
      <w:pPr>
        <w:pStyle w:val="39"/>
        <w:tabs>
          <w:tab w:val="right" w:leader="dot" w:pos="8313"/>
        </w:tabs>
        <w:spacing w:line="520" w:lineRule="exact"/>
        <w:rPr>
          <w:rFonts w:hAnsi="宋体" w:cs="宋体"/>
          <w:color w:val="auto"/>
          <w:sz w:val="24"/>
          <w:szCs w:val="24"/>
          <w:highlight w:val="none"/>
        </w:rPr>
      </w:pPr>
      <w:r>
        <w:rPr>
          <w:color w:val="auto"/>
          <w:highlight w:val="none"/>
        </w:rPr>
        <w:fldChar w:fldCharType="begin"/>
      </w:r>
      <w:r>
        <w:rPr>
          <w:color w:val="auto"/>
          <w:highlight w:val="none"/>
        </w:rPr>
        <w:instrText xml:space="preserve"> HYPERLINK \l "_Toc22294" </w:instrText>
      </w:r>
      <w:r>
        <w:rPr>
          <w:color w:val="auto"/>
          <w:highlight w:val="none"/>
        </w:rPr>
        <w:fldChar w:fldCharType="separate"/>
      </w:r>
      <w:r>
        <w:rPr>
          <w:rFonts w:hint="eastAsia" w:hAnsi="宋体" w:cs="宋体"/>
          <w:color w:val="auto"/>
          <w:sz w:val="24"/>
          <w:szCs w:val="24"/>
          <w:highlight w:val="none"/>
        </w:rPr>
        <w:t>第八章 投标文件格式</w:t>
      </w:r>
      <w:r>
        <w:rPr>
          <w:rFonts w:hint="eastAsia" w:hAnsi="宋体" w:cs="宋体"/>
          <w:color w:val="auto"/>
          <w:sz w:val="24"/>
          <w:szCs w:val="24"/>
          <w:highlight w:val="none"/>
        </w:rPr>
        <w:tab/>
      </w: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PAGEREF _Toc22294 \h </w:instrText>
      </w:r>
      <w:r>
        <w:rPr>
          <w:rFonts w:hint="eastAsia" w:hAnsi="宋体" w:cs="宋体"/>
          <w:color w:val="auto"/>
          <w:sz w:val="24"/>
          <w:szCs w:val="24"/>
          <w:highlight w:val="none"/>
        </w:rPr>
        <w:fldChar w:fldCharType="separate"/>
      </w:r>
      <w:r>
        <w:rPr>
          <w:rFonts w:hint="eastAsia" w:hAnsi="宋体" w:cs="宋体"/>
          <w:color w:val="auto"/>
          <w:sz w:val="24"/>
          <w:szCs w:val="24"/>
          <w:highlight w:val="none"/>
        </w:rPr>
        <w:t>43</w:t>
      </w:r>
      <w:r>
        <w:rPr>
          <w:rFonts w:hint="eastAsia" w:hAnsi="宋体" w:cs="宋体"/>
          <w:color w:val="auto"/>
          <w:sz w:val="24"/>
          <w:szCs w:val="24"/>
          <w:highlight w:val="none"/>
        </w:rPr>
        <w:fldChar w:fldCharType="end"/>
      </w:r>
      <w:r>
        <w:rPr>
          <w:rFonts w:hint="eastAsia" w:hAnsi="宋体" w:cs="宋体"/>
          <w:color w:val="auto"/>
          <w:sz w:val="24"/>
          <w:szCs w:val="24"/>
          <w:highlight w:val="none"/>
        </w:rPr>
        <w:fldChar w:fldCharType="end"/>
      </w:r>
    </w:p>
    <w:p>
      <w:pPr>
        <w:pStyle w:val="39"/>
        <w:tabs>
          <w:tab w:val="right" w:leader="dot" w:pos="8313"/>
        </w:tabs>
        <w:spacing w:line="520" w:lineRule="exact"/>
        <w:rPr>
          <w:rFonts w:hAnsi="宋体" w:cs="宋体"/>
          <w:color w:val="auto"/>
          <w:sz w:val="24"/>
          <w:szCs w:val="24"/>
          <w:highlight w:val="none"/>
        </w:rPr>
      </w:pPr>
      <w:r>
        <w:rPr>
          <w:color w:val="auto"/>
          <w:highlight w:val="none"/>
        </w:rPr>
        <w:fldChar w:fldCharType="begin"/>
      </w:r>
      <w:r>
        <w:rPr>
          <w:color w:val="auto"/>
          <w:highlight w:val="none"/>
        </w:rPr>
        <w:instrText xml:space="preserve"> HYPERLINK \l "_Toc4150" </w:instrText>
      </w:r>
      <w:r>
        <w:rPr>
          <w:color w:val="auto"/>
          <w:highlight w:val="none"/>
        </w:rPr>
        <w:fldChar w:fldCharType="separate"/>
      </w:r>
      <w:r>
        <w:rPr>
          <w:rFonts w:hint="eastAsia" w:hAnsi="宋体" w:cs="宋体"/>
          <w:color w:val="auto"/>
          <w:sz w:val="24"/>
          <w:szCs w:val="24"/>
          <w:highlight w:val="none"/>
        </w:rPr>
        <w:t>周口市政府采购合同融资政策告知函</w:t>
      </w:r>
      <w:r>
        <w:rPr>
          <w:rFonts w:hint="eastAsia" w:hAnsi="宋体" w:cs="宋体"/>
          <w:color w:val="auto"/>
          <w:sz w:val="24"/>
          <w:szCs w:val="24"/>
          <w:highlight w:val="none"/>
        </w:rPr>
        <w:tab/>
      </w: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PAGEREF _Toc4150 \h </w:instrText>
      </w:r>
      <w:r>
        <w:rPr>
          <w:rFonts w:hint="eastAsia" w:hAnsi="宋体" w:cs="宋体"/>
          <w:color w:val="auto"/>
          <w:sz w:val="24"/>
          <w:szCs w:val="24"/>
          <w:highlight w:val="none"/>
        </w:rPr>
        <w:fldChar w:fldCharType="separate"/>
      </w:r>
      <w:r>
        <w:rPr>
          <w:rFonts w:hint="eastAsia" w:hAnsi="宋体" w:cs="宋体"/>
          <w:color w:val="auto"/>
          <w:sz w:val="24"/>
          <w:szCs w:val="24"/>
          <w:highlight w:val="none"/>
        </w:rPr>
        <w:t>68</w:t>
      </w:r>
      <w:r>
        <w:rPr>
          <w:rFonts w:hint="eastAsia" w:hAnsi="宋体" w:cs="宋体"/>
          <w:color w:val="auto"/>
          <w:sz w:val="24"/>
          <w:szCs w:val="24"/>
          <w:highlight w:val="none"/>
        </w:rPr>
        <w:fldChar w:fldCharType="end"/>
      </w:r>
      <w:r>
        <w:rPr>
          <w:rFonts w:hint="eastAsia" w:hAnsi="宋体" w:cs="宋体"/>
          <w:color w:val="auto"/>
          <w:sz w:val="24"/>
          <w:szCs w:val="24"/>
          <w:highlight w:val="none"/>
        </w:rPr>
        <w:fldChar w:fldCharType="end"/>
      </w:r>
    </w:p>
    <w:p>
      <w:pPr>
        <w:pStyle w:val="39"/>
        <w:tabs>
          <w:tab w:val="right" w:leader="dot" w:pos="8313"/>
        </w:tabs>
        <w:spacing w:line="520" w:lineRule="exact"/>
        <w:rPr>
          <w:rFonts w:hAnsi="宋体" w:cs="宋体"/>
          <w:color w:val="auto"/>
          <w:szCs w:val="28"/>
          <w:highlight w:val="none"/>
        </w:rPr>
        <w:sectPr>
          <w:footerReference r:id="rId3" w:type="default"/>
          <w:pgSz w:w="11907" w:h="16839"/>
          <w:pgMar w:top="1440" w:right="1797" w:bottom="1440" w:left="1797" w:header="851" w:footer="992" w:gutter="0"/>
          <w:pgNumType w:start="1"/>
          <w:cols w:space="720" w:num="1"/>
          <w:titlePg/>
          <w:docGrid w:linePitch="312" w:charSpace="0"/>
        </w:sectPr>
      </w:pPr>
      <w:r>
        <w:rPr>
          <w:rFonts w:hint="eastAsia" w:hAnsi="宋体" w:cs="宋体"/>
          <w:color w:val="auto"/>
          <w:sz w:val="24"/>
          <w:szCs w:val="24"/>
          <w:highlight w:val="none"/>
        </w:rPr>
        <w:fldChar w:fldCharType="end"/>
      </w:r>
    </w:p>
    <w:bookmarkEnd w:id="2"/>
    <w:p>
      <w:pPr>
        <w:pStyle w:val="3"/>
        <w:spacing w:before="0" w:after="0" w:line="360" w:lineRule="auto"/>
        <w:jc w:val="center"/>
        <w:rPr>
          <w:rFonts w:ascii="宋体" w:hAnsi="宋体" w:cs="宋体"/>
          <w:bCs w:val="0"/>
          <w:color w:val="auto"/>
          <w:sz w:val="36"/>
          <w:szCs w:val="36"/>
          <w:highlight w:val="none"/>
        </w:rPr>
      </w:pPr>
      <w:bookmarkStart w:id="3" w:name="_Toc15558"/>
      <w:bookmarkStart w:id="4" w:name="OLE_LINK3"/>
      <w:bookmarkStart w:id="5" w:name="OLE_LINK1"/>
      <w:bookmarkStart w:id="6" w:name="OLE_LINK2"/>
      <w:bookmarkStart w:id="7" w:name="_Toc430166811"/>
      <w:r>
        <w:rPr>
          <w:rFonts w:hint="eastAsia" w:ascii="宋体" w:hAnsi="宋体" w:cs="宋体"/>
          <w:bCs w:val="0"/>
          <w:color w:val="auto"/>
          <w:sz w:val="36"/>
          <w:szCs w:val="36"/>
          <w:highlight w:val="none"/>
        </w:rPr>
        <w:t>第一章 招标公告</w:t>
      </w:r>
      <w:bookmarkEnd w:id="3"/>
    </w:p>
    <w:bookmarkEnd w:id="4"/>
    <w:bookmarkEnd w:id="5"/>
    <w:bookmarkEnd w:id="6"/>
    <w:p>
      <w:pPr>
        <w:adjustRightInd w:val="0"/>
        <w:snapToGrid w:val="0"/>
        <w:spacing w:line="360" w:lineRule="auto"/>
        <w:rPr>
          <w:rFonts w:ascii="宋体" w:hAnsi="宋体" w:cs="宋体"/>
          <w:color w:val="auto"/>
          <w:sz w:val="24"/>
          <w:highlight w:val="none"/>
        </w:rPr>
      </w:pPr>
      <w:bookmarkStart w:id="8" w:name="OLE_LINK4"/>
      <w:r>
        <w:rPr>
          <w:rFonts w:hint="eastAsia" w:ascii="宋体" w:hAnsi="宋体" w:cs="宋体"/>
          <w:color w:val="auto"/>
          <w:sz w:val="24"/>
          <w:highlight w:val="none"/>
        </w:rPr>
        <w:t>项目概况</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郸城县民政局郸城县石槽镇敬老院维修改造项目</w:t>
      </w:r>
      <w:r>
        <w:rPr>
          <w:rFonts w:hint="eastAsia" w:ascii="宋体" w:hAnsi="宋体" w:cs="宋体"/>
          <w:color w:val="auto"/>
          <w:sz w:val="24"/>
          <w:highlight w:val="none"/>
        </w:rPr>
        <w:t>的潜在投标人应在周口市公共资源交易中心网获取招标文件，并于202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日10点00分（北京时间）前递交投标文件。</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一、项目基本情况</w:t>
      </w:r>
    </w:p>
    <w:p>
      <w:pPr>
        <w:adjustRightInd w:val="0"/>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1、项目编号：</w:t>
      </w:r>
      <w:r>
        <w:rPr>
          <w:rFonts w:hint="eastAsia" w:ascii="宋体" w:hAnsi="宋体" w:cs="宋体"/>
          <w:color w:val="auto"/>
          <w:sz w:val="24"/>
          <w:highlight w:val="none"/>
          <w:lang w:val="en-US" w:eastAsia="zh-CN"/>
        </w:rPr>
        <w:t>郸财招标采购-2024-30</w:t>
      </w:r>
    </w:p>
    <w:p>
      <w:pPr>
        <w:adjustRightInd w:val="0"/>
        <w:snapToGrid w:val="0"/>
        <w:spacing w:line="360" w:lineRule="auto"/>
        <w:ind w:firstLine="240" w:firstLineChars="1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2、项目名称：</w:t>
      </w:r>
      <w:r>
        <w:rPr>
          <w:rFonts w:hint="eastAsia" w:ascii="宋体" w:hAnsi="宋体" w:cs="宋体"/>
          <w:color w:val="auto"/>
          <w:sz w:val="24"/>
          <w:highlight w:val="none"/>
          <w:lang w:eastAsia="zh-CN"/>
        </w:rPr>
        <w:t>郸城县民政局郸城县石槽镇敬老院维修改造项目</w:t>
      </w:r>
    </w:p>
    <w:p>
      <w:pPr>
        <w:adjustRightInd w:val="0"/>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3、采购方式：公开招标</w:t>
      </w:r>
    </w:p>
    <w:p>
      <w:pPr>
        <w:adjustRightInd w:val="0"/>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4、预算金额：</w:t>
      </w:r>
      <w:r>
        <w:rPr>
          <w:rFonts w:hint="eastAsia" w:ascii="宋体" w:hAnsi="宋体" w:cs="宋体"/>
          <w:color w:val="auto"/>
          <w:sz w:val="24"/>
          <w:highlight w:val="none"/>
          <w:lang w:eastAsia="zh-CN"/>
        </w:rPr>
        <w:t>7243078.00</w:t>
      </w:r>
      <w:r>
        <w:rPr>
          <w:rFonts w:hint="eastAsia" w:ascii="宋体" w:hAnsi="宋体" w:cs="宋体"/>
          <w:color w:val="auto"/>
          <w:sz w:val="24"/>
          <w:highlight w:val="none"/>
        </w:rPr>
        <w:t>元</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最高限价：</w:t>
      </w:r>
      <w:r>
        <w:rPr>
          <w:rFonts w:hint="eastAsia" w:ascii="宋体" w:hAnsi="宋体" w:cs="宋体"/>
          <w:color w:val="auto"/>
          <w:sz w:val="24"/>
          <w:highlight w:val="none"/>
          <w:lang w:eastAsia="zh-CN"/>
        </w:rPr>
        <w:t>7243078.00</w:t>
      </w:r>
      <w:r>
        <w:rPr>
          <w:rFonts w:hint="eastAsia" w:ascii="宋体" w:hAnsi="宋体" w:cs="宋体"/>
          <w:color w:val="auto"/>
          <w:sz w:val="24"/>
          <w:highlight w:val="none"/>
        </w:rPr>
        <w:t>元</w:t>
      </w:r>
    </w:p>
    <w:tbl>
      <w:tblPr>
        <w:tblStyle w:val="48"/>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2313"/>
        <w:gridCol w:w="1461"/>
        <w:gridCol w:w="1483"/>
        <w:gridCol w:w="980"/>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序号</w:t>
            </w:r>
          </w:p>
        </w:tc>
        <w:tc>
          <w:tcPr>
            <w:tcW w:w="567"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包号</w:t>
            </w:r>
          </w:p>
        </w:tc>
        <w:tc>
          <w:tcPr>
            <w:tcW w:w="2313"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包名称</w:t>
            </w:r>
          </w:p>
        </w:tc>
        <w:tc>
          <w:tcPr>
            <w:tcW w:w="1461"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包预算（元）</w:t>
            </w:r>
          </w:p>
        </w:tc>
        <w:tc>
          <w:tcPr>
            <w:tcW w:w="1483"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包最高限价（元）</w:t>
            </w:r>
          </w:p>
        </w:tc>
        <w:tc>
          <w:tcPr>
            <w:tcW w:w="980"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是否专门面向中小企业</w:t>
            </w:r>
          </w:p>
        </w:tc>
        <w:tc>
          <w:tcPr>
            <w:tcW w:w="1842"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采购预留金额（元）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567"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2313"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eastAsia="zh-CN"/>
              </w:rPr>
              <w:t>郸城县民政局郸城县石槽镇敬老院维修改造项目</w:t>
            </w:r>
          </w:p>
        </w:tc>
        <w:tc>
          <w:tcPr>
            <w:tcW w:w="1461" w:type="dxa"/>
            <w:vAlign w:val="center"/>
          </w:tcPr>
          <w:p>
            <w:pPr>
              <w:adjustRightInd w:val="0"/>
              <w:snapToGrid w:val="0"/>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7243078.00</w:t>
            </w:r>
          </w:p>
        </w:tc>
        <w:tc>
          <w:tcPr>
            <w:tcW w:w="1483" w:type="dxa"/>
            <w:vAlign w:val="center"/>
          </w:tcPr>
          <w:p>
            <w:pPr>
              <w:adjustRightInd w:val="0"/>
              <w:snapToGrid w:val="0"/>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7243078.00</w:t>
            </w:r>
          </w:p>
        </w:tc>
        <w:tc>
          <w:tcPr>
            <w:tcW w:w="980" w:type="dxa"/>
            <w:vAlign w:val="center"/>
          </w:tcPr>
          <w:p>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是</w:t>
            </w:r>
          </w:p>
        </w:tc>
        <w:tc>
          <w:tcPr>
            <w:tcW w:w="1842" w:type="dxa"/>
            <w:vAlign w:val="center"/>
          </w:tcPr>
          <w:p>
            <w:pPr>
              <w:adjustRightInd w:val="0"/>
              <w:snapToGrid w:val="0"/>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7243078.00</w:t>
            </w:r>
          </w:p>
        </w:tc>
      </w:tr>
    </w:tbl>
    <w:p>
      <w:pPr>
        <w:adjustRightInd w:val="0"/>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5、采购需求（包括但不限于标的的名称、数量、简要技术需求或服务要求等）</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（1）采购内容：</w:t>
      </w:r>
      <w:r>
        <w:rPr>
          <w:rFonts w:hint="eastAsia" w:ascii="宋体" w:hAnsi="宋体" w:cs="宋体"/>
          <w:color w:val="auto"/>
          <w:sz w:val="24"/>
          <w:highlight w:val="none"/>
          <w:lang w:eastAsia="zh-CN"/>
        </w:rPr>
        <w:t>郸城县民政局郸城县石槽镇敬老院维修改造项目</w:t>
      </w:r>
      <w:r>
        <w:rPr>
          <w:rFonts w:hint="eastAsia" w:ascii="宋体" w:hAnsi="宋体" w:cs="宋体"/>
          <w:color w:val="auto"/>
          <w:sz w:val="24"/>
          <w:highlight w:val="none"/>
        </w:rPr>
        <w:t>（详见工程量清单及招标文件）</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（2）工期：</w:t>
      </w:r>
      <w:r>
        <w:rPr>
          <w:rFonts w:hint="eastAsia" w:ascii="宋体" w:hAnsi="宋体" w:cs="宋体"/>
          <w:color w:val="auto"/>
          <w:sz w:val="24"/>
          <w:highlight w:val="none"/>
          <w:lang w:val="en-US" w:eastAsia="zh-CN"/>
        </w:rPr>
        <w:t>90日历天</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（3）质量要求：合格</w:t>
      </w:r>
    </w:p>
    <w:p>
      <w:pPr>
        <w:adjustRightInd w:val="0"/>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6、合同履行期限：签订合同后</w:t>
      </w:r>
      <w:r>
        <w:rPr>
          <w:rFonts w:hint="eastAsia" w:ascii="宋体" w:hAnsi="宋体" w:cs="宋体"/>
          <w:color w:val="auto"/>
          <w:sz w:val="24"/>
          <w:highlight w:val="none"/>
          <w:lang w:val="en-US" w:eastAsia="zh-CN"/>
        </w:rPr>
        <w:t>90日历天</w:t>
      </w:r>
    </w:p>
    <w:p>
      <w:pPr>
        <w:adjustRightInd w:val="0"/>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7、本项目是否接受联合体投标：否</w:t>
      </w:r>
    </w:p>
    <w:p>
      <w:pPr>
        <w:adjustRightInd w:val="0"/>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8、是否接受进口产品：否</w:t>
      </w:r>
    </w:p>
    <w:p>
      <w:pPr>
        <w:spacing w:line="360" w:lineRule="auto"/>
        <w:ind w:firstLine="240" w:firstLineChars="1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9、是否专门面向中小企业：是</w:t>
      </w:r>
      <w:r>
        <w:rPr>
          <w:rFonts w:hint="eastAsia" w:ascii="宋体" w:hAnsi="宋体" w:cs="宋体"/>
          <w:color w:val="auto"/>
          <w:sz w:val="24"/>
          <w:highlight w:val="none"/>
          <w:lang w:eastAsia="zh-CN"/>
        </w:rPr>
        <w:t>，</w:t>
      </w:r>
      <w:r>
        <w:rPr>
          <w:rFonts w:hint="eastAsia" w:ascii="宋体" w:hAnsi="宋体" w:cs="宋体"/>
          <w:color w:val="auto"/>
          <w:sz w:val="24"/>
          <w:highlight w:val="none"/>
        </w:rPr>
        <w:t>采购预留金额</w:t>
      </w:r>
      <w:r>
        <w:rPr>
          <w:rFonts w:hint="eastAsia" w:ascii="宋体" w:hAnsi="宋体" w:cs="宋体"/>
          <w:color w:val="auto"/>
          <w:sz w:val="24"/>
          <w:highlight w:val="none"/>
          <w:lang w:eastAsia="zh-CN"/>
        </w:rPr>
        <w:t>7243078.00</w:t>
      </w:r>
      <w:r>
        <w:rPr>
          <w:rFonts w:hint="eastAsia" w:ascii="宋体" w:hAnsi="宋体" w:cs="宋体"/>
          <w:color w:val="auto"/>
          <w:sz w:val="24"/>
          <w:highlight w:val="none"/>
        </w:rPr>
        <w:t>元。</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二、申请人的资格要求：</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1.满足《中华人民共和国政府采购法》第二十二条规定；</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2.落实政府采购政策需满足的资格要求：促进中小企业和监狱企业发展扶持政策、政府强制采购节能产品强制采购、节能产品及环境标志产品优先采购、促进残疾人就业政府采购政策。</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3.本项目的特定资格要求：</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投标文件中提供网站查询截屏，查询时间公告后有效）。</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（2）投标人须具备</w:t>
      </w:r>
      <w:r>
        <w:rPr>
          <w:rFonts w:hint="eastAsia" w:ascii="宋体" w:hAnsi="宋体" w:cs="宋体"/>
          <w:color w:val="auto"/>
          <w:sz w:val="24"/>
          <w:highlight w:val="none"/>
          <w:lang w:eastAsia="zh-CN"/>
        </w:rPr>
        <w:t>建筑工程</w:t>
      </w:r>
      <w:r>
        <w:rPr>
          <w:rFonts w:hint="eastAsia" w:ascii="宋体" w:hAnsi="宋体" w:cs="宋体"/>
          <w:color w:val="auto"/>
          <w:sz w:val="24"/>
          <w:highlight w:val="none"/>
        </w:rPr>
        <w:t>施工总承包叁级及以上资质，拟派项目负责人须具备</w:t>
      </w:r>
      <w:r>
        <w:rPr>
          <w:rFonts w:hint="eastAsia" w:ascii="宋体" w:hAnsi="宋体" w:cs="宋体"/>
          <w:color w:val="auto"/>
          <w:sz w:val="24"/>
          <w:highlight w:val="none"/>
          <w:lang w:eastAsia="zh-CN"/>
        </w:rPr>
        <w:t>建筑工程</w:t>
      </w:r>
      <w:r>
        <w:rPr>
          <w:rFonts w:hint="eastAsia" w:ascii="宋体" w:hAnsi="宋体" w:cs="宋体"/>
          <w:color w:val="auto"/>
          <w:sz w:val="24"/>
          <w:highlight w:val="none"/>
        </w:rPr>
        <w:t>专业贰级及以上注册建造师执业资格，具备有效的安全生产考核合格证书，并在人员、设备、资金等方面具有相应的施工能力，且未担任其他在建工程项目的项目经理。</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三、获取招标文件</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1.时间：202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日至202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23:59</w:t>
      </w:r>
      <w:r>
        <w:rPr>
          <w:rFonts w:hint="eastAsia" w:ascii="宋体" w:hAnsi="宋体" w:cs="宋体"/>
          <w:color w:val="auto"/>
          <w:sz w:val="24"/>
          <w:highlight w:val="none"/>
        </w:rPr>
        <w:t>（北京时间，法定节假日除外。）</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2.地点：周口市公共资源交易中心网（http://jyzx.zhoukou.gov.cn）</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3.方式：供应商请在网站自主注册后下载采购文件（zkzf格式）及资料，需办理CA数字证书后方可提交响应文件，具体办理事宜请查阅周口市公共资源交易中心网站。</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4.售价：0</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四、投标截止时间及地点</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1.时间：202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日10点00分（北京时间）</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2.地点：周口市公共资源交易中心网（http://jyzx.zhoukou.gov.cn）</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五、开标时间及地点</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1.时间：202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日10点00分（北京时间）</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2.地点：周口市公共资源交易中心网（http://jyzx.zhoukou.gov.cn）</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六、发布公告的媒介及招标公告期限</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本次招标公告在《河南省政府采购网》、《周口市公共资源交易中心网》上发布，招标公告期限为五个工作日。</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七、其他补充事宜：无</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八、凡对本次招标提出询问，请按照以下方式联系</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1.采购人信息</w:t>
      </w:r>
    </w:p>
    <w:p>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名称：</w:t>
      </w:r>
      <w:r>
        <w:rPr>
          <w:rFonts w:hint="eastAsia" w:ascii="宋体" w:hAnsi="宋体" w:cs="宋体"/>
          <w:color w:val="auto"/>
          <w:sz w:val="24"/>
          <w:highlight w:val="none"/>
          <w:lang w:eastAsia="zh-CN"/>
        </w:rPr>
        <w:t>郸城县民政局</w:t>
      </w:r>
    </w:p>
    <w:p>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地址：</w:t>
      </w:r>
      <w:r>
        <w:rPr>
          <w:rFonts w:hint="eastAsia" w:ascii="宋体" w:hAnsi="宋体" w:cs="宋体"/>
          <w:color w:val="auto"/>
          <w:sz w:val="24"/>
          <w:highlight w:val="none"/>
          <w:lang w:eastAsia="zh-CN"/>
        </w:rPr>
        <w:t>郸城县</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联系人：</w:t>
      </w:r>
      <w:r>
        <w:rPr>
          <w:rFonts w:hint="eastAsia" w:ascii="宋体" w:hAnsi="宋体" w:cs="宋体"/>
          <w:color w:val="auto"/>
          <w:sz w:val="24"/>
          <w:highlight w:val="none"/>
          <w:lang w:val="en-US" w:eastAsia="zh-CN"/>
        </w:rPr>
        <w:t>韩伟</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13033953333</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2.采购代理机构信息（如有）</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名称：周口市公共资源交易中心(周口市政府采购中心)</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地址：周口市光明路与政通路交叉口向北100米路东</w:t>
      </w:r>
    </w:p>
    <w:p>
      <w:pPr>
        <w:adjustRightInd w:val="0"/>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联系人：</w:t>
      </w:r>
      <w:r>
        <w:rPr>
          <w:rFonts w:hint="eastAsia" w:ascii="宋体" w:hAnsi="宋体" w:cs="宋体"/>
          <w:color w:val="auto"/>
          <w:sz w:val="24"/>
          <w:highlight w:val="none"/>
          <w:lang w:val="en-US" w:eastAsia="zh-CN"/>
        </w:rPr>
        <w:t>曹晨阳</w:t>
      </w:r>
    </w:p>
    <w:p>
      <w:pPr>
        <w:adjustRightInd w:val="0"/>
        <w:snapToGrid w:val="0"/>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0394-8106517</w:t>
      </w:r>
    </w:p>
    <w:p>
      <w:pPr>
        <w:adjustRightInd w:val="0"/>
        <w:snapToGrid w:val="0"/>
        <w:spacing w:line="360" w:lineRule="auto"/>
        <w:rPr>
          <w:rFonts w:hint="eastAsia" w:ascii="宋体" w:hAnsi="宋体" w:eastAsia="宋体" w:cs="宋体"/>
          <w:color w:val="auto"/>
          <w:sz w:val="24"/>
          <w:highlight w:val="none"/>
          <w:lang w:val="en-US" w:eastAsia="zh-CN"/>
        </w:rPr>
      </w:pPr>
      <w:bookmarkStart w:id="9" w:name="_Toc28359021"/>
      <w:bookmarkStart w:id="10" w:name="_Toc35393808"/>
      <w:bookmarkStart w:id="11" w:name="_Toc28359098"/>
      <w:bookmarkStart w:id="12" w:name="_Toc35393639"/>
      <w:r>
        <w:rPr>
          <w:rFonts w:hint="eastAsia" w:ascii="宋体" w:hAnsi="宋体" w:eastAsia="宋体" w:cs="宋体"/>
          <w:color w:val="auto"/>
          <w:sz w:val="24"/>
          <w:highlight w:val="none"/>
          <w:lang w:val="zh-CN" w:eastAsia="zh-CN"/>
        </w:rPr>
        <w:t>3.</w:t>
      </w:r>
      <w:bookmarkEnd w:id="9"/>
      <w:bookmarkEnd w:id="10"/>
      <w:bookmarkEnd w:id="11"/>
      <w:bookmarkEnd w:id="12"/>
      <w:r>
        <w:rPr>
          <w:rFonts w:hint="eastAsia" w:ascii="宋体" w:hAnsi="宋体" w:eastAsia="宋体" w:cs="宋体"/>
          <w:color w:val="auto"/>
          <w:sz w:val="24"/>
          <w:highlight w:val="none"/>
          <w:lang w:val="en-US" w:eastAsia="zh-CN"/>
        </w:rPr>
        <w:t>监督单位：</w:t>
      </w:r>
      <w:r>
        <w:rPr>
          <w:rFonts w:hint="eastAsia" w:ascii="宋体" w:hAnsi="宋体" w:eastAsia="宋体" w:cs="宋体"/>
          <w:color w:val="auto"/>
          <w:sz w:val="24"/>
          <w:highlight w:val="none"/>
          <w:lang w:eastAsia="zh-CN"/>
        </w:rPr>
        <w:t>郸城县政府采购办</w:t>
      </w:r>
    </w:p>
    <w:p>
      <w:pPr>
        <w:adjustRightInd w:val="0"/>
        <w:snapToGrid w:val="0"/>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zh-CN" w:eastAsia="zh-CN"/>
        </w:rPr>
        <w:t>联系方式：</w:t>
      </w:r>
      <w:r>
        <w:rPr>
          <w:rFonts w:hint="eastAsia" w:ascii="宋体" w:hAnsi="宋体" w:eastAsia="宋体" w:cs="宋体"/>
          <w:color w:val="auto"/>
          <w:sz w:val="24"/>
          <w:highlight w:val="none"/>
          <w:lang w:eastAsia="zh-CN"/>
        </w:rPr>
        <w:t>0394-3298829</w:t>
      </w:r>
      <w:r>
        <w:rPr>
          <w:rFonts w:hint="eastAsia" w:ascii="宋体" w:hAnsi="宋体" w:eastAsia="宋体" w:cs="宋体"/>
          <w:color w:val="auto"/>
          <w:sz w:val="24"/>
          <w:highlight w:val="none"/>
          <w:lang w:val="en-US"/>
        </w:rPr>
        <w:t xml:space="preserve"> </w:t>
      </w:r>
      <w:r>
        <w:rPr>
          <w:rFonts w:hint="eastAsia" w:ascii="宋体" w:hAnsi="宋体" w:eastAsia="宋体" w:cs="宋体"/>
          <w:color w:val="auto"/>
          <w:sz w:val="24"/>
          <w:highlight w:val="none"/>
          <w:lang w:val="en-US" w:eastAsia="zh-CN"/>
        </w:rPr>
        <w:t xml:space="preserve"> </w:t>
      </w:r>
    </w:p>
    <w:p>
      <w:pPr>
        <w:pStyle w:val="56"/>
        <w:rPr>
          <w:color w:val="auto"/>
          <w:highlight w:val="none"/>
        </w:rPr>
      </w:pPr>
    </w:p>
    <w:p>
      <w:pPr>
        <w:adjustRightInd w:val="0"/>
        <w:snapToGrid w:val="0"/>
        <w:spacing w:line="360" w:lineRule="auto"/>
        <w:ind w:firstLine="480" w:firstLineChars="200"/>
        <w:jc w:val="right"/>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pPr>
        <w:adjustRightInd w:val="0"/>
        <w:snapToGrid w:val="0"/>
        <w:spacing w:line="360" w:lineRule="auto"/>
        <w:ind w:firstLine="480" w:firstLineChars="200"/>
        <w:jc w:val="right"/>
        <w:rPr>
          <w:rFonts w:ascii="宋体" w:hAnsi="宋体" w:cs="宋体"/>
          <w:color w:val="auto"/>
          <w:sz w:val="24"/>
          <w:highlight w:val="none"/>
        </w:rPr>
      </w:pPr>
      <w:r>
        <w:rPr>
          <w:rFonts w:hint="eastAsia" w:ascii="宋体" w:hAnsi="宋体" w:cs="宋体"/>
          <w:color w:val="auto"/>
          <w:sz w:val="24"/>
          <w:highlight w:val="none"/>
        </w:rPr>
        <w:t xml:space="preserve">                 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22</w:t>
      </w:r>
      <w:bookmarkStart w:id="103" w:name="_GoBack"/>
      <w:bookmarkEnd w:id="103"/>
      <w:r>
        <w:rPr>
          <w:rFonts w:hint="eastAsia" w:ascii="宋体" w:hAnsi="宋体" w:cs="宋体"/>
          <w:color w:val="auto"/>
          <w:sz w:val="24"/>
          <w:highlight w:val="none"/>
        </w:rPr>
        <w:t>日</w:t>
      </w:r>
    </w:p>
    <w:bookmarkEnd w:id="8"/>
    <w:p>
      <w:pPr>
        <w:rPr>
          <w:rFonts w:ascii="宋体" w:hAnsi="宋体" w:cs="宋体"/>
          <w:color w:val="auto"/>
          <w:sz w:val="36"/>
          <w:szCs w:val="36"/>
          <w:highlight w:val="none"/>
        </w:rPr>
      </w:pPr>
      <w:bookmarkStart w:id="13" w:name="_Toc26819"/>
      <w:r>
        <w:rPr>
          <w:rFonts w:hint="eastAsia" w:ascii="宋体" w:hAnsi="宋体" w:cs="宋体"/>
          <w:color w:val="auto"/>
          <w:sz w:val="36"/>
          <w:szCs w:val="36"/>
          <w:highlight w:val="none"/>
        </w:rPr>
        <w:br w:type="page"/>
      </w:r>
    </w:p>
    <w:p>
      <w:pPr>
        <w:pStyle w:val="3"/>
        <w:spacing w:before="0" w:after="0" w:line="360" w:lineRule="auto"/>
        <w:jc w:val="center"/>
        <w:rPr>
          <w:rFonts w:ascii="宋体" w:hAnsi="宋体" w:cs="宋体"/>
          <w:bCs w:val="0"/>
          <w:color w:val="auto"/>
          <w:sz w:val="36"/>
          <w:szCs w:val="36"/>
          <w:highlight w:val="none"/>
        </w:rPr>
      </w:pPr>
      <w:r>
        <w:rPr>
          <w:rFonts w:hint="eastAsia" w:ascii="宋体" w:hAnsi="宋体" w:cs="宋体"/>
          <w:bCs w:val="0"/>
          <w:color w:val="auto"/>
          <w:sz w:val="36"/>
          <w:szCs w:val="36"/>
          <w:highlight w:val="none"/>
        </w:rPr>
        <w:t>第二章 投标人须知</w:t>
      </w:r>
      <w:bookmarkEnd w:id="13"/>
    </w:p>
    <w:p>
      <w:pPr>
        <w:pStyle w:val="139"/>
        <w:spacing w:line="360" w:lineRule="auto"/>
        <w:jc w:val="center"/>
        <w:outlineLvl w:val="2"/>
        <w:rPr>
          <w:rFonts w:ascii="宋体" w:hAnsi="宋体" w:eastAsia="宋体"/>
          <w:b/>
          <w:color w:val="auto"/>
          <w:kern w:val="2"/>
          <w:szCs w:val="28"/>
          <w:highlight w:val="none"/>
        </w:rPr>
      </w:pPr>
      <w:bookmarkStart w:id="14" w:name="_Toc12301"/>
      <w:bookmarkStart w:id="15" w:name="_Toc184635070"/>
      <w:r>
        <w:rPr>
          <w:rFonts w:hint="eastAsia" w:ascii="宋体" w:hAnsi="宋体" w:eastAsia="宋体"/>
          <w:b/>
          <w:color w:val="auto"/>
          <w:kern w:val="2"/>
          <w:szCs w:val="28"/>
          <w:highlight w:val="none"/>
        </w:rPr>
        <w:t>投标人须知前附表</w:t>
      </w:r>
      <w:bookmarkEnd w:id="14"/>
      <w:bookmarkEnd w:id="15"/>
    </w:p>
    <w:tbl>
      <w:tblPr>
        <w:tblStyle w:val="47"/>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055"/>
        <w:gridCol w:w="6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条款号</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条款名称</w:t>
            </w:r>
          </w:p>
        </w:tc>
        <w:tc>
          <w:tcPr>
            <w:tcW w:w="6420" w:type="dxa"/>
            <w:vAlign w:val="center"/>
          </w:tcPr>
          <w:p>
            <w:pPr>
              <w:autoSpaceDE w:val="0"/>
              <w:autoSpaceDN w:val="0"/>
              <w:adjustRightInd w:val="0"/>
              <w:spacing w:line="440" w:lineRule="exact"/>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1.1.2</w:t>
            </w:r>
          </w:p>
        </w:tc>
        <w:tc>
          <w:tcPr>
            <w:tcW w:w="2055" w:type="dxa"/>
            <w:vAlign w:val="center"/>
          </w:tcPr>
          <w:p>
            <w:pPr>
              <w:autoSpaceDE w:val="0"/>
              <w:autoSpaceDN w:val="0"/>
              <w:adjustRightInd w:val="0"/>
              <w:spacing w:line="440" w:lineRule="exact"/>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招标人（采购人）</w:t>
            </w:r>
          </w:p>
        </w:tc>
        <w:tc>
          <w:tcPr>
            <w:tcW w:w="6420" w:type="dxa"/>
            <w:vAlign w:val="center"/>
          </w:tcPr>
          <w:p>
            <w:pPr>
              <w:autoSpaceDE w:val="0"/>
              <w:autoSpaceDN w:val="0"/>
              <w:adjustRightInd w:val="0"/>
              <w:spacing w:line="440" w:lineRule="exact"/>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采购人：郸城县民政局</w:t>
            </w:r>
          </w:p>
          <w:p>
            <w:pPr>
              <w:autoSpaceDE w:val="0"/>
              <w:autoSpaceDN w:val="0"/>
              <w:adjustRightInd w:val="0"/>
              <w:spacing w:line="440" w:lineRule="exact"/>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联系地址：郸城县</w:t>
            </w:r>
          </w:p>
          <w:p>
            <w:pPr>
              <w:autoSpaceDE w:val="0"/>
              <w:autoSpaceDN w:val="0"/>
              <w:adjustRightInd w:val="0"/>
              <w:spacing w:line="440" w:lineRule="exact"/>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联系人：</w:t>
            </w:r>
            <w:r>
              <w:rPr>
                <w:rFonts w:hint="eastAsia" w:ascii="宋体" w:hAnsi="宋体" w:cs="宋体"/>
                <w:color w:val="auto"/>
                <w:kern w:val="0"/>
                <w:sz w:val="24"/>
                <w:highlight w:val="none"/>
                <w:lang w:val="zh-CN" w:eastAsia="zh-CN"/>
              </w:rPr>
              <w:t>韩伟</w:t>
            </w:r>
          </w:p>
          <w:p>
            <w:pPr>
              <w:autoSpaceDE w:val="0"/>
              <w:autoSpaceDN w:val="0"/>
              <w:adjustRightInd w:val="0"/>
              <w:spacing w:line="440" w:lineRule="exact"/>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en-US" w:eastAsia="zh-CN"/>
              </w:rPr>
              <w:t>电话</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lang w:val="zh-CN" w:eastAsia="zh-CN"/>
              </w:rPr>
              <w:t>13033953333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1.1.3</w:t>
            </w:r>
          </w:p>
        </w:tc>
        <w:tc>
          <w:tcPr>
            <w:tcW w:w="2055" w:type="dxa"/>
            <w:vAlign w:val="center"/>
          </w:tcPr>
          <w:p>
            <w:pPr>
              <w:autoSpaceDE w:val="0"/>
              <w:autoSpaceDN w:val="0"/>
              <w:adjustRightInd w:val="0"/>
              <w:spacing w:line="440" w:lineRule="exact"/>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招标代理机构</w:t>
            </w:r>
          </w:p>
        </w:tc>
        <w:tc>
          <w:tcPr>
            <w:tcW w:w="6420" w:type="dxa"/>
            <w:vAlign w:val="center"/>
          </w:tcPr>
          <w:p>
            <w:pPr>
              <w:autoSpaceDE w:val="0"/>
              <w:autoSpaceDN w:val="0"/>
              <w:adjustRightInd w:val="0"/>
              <w:spacing w:line="440" w:lineRule="exact"/>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采购代理机构： 周口市公共资源交易中心政府采购中心 </w:t>
            </w:r>
          </w:p>
          <w:p>
            <w:pPr>
              <w:autoSpaceDE w:val="0"/>
              <w:autoSpaceDN w:val="0"/>
              <w:adjustRightInd w:val="0"/>
              <w:spacing w:line="440" w:lineRule="exact"/>
              <w:jc w:val="left"/>
              <w:rPr>
                <w:rFonts w:ascii="宋体" w:hAnsi="宋体" w:cs="宋体"/>
                <w:color w:val="auto"/>
                <w:sz w:val="24"/>
                <w:highlight w:val="none"/>
              </w:rPr>
            </w:pPr>
            <w:r>
              <w:rPr>
                <w:rFonts w:hint="eastAsia" w:ascii="宋体" w:hAnsi="宋体" w:cs="宋体"/>
                <w:color w:val="auto"/>
                <w:kern w:val="0"/>
                <w:sz w:val="24"/>
                <w:highlight w:val="none"/>
                <w:lang w:val="zh-CN"/>
              </w:rPr>
              <w:t>地 址：</w:t>
            </w:r>
            <w:r>
              <w:rPr>
                <w:rFonts w:hint="eastAsia" w:ascii="宋体" w:hAnsi="宋体" w:cs="宋体"/>
                <w:color w:val="auto"/>
                <w:sz w:val="24"/>
                <w:highlight w:val="none"/>
              </w:rPr>
              <w:t>周口市光明路与政通路交叉口向北100米路东</w:t>
            </w:r>
          </w:p>
          <w:p>
            <w:pPr>
              <w:autoSpaceDE w:val="0"/>
              <w:autoSpaceDN w:val="0"/>
              <w:adjustRightInd w:val="0"/>
              <w:spacing w:line="440" w:lineRule="exact"/>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联系人：</w:t>
            </w:r>
          </w:p>
          <w:p>
            <w:pPr>
              <w:autoSpaceDE w:val="0"/>
              <w:autoSpaceDN w:val="0"/>
              <w:adjustRightInd w:val="0"/>
              <w:spacing w:line="440" w:lineRule="exact"/>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1.1.4</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项目名称</w:t>
            </w:r>
          </w:p>
        </w:tc>
        <w:tc>
          <w:tcPr>
            <w:tcW w:w="6420" w:type="dxa"/>
            <w:vAlign w:val="center"/>
          </w:tcPr>
          <w:p>
            <w:pPr>
              <w:autoSpaceDE w:val="0"/>
              <w:autoSpaceDN w:val="0"/>
              <w:adjustRightInd w:val="0"/>
              <w:spacing w:line="440" w:lineRule="exact"/>
              <w:jc w:val="left"/>
              <w:rPr>
                <w:rStyle w:val="51"/>
                <w:rFonts w:hint="eastAsia" w:ascii="宋体" w:hAnsi="宋体" w:eastAsia="宋体" w:cs="宋体"/>
                <w:color w:val="auto"/>
                <w:sz w:val="24"/>
                <w:highlight w:val="none"/>
                <w:lang w:eastAsia="zh-CN"/>
              </w:rPr>
            </w:pPr>
            <w:r>
              <w:rPr>
                <w:rStyle w:val="51"/>
                <w:rFonts w:hint="eastAsia" w:ascii="宋体" w:hAnsi="宋体" w:cs="宋体"/>
                <w:color w:val="auto"/>
                <w:sz w:val="24"/>
                <w:highlight w:val="none"/>
                <w:lang w:eastAsia="zh-CN"/>
              </w:rPr>
              <w:t>郸城县民政局郸城县石槽镇敬老院维修改造项目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1.1.5</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项目地点</w:t>
            </w:r>
          </w:p>
        </w:tc>
        <w:tc>
          <w:tcPr>
            <w:tcW w:w="6420" w:type="dxa"/>
            <w:vAlign w:val="center"/>
          </w:tcPr>
          <w:p>
            <w:pPr>
              <w:autoSpaceDE w:val="0"/>
              <w:autoSpaceDN w:val="0"/>
              <w:adjustRightInd w:val="0"/>
              <w:spacing w:line="440" w:lineRule="exact"/>
              <w:jc w:val="left"/>
              <w:rPr>
                <w:rFonts w:ascii="宋体" w:hAnsi="宋体" w:cs="宋体"/>
                <w:color w:val="auto"/>
                <w:kern w:val="0"/>
                <w:sz w:val="24"/>
                <w:highlight w:val="none"/>
              </w:rPr>
            </w:pPr>
            <w:r>
              <w:rPr>
                <w:rFonts w:hint="eastAsia" w:ascii="宋体" w:hAnsi="宋体" w:cs="宋体"/>
                <w:color w:val="auto"/>
                <w:kern w:val="0"/>
                <w:sz w:val="24"/>
                <w:highlight w:val="none"/>
                <w:lang w:eastAsia="zh-CN"/>
              </w:rPr>
              <w:t>郸城县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1.2.1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资金来源</w:t>
            </w:r>
          </w:p>
        </w:tc>
        <w:tc>
          <w:tcPr>
            <w:tcW w:w="6420" w:type="dxa"/>
            <w:vAlign w:val="center"/>
          </w:tcPr>
          <w:p>
            <w:pPr>
              <w:autoSpaceDE w:val="0"/>
              <w:autoSpaceDN w:val="0"/>
              <w:adjustRightInd w:val="0"/>
              <w:spacing w:line="44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国库集中支付+自行支付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1.2.2</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出资比例</w:t>
            </w:r>
          </w:p>
        </w:tc>
        <w:tc>
          <w:tcPr>
            <w:tcW w:w="6420" w:type="dxa"/>
            <w:vAlign w:val="center"/>
          </w:tcPr>
          <w:p>
            <w:pPr>
              <w:pStyle w:val="13"/>
              <w:spacing w:line="440" w:lineRule="exact"/>
              <w:jc w:val="both"/>
              <w:rPr>
                <w:rFonts w:hAnsi="宋体"/>
                <w:color w:val="auto"/>
                <w:highlight w:val="none"/>
              </w:rPr>
            </w:pPr>
            <w:r>
              <w:rPr>
                <w:rFonts w:hint="eastAsia" w:hAnsi="宋体"/>
                <w:color w:val="auto"/>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1.2.3</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资金落实情况</w:t>
            </w:r>
          </w:p>
        </w:tc>
        <w:tc>
          <w:tcPr>
            <w:tcW w:w="6420" w:type="dxa"/>
            <w:vAlign w:val="center"/>
          </w:tcPr>
          <w:p>
            <w:pPr>
              <w:pStyle w:val="13"/>
              <w:spacing w:line="440" w:lineRule="exact"/>
              <w:jc w:val="both"/>
              <w:rPr>
                <w:rFonts w:hAnsi="宋体"/>
                <w:color w:val="auto"/>
                <w:highlight w:val="none"/>
              </w:rPr>
            </w:pPr>
            <w:r>
              <w:rPr>
                <w:rFonts w:hint="eastAsia" w:hAnsi="宋体"/>
                <w:color w:val="auto"/>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1.3.1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招标范围</w:t>
            </w:r>
          </w:p>
        </w:tc>
        <w:tc>
          <w:tcPr>
            <w:tcW w:w="6420" w:type="dxa"/>
            <w:vAlign w:val="center"/>
          </w:tcPr>
          <w:p>
            <w:pPr>
              <w:autoSpaceDE w:val="0"/>
              <w:autoSpaceDN w:val="0"/>
              <w:adjustRightInd w:val="0"/>
              <w:spacing w:line="440" w:lineRule="exact"/>
              <w:jc w:val="left"/>
              <w:rPr>
                <w:rFonts w:ascii="宋体" w:hAnsi="宋体" w:cs="宋体"/>
                <w:color w:val="auto"/>
                <w:sz w:val="24"/>
                <w:highlight w:val="none"/>
              </w:rPr>
            </w:pPr>
            <w:r>
              <w:rPr>
                <w:rFonts w:hint="eastAsia" w:ascii="宋体" w:hAnsi="宋体" w:cs="宋体"/>
                <w:color w:val="auto"/>
                <w:kern w:val="0"/>
                <w:sz w:val="24"/>
                <w:highlight w:val="none"/>
              </w:rPr>
              <w:t>工程量清单所包括的全部内容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1.3.2</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计划工期</w:t>
            </w:r>
          </w:p>
        </w:tc>
        <w:tc>
          <w:tcPr>
            <w:tcW w:w="6420" w:type="dxa"/>
            <w:vAlign w:val="center"/>
          </w:tcPr>
          <w:p>
            <w:pPr>
              <w:spacing w:line="440" w:lineRule="exact"/>
              <w:rPr>
                <w:rFonts w:ascii="宋体" w:hAnsi="宋体" w:cs="宋体"/>
                <w:color w:val="auto"/>
                <w:sz w:val="24"/>
                <w:highlight w:val="none"/>
              </w:rPr>
            </w:pPr>
            <w:r>
              <w:rPr>
                <w:rFonts w:hint="eastAsia" w:ascii="宋体" w:hAnsi="宋体" w:cs="宋体"/>
                <w:color w:val="auto"/>
                <w:sz w:val="24"/>
                <w:highlight w:val="none"/>
                <w:lang w:val="en-US" w:eastAsia="zh-CN"/>
              </w:rPr>
              <w:t>90日历天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1.3.3</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质量要求</w:t>
            </w:r>
          </w:p>
        </w:tc>
        <w:tc>
          <w:tcPr>
            <w:tcW w:w="6420" w:type="dxa"/>
            <w:vAlign w:val="center"/>
          </w:tcPr>
          <w:p>
            <w:pPr>
              <w:pStyle w:val="13"/>
              <w:spacing w:line="440" w:lineRule="exact"/>
              <w:jc w:val="both"/>
              <w:rPr>
                <w:rFonts w:hAnsi="宋体"/>
                <w:color w:val="auto"/>
                <w:highlight w:val="none"/>
              </w:rPr>
            </w:pPr>
            <w:r>
              <w:rPr>
                <w:rFonts w:hint="eastAsia" w:hAnsi="宋体"/>
                <w:color w:val="auto"/>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hint="eastAsia" w:ascii="宋体" w:hAnsi="宋体" w:cs="宋体"/>
                <w:color w:val="auto"/>
                <w:kern w:val="0"/>
                <w:sz w:val="24"/>
                <w:highlight w:val="none"/>
              </w:rPr>
            </w:pPr>
            <w:r>
              <w:rPr>
                <w:rFonts w:hint="eastAsia" w:ascii="宋体" w:hAnsi="宋体" w:cs="TimesNewRomanPSMT"/>
                <w:color w:val="auto"/>
                <w:kern w:val="0"/>
                <w:sz w:val="24"/>
                <w:highlight w:val="none"/>
              </w:rPr>
              <w:t>1.3.4</w:t>
            </w:r>
          </w:p>
        </w:tc>
        <w:tc>
          <w:tcPr>
            <w:tcW w:w="2055" w:type="dxa"/>
            <w:vAlign w:val="center"/>
          </w:tcPr>
          <w:p>
            <w:pPr>
              <w:autoSpaceDE w:val="0"/>
              <w:autoSpaceDN w:val="0"/>
              <w:adjustRightInd w:val="0"/>
              <w:spacing w:line="360" w:lineRule="auto"/>
              <w:jc w:val="center"/>
              <w:rPr>
                <w:rFonts w:hint="eastAsia" w:ascii="宋体" w:hAnsi="宋体" w:cs="宋体"/>
                <w:color w:val="auto"/>
                <w:kern w:val="0"/>
                <w:sz w:val="24"/>
                <w:highlight w:val="none"/>
              </w:rPr>
            </w:pPr>
            <w:r>
              <w:rPr>
                <w:rFonts w:hint="eastAsia" w:ascii="宋体" w:hAnsi="宋体" w:cs="仿宋_GB2312"/>
                <w:color w:val="auto"/>
                <w:kern w:val="0"/>
                <w:sz w:val="24"/>
                <w:highlight w:val="none"/>
              </w:rPr>
              <w:t>保修期</w:t>
            </w:r>
          </w:p>
        </w:tc>
        <w:tc>
          <w:tcPr>
            <w:tcW w:w="6420" w:type="dxa"/>
            <w:vAlign w:val="center"/>
          </w:tcPr>
          <w:p>
            <w:pPr>
              <w:pStyle w:val="13"/>
              <w:spacing w:line="360" w:lineRule="auto"/>
              <w:jc w:val="both"/>
              <w:rPr>
                <w:rFonts w:hint="eastAsia" w:hAnsi="宋体" w:eastAsia="宋体"/>
                <w:color w:val="auto"/>
                <w:highlight w:val="none"/>
                <w:lang w:eastAsia="zh-CN"/>
              </w:rPr>
            </w:pPr>
            <w:r>
              <w:rPr>
                <w:rFonts w:hint="eastAsia" w:hAnsi="宋体"/>
                <w:color w:val="auto"/>
                <w:highlight w:val="none"/>
                <w:lang w:eastAsia="zh-CN"/>
              </w:rPr>
              <w:t>按照国家相关规定执行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hint="eastAsia" w:ascii="宋体" w:hAnsi="宋体" w:cs="宋体"/>
                <w:color w:val="auto"/>
                <w:kern w:val="0"/>
                <w:sz w:val="24"/>
                <w:highlight w:val="none"/>
              </w:rPr>
            </w:pPr>
            <w:r>
              <w:rPr>
                <w:rFonts w:hint="eastAsia" w:ascii="宋体" w:hAnsi="宋体" w:cs="TimesNewRomanPSMT"/>
                <w:color w:val="auto"/>
                <w:kern w:val="0"/>
                <w:sz w:val="24"/>
                <w:highlight w:val="none"/>
              </w:rPr>
              <w:t>1.3.5</w:t>
            </w:r>
          </w:p>
        </w:tc>
        <w:tc>
          <w:tcPr>
            <w:tcW w:w="2055" w:type="dxa"/>
            <w:vAlign w:val="center"/>
          </w:tcPr>
          <w:p>
            <w:pPr>
              <w:autoSpaceDE w:val="0"/>
              <w:autoSpaceDN w:val="0"/>
              <w:adjustRightInd w:val="0"/>
              <w:spacing w:line="360" w:lineRule="auto"/>
              <w:jc w:val="center"/>
              <w:rPr>
                <w:rFonts w:hint="eastAsia" w:ascii="宋体" w:hAnsi="宋体" w:cs="宋体"/>
                <w:color w:val="auto"/>
                <w:kern w:val="0"/>
                <w:sz w:val="24"/>
                <w:highlight w:val="none"/>
              </w:rPr>
            </w:pPr>
            <w:r>
              <w:rPr>
                <w:rFonts w:hint="eastAsia" w:ascii="宋体" w:hAnsi="宋体" w:cs="仿宋_GB2312"/>
                <w:color w:val="auto"/>
                <w:kern w:val="0"/>
                <w:sz w:val="24"/>
                <w:highlight w:val="none"/>
              </w:rPr>
              <w:t>所属行业</w:t>
            </w:r>
          </w:p>
        </w:tc>
        <w:tc>
          <w:tcPr>
            <w:tcW w:w="6420" w:type="dxa"/>
            <w:vAlign w:val="center"/>
          </w:tcPr>
          <w:p>
            <w:pPr>
              <w:pStyle w:val="13"/>
              <w:spacing w:line="360" w:lineRule="auto"/>
              <w:jc w:val="both"/>
              <w:rPr>
                <w:rFonts w:hint="eastAsia" w:hAnsi="宋体"/>
                <w:color w:val="auto"/>
                <w:highlight w:val="none"/>
              </w:rPr>
            </w:pPr>
            <w:r>
              <w:rPr>
                <w:rFonts w:hint="eastAsia" w:hAnsi="宋体"/>
                <w:color w:val="auto"/>
                <w:highlight w:val="none"/>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1.4.1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投标人资质条件、能力和信誉</w:t>
            </w:r>
          </w:p>
        </w:tc>
        <w:tc>
          <w:tcPr>
            <w:tcW w:w="6420" w:type="dxa"/>
            <w:vAlign w:val="center"/>
          </w:tcPr>
          <w:p>
            <w:pPr>
              <w:spacing w:line="440" w:lineRule="exact"/>
              <w:rPr>
                <w:rFonts w:ascii="宋体" w:hAnsi="宋体" w:cs="宋体"/>
                <w:color w:val="auto"/>
                <w:sz w:val="24"/>
                <w:highlight w:val="none"/>
              </w:rPr>
            </w:pPr>
            <w:r>
              <w:rPr>
                <w:rFonts w:hint="eastAsia" w:ascii="宋体" w:hAnsi="宋体" w:cs="宋体"/>
                <w:color w:val="auto"/>
                <w:sz w:val="24"/>
                <w:highlight w:val="none"/>
              </w:rPr>
              <w:t>1.满足《中华人民共和国政府采购法》第二十二条规定；</w:t>
            </w:r>
          </w:p>
          <w:p>
            <w:pPr>
              <w:spacing w:line="440" w:lineRule="exact"/>
              <w:rPr>
                <w:rFonts w:ascii="宋体" w:hAnsi="宋体" w:cs="宋体"/>
                <w:color w:val="auto"/>
                <w:sz w:val="24"/>
                <w:highlight w:val="none"/>
              </w:rPr>
            </w:pPr>
            <w:r>
              <w:rPr>
                <w:rFonts w:hint="eastAsia" w:ascii="宋体" w:hAnsi="宋体" w:cs="宋体"/>
                <w:color w:val="auto"/>
                <w:sz w:val="24"/>
                <w:highlight w:val="none"/>
              </w:rPr>
              <w:t>2.落实政府采购政策需满足的资格要求：促进中小企业和监狱企业发展扶持政策、政府强制采购节能产品强制采购、节能产品及环境标志产品优先采购、促进残疾人就业政府采购政策。</w:t>
            </w:r>
          </w:p>
          <w:p>
            <w:pPr>
              <w:spacing w:line="440" w:lineRule="exact"/>
              <w:rPr>
                <w:rFonts w:ascii="宋体" w:hAnsi="宋体" w:cs="宋体"/>
                <w:color w:val="auto"/>
                <w:sz w:val="24"/>
                <w:highlight w:val="none"/>
              </w:rPr>
            </w:pPr>
            <w:r>
              <w:rPr>
                <w:rFonts w:hint="eastAsia" w:ascii="宋体" w:hAnsi="宋体" w:cs="宋体"/>
                <w:color w:val="auto"/>
                <w:sz w:val="24"/>
                <w:highlight w:val="none"/>
              </w:rPr>
              <w:t>3.本项目的特定资格要求：</w:t>
            </w:r>
          </w:p>
          <w:p>
            <w:pPr>
              <w:spacing w:line="440" w:lineRule="exact"/>
              <w:rPr>
                <w:rFonts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投标文件中提供网站查询截屏，查询时间公告后有效）。</w:t>
            </w:r>
          </w:p>
          <w:p>
            <w:pPr>
              <w:spacing w:line="440" w:lineRule="exact"/>
              <w:rPr>
                <w:rFonts w:ascii="宋体" w:hAnsi="宋体" w:cs="宋体"/>
                <w:color w:val="auto"/>
                <w:sz w:val="24"/>
                <w:highlight w:val="none"/>
              </w:rPr>
            </w:pPr>
            <w:r>
              <w:rPr>
                <w:rFonts w:hint="eastAsia" w:ascii="宋体" w:hAnsi="宋体" w:cs="宋体"/>
                <w:color w:val="auto"/>
                <w:sz w:val="24"/>
                <w:highlight w:val="none"/>
              </w:rPr>
              <w:t>（2）投标人须具备</w:t>
            </w:r>
            <w:r>
              <w:rPr>
                <w:rFonts w:hint="eastAsia" w:ascii="宋体" w:hAnsi="宋体" w:cs="宋体"/>
                <w:color w:val="auto"/>
                <w:sz w:val="24"/>
                <w:highlight w:val="none"/>
                <w:lang w:eastAsia="zh-CN"/>
              </w:rPr>
              <w:t>建筑工程</w:t>
            </w:r>
            <w:r>
              <w:rPr>
                <w:rFonts w:hint="eastAsia" w:ascii="宋体" w:hAnsi="宋体" w:cs="宋体"/>
                <w:color w:val="auto"/>
                <w:sz w:val="24"/>
                <w:highlight w:val="none"/>
              </w:rPr>
              <w:t>施工总承包叁级及以上资质，拟派项目负责人须具备</w:t>
            </w:r>
            <w:r>
              <w:rPr>
                <w:rFonts w:hint="eastAsia" w:ascii="宋体" w:hAnsi="宋体" w:cs="宋体"/>
                <w:color w:val="auto"/>
                <w:sz w:val="24"/>
                <w:highlight w:val="none"/>
                <w:lang w:eastAsia="zh-CN"/>
              </w:rPr>
              <w:t>建筑工程</w:t>
            </w:r>
            <w:r>
              <w:rPr>
                <w:rFonts w:hint="eastAsia" w:ascii="宋体" w:hAnsi="宋体" w:cs="宋体"/>
                <w:color w:val="auto"/>
                <w:sz w:val="24"/>
                <w:highlight w:val="none"/>
              </w:rPr>
              <w:t>专业贰级及以上注册建造师执业资格，具备有效的安全生产考核合格证书，并在人员、设备、资金等方面具有相应的施工能力，且未担任其他在建工程项目的项目经理。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1.4.2</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是否接受联合体投标</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1.9.1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踏勘现场</w:t>
            </w:r>
          </w:p>
        </w:tc>
        <w:tc>
          <w:tcPr>
            <w:tcW w:w="6420" w:type="dxa"/>
            <w:vAlign w:val="center"/>
          </w:tcPr>
          <w:p>
            <w:pPr>
              <w:spacing w:line="440" w:lineRule="exact"/>
              <w:rPr>
                <w:rFonts w:ascii="宋体" w:hAnsi="宋体" w:cs="宋体"/>
                <w:color w:val="auto"/>
                <w:kern w:val="0"/>
                <w:sz w:val="24"/>
                <w:highlight w:val="none"/>
              </w:rPr>
            </w:pPr>
            <w:r>
              <w:rPr>
                <w:rFonts w:hint="eastAsia" w:ascii="宋体" w:hAnsi="宋体" w:cs="仿宋_GB2312"/>
                <w:color w:val="auto"/>
                <w:kern w:val="0"/>
                <w:sz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1.10.1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投标预备会</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1.10.2</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投标人提出问题的截止时间</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获取招标文件后7个工作日内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1.10.3</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招标人书面澄清的时间</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递交投标文件的截止之日15日前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1.11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分包</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1.12</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偏离</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2.1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构成招标文件的其他材料</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招标文件的补充文件（如有）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2.2.1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投标人要求澄清招标文件的截止时间</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递交投标文件的截止之日10日前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2.2.2</w:t>
            </w:r>
          </w:p>
        </w:tc>
        <w:tc>
          <w:tcPr>
            <w:tcW w:w="2055" w:type="dxa"/>
            <w:vAlign w:val="center"/>
          </w:tcPr>
          <w:p>
            <w:pPr>
              <w:autoSpaceDE w:val="0"/>
              <w:autoSpaceDN w:val="0"/>
              <w:adjustRightInd w:val="0"/>
              <w:spacing w:line="44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投标截止时间</w:t>
            </w:r>
          </w:p>
        </w:tc>
        <w:tc>
          <w:tcPr>
            <w:tcW w:w="6420" w:type="dxa"/>
            <w:vAlign w:val="center"/>
          </w:tcPr>
          <w:p>
            <w:pPr>
              <w:autoSpaceDE w:val="0"/>
              <w:autoSpaceDN w:val="0"/>
              <w:adjustRightInd w:val="0"/>
              <w:spacing w:line="44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202</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年   月   日10时00分（见招标公告）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2.2.3</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投标人确认收到招标文件澄清的时间</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招标文件的补充文件发布公告起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2.3.2</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投标人确认收到招标文件修改的时间</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招标文件的补充文件发布公告起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3.1.1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构成投标文件的其他材料</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投标人认为有必要加入的资料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3.3.1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投标有效期</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60日历天（投标截止之日起）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3.4.1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投标保证金</w:t>
            </w:r>
          </w:p>
        </w:tc>
        <w:tc>
          <w:tcPr>
            <w:tcW w:w="6420" w:type="dxa"/>
            <w:vAlign w:val="center"/>
          </w:tcPr>
          <w:p>
            <w:pPr>
              <w:spacing w:line="440" w:lineRule="exact"/>
              <w:jc w:val="left"/>
              <w:rPr>
                <w:rFonts w:ascii="宋体" w:hAnsi="宋体" w:cs="宋体"/>
                <w:color w:val="auto"/>
                <w:sz w:val="24"/>
                <w:highlight w:val="none"/>
                <w:lang w:val="zh-CN"/>
              </w:rPr>
            </w:pPr>
            <w:r>
              <w:rPr>
                <w:rFonts w:hint="eastAsia" w:ascii="宋体" w:hAnsi="宋体" w:cs="宋体"/>
                <w:color w:val="auto"/>
                <w:sz w:val="24"/>
                <w:highlight w:val="none"/>
                <w:lang w:val="zh-CN"/>
              </w:rPr>
              <w:t>本项目不需要缴纳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3.5.2</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近年财务状况的年份要求</w:t>
            </w:r>
          </w:p>
        </w:tc>
        <w:tc>
          <w:tcPr>
            <w:tcW w:w="6420" w:type="dxa"/>
            <w:vAlign w:val="center"/>
          </w:tcPr>
          <w:p>
            <w:pPr>
              <w:autoSpaceDE w:val="0"/>
              <w:autoSpaceDN w:val="0"/>
              <w:adjustRightInd w:val="0"/>
              <w:spacing w:line="440" w:lineRule="exact"/>
              <w:rPr>
                <w:rFonts w:ascii="宋体" w:hAnsi="宋体" w:cs="宋体"/>
                <w:color w:val="auto"/>
                <w:sz w:val="24"/>
                <w:highlight w:val="none"/>
                <w:lang w:val="zh-CN"/>
              </w:rPr>
            </w:pPr>
            <w:r>
              <w:rPr>
                <w:rFonts w:hint="eastAsia" w:ascii="宋体" w:hAnsi="宋体" w:cs="宋体"/>
                <w:color w:val="auto"/>
                <w:sz w:val="24"/>
                <w:highlight w:val="none"/>
                <w:lang w:val="en-US" w:eastAsia="zh-CN"/>
              </w:rPr>
              <w:t>提供2023年度的审计报告</w:t>
            </w:r>
            <w:r>
              <w:rPr>
                <w:rFonts w:hint="eastAsia" w:ascii="宋体" w:hAnsi="宋体" w:cs="宋体"/>
                <w:color w:val="auto"/>
                <w:sz w:val="24"/>
                <w:highlight w:val="none"/>
                <w:lang w:val="zh-CN"/>
              </w:rPr>
              <w:t>（新设立的公司自公司运营之日起算起，不足一年的提供近来的财务报表）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3.5.3</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近年完成的类似项目的年份要求</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0</w:t>
            </w:r>
            <w:r>
              <w:rPr>
                <w:rFonts w:hint="eastAsia" w:ascii="宋体" w:hAnsi="宋体" w:cs="宋体"/>
                <w:color w:val="auto"/>
                <w:kern w:val="0"/>
                <w:sz w:val="24"/>
                <w:highlight w:val="none"/>
              </w:rPr>
              <w:t>年1月1日以来,成立不足三年的，以公司开始运营时间计算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3.5.5</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近年发生的诉讼及仲裁情况的年份要求</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0</w:t>
            </w:r>
            <w:r>
              <w:rPr>
                <w:rFonts w:hint="eastAsia" w:ascii="宋体" w:hAnsi="宋体" w:cs="宋体"/>
                <w:color w:val="auto"/>
                <w:kern w:val="0"/>
                <w:sz w:val="24"/>
                <w:highlight w:val="none"/>
              </w:rPr>
              <w:t>年1月1日以来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3.6</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是否允许递交备选投标方案</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3.7.3</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签字或盖章要求</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投标文件按招标文件要求，在需要签字盖章的地方加盖投标人公章和法定代表人或其委托代理人签字或盖章。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3.7.4</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投标文件份数</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1、投标文件为使用周口市公共资源交易中心提供的电子标书制作工具软件（</w:t>
            </w:r>
            <w:r>
              <w:rPr>
                <w:rFonts w:hint="eastAsia" w:ascii="宋体" w:hAnsi="宋体" w:cs="宋体"/>
                <w:color w:val="auto"/>
                <w:sz w:val="24"/>
                <w:highlight w:val="none"/>
              </w:rPr>
              <w:t>http://jyzx.zhoukou.gov.cn</w:t>
            </w:r>
            <w:r>
              <w:rPr>
                <w:rFonts w:hint="eastAsia" w:ascii="宋体" w:hAnsi="宋体" w:cs="宋体"/>
                <w:color w:val="auto"/>
                <w:kern w:val="0"/>
                <w:sz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2、本项目实行网上远程开标，未加密的电子投标文件和纸质文件均不再提交。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4.1.2</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封套上写明</w:t>
            </w:r>
          </w:p>
        </w:tc>
        <w:tc>
          <w:tcPr>
            <w:tcW w:w="6420" w:type="dxa"/>
            <w:vAlign w:val="center"/>
          </w:tcPr>
          <w:p>
            <w:pPr>
              <w:autoSpaceDE w:val="0"/>
              <w:autoSpaceDN w:val="0"/>
              <w:adjustRightInd w:val="0"/>
              <w:spacing w:line="440" w:lineRule="exact"/>
              <w:rPr>
                <w:rFonts w:ascii="宋体" w:hAnsi="宋体" w:cs="宋体"/>
                <w:color w:val="auto"/>
                <w:sz w:val="24"/>
                <w:highlight w:val="none"/>
              </w:rPr>
            </w:pPr>
            <w:r>
              <w:rPr>
                <w:rFonts w:hint="eastAsia" w:ascii="宋体" w:hAnsi="宋体" w:cs="宋体"/>
                <w:color w:val="auto"/>
                <w:kern w:val="0"/>
                <w:sz w:val="24"/>
                <w:highlight w:val="none"/>
              </w:rPr>
              <w:t>本项目实行网上远程开标，不需要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4.2.2</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递交投标文件地点</w:t>
            </w:r>
          </w:p>
        </w:tc>
        <w:tc>
          <w:tcPr>
            <w:tcW w:w="6420" w:type="dxa"/>
            <w:vAlign w:val="center"/>
          </w:tcPr>
          <w:p>
            <w:pPr>
              <w:spacing w:line="440" w:lineRule="exact"/>
              <w:rPr>
                <w:rFonts w:ascii="宋体" w:hAnsi="宋体" w:cs="宋体"/>
                <w:color w:val="auto"/>
                <w:sz w:val="24"/>
                <w:highlight w:val="none"/>
              </w:rPr>
            </w:pPr>
            <w:r>
              <w:rPr>
                <w:rFonts w:hint="eastAsia" w:ascii="宋体" w:hAnsi="宋体" w:cs="宋体"/>
                <w:color w:val="auto"/>
                <w:sz w:val="24"/>
                <w:highlight w:val="none"/>
              </w:rPr>
              <w:t>地点：周口市公共资源交易中心网</w:t>
            </w:r>
          </w:p>
          <w:p>
            <w:pPr>
              <w:spacing w:line="440" w:lineRule="exact"/>
              <w:rPr>
                <w:rFonts w:ascii="宋体" w:hAnsi="宋体" w:cs="宋体"/>
                <w:color w:val="auto"/>
                <w:sz w:val="24"/>
                <w:highlight w:val="none"/>
              </w:rPr>
            </w:pPr>
            <w:r>
              <w:rPr>
                <w:rFonts w:hint="eastAsia" w:ascii="宋体" w:hAnsi="宋体" w:cs="宋体"/>
                <w:color w:val="auto"/>
                <w:sz w:val="24"/>
                <w:highlight w:val="none"/>
              </w:rPr>
              <w:t>网址：周口市公共资源电子交易服务平台会员系统（网址http://jyzx.zhoukou.gov.cn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4.2.3</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是否退还投标文件</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5.1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开标时间和地点</w:t>
            </w:r>
          </w:p>
        </w:tc>
        <w:tc>
          <w:tcPr>
            <w:tcW w:w="6420" w:type="dxa"/>
            <w:vAlign w:val="center"/>
          </w:tcPr>
          <w:p>
            <w:pPr>
              <w:autoSpaceDE w:val="0"/>
              <w:autoSpaceDN w:val="0"/>
              <w:adjustRightInd w:val="0"/>
              <w:spacing w:line="44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开标时间：同投标截止时间。电子投标文件必须凭制作投标文件所用的CA数字证书在规定解密时间30分钟以内完成解密。</w:t>
            </w:r>
          </w:p>
          <w:p>
            <w:pPr>
              <w:autoSpaceDE w:val="0"/>
              <w:autoSpaceDN w:val="0"/>
              <w:adjustRightInd w:val="0"/>
              <w:spacing w:line="44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开标地点:周口市公共资源交易中心四楼开标室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6.1.1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评标委员会的组建</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仿宋_GB2312"/>
                <w:color w:val="auto"/>
                <w:kern w:val="0"/>
                <w:sz w:val="24"/>
                <w:highlight w:val="none"/>
              </w:rPr>
              <w:t>评标专家确定方式：开标前从政府采购综合专家库中随机抽取相关专业的评审专家5人组，其中采购人代表1人，经济、技术类专家4人。</w:t>
            </w:r>
            <w:r>
              <w:rPr>
                <w:rFonts w:hint="eastAsia" w:ascii="宋体" w:hAnsi="宋体" w:cs="宋体"/>
                <w:color w:val="auto"/>
                <w:sz w:val="24"/>
                <w:highlight w:val="none"/>
              </w:rPr>
              <w:t>由采购人从河南省政府采购专家评审库中抽取。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7.1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是否授权评标委员会确定中标人</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否，评标委员会推荐中标候选人数，由采购人确定中标人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7.3.1</w:t>
            </w:r>
          </w:p>
        </w:tc>
        <w:tc>
          <w:tcPr>
            <w:tcW w:w="205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履约担保</w:t>
            </w:r>
          </w:p>
        </w:tc>
        <w:tc>
          <w:tcPr>
            <w:tcW w:w="6420" w:type="dxa"/>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b/>
                <w:bCs/>
                <w:color w:val="auto"/>
                <w:kern w:val="0"/>
                <w:sz w:val="24"/>
                <w:highlight w:val="none"/>
              </w:rPr>
              <w:t>10</w:t>
            </w:r>
          </w:p>
        </w:tc>
        <w:tc>
          <w:tcPr>
            <w:tcW w:w="8475" w:type="dxa"/>
            <w:gridSpan w:val="2"/>
            <w:vAlign w:val="center"/>
          </w:tcPr>
          <w:p>
            <w:pPr>
              <w:autoSpaceDE w:val="0"/>
              <w:autoSpaceDN w:val="0"/>
              <w:adjustRightInd w:val="0"/>
              <w:spacing w:line="440" w:lineRule="exact"/>
              <w:jc w:val="center"/>
              <w:rPr>
                <w:rFonts w:ascii="宋体" w:hAnsi="宋体" w:cs="宋体"/>
                <w:b/>
                <w:color w:val="auto"/>
                <w:kern w:val="0"/>
                <w:sz w:val="24"/>
                <w:highlight w:val="none"/>
              </w:rPr>
            </w:pPr>
            <w:r>
              <w:rPr>
                <w:rFonts w:hint="eastAsia" w:ascii="宋体" w:hAnsi="宋体" w:cs="宋体"/>
                <w:b/>
                <w:color w:val="auto"/>
                <w:kern w:val="0"/>
                <w:sz w:val="24"/>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10.1</w:t>
            </w:r>
          </w:p>
        </w:tc>
        <w:tc>
          <w:tcPr>
            <w:tcW w:w="8475" w:type="dxa"/>
            <w:gridSpan w:val="2"/>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在确定中标单位后，要求中标单位在与招标人签订合同的同时,签订廉政责任书。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10.2</w:t>
            </w:r>
          </w:p>
        </w:tc>
        <w:tc>
          <w:tcPr>
            <w:tcW w:w="8475" w:type="dxa"/>
            <w:gridSpan w:val="2"/>
            <w:vAlign w:val="center"/>
          </w:tcPr>
          <w:p>
            <w:pPr>
              <w:autoSpaceDE w:val="0"/>
              <w:autoSpaceDN w:val="0"/>
              <w:adjustRightInd w:val="0"/>
              <w:spacing w:line="440" w:lineRule="exact"/>
              <w:rPr>
                <w:rFonts w:ascii="宋体" w:hAnsi="宋体" w:cs="宋体"/>
                <w:color w:val="auto"/>
                <w:kern w:val="0"/>
                <w:sz w:val="24"/>
                <w:highlight w:val="none"/>
              </w:rPr>
            </w:pPr>
            <w:r>
              <w:rPr>
                <w:rFonts w:hint="eastAsia" w:ascii="宋体" w:hAnsi="宋体" w:cs="宋体"/>
                <w:color w:val="auto"/>
                <w:sz w:val="24"/>
                <w:highlight w:val="none"/>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065" w:type="dxa"/>
            <w:vAlign w:val="center"/>
          </w:tcPr>
          <w:p>
            <w:pPr>
              <w:autoSpaceDE w:val="0"/>
              <w:autoSpaceDN w:val="0"/>
              <w:adjustRightInd w:val="0"/>
              <w:spacing w:line="44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10.3</w:t>
            </w:r>
          </w:p>
        </w:tc>
        <w:tc>
          <w:tcPr>
            <w:tcW w:w="8475" w:type="dxa"/>
            <w:gridSpan w:val="2"/>
            <w:vAlign w:val="center"/>
          </w:tcPr>
          <w:p>
            <w:pPr>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招标文件领取时间：同招标公告发布时间。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065" w:type="dxa"/>
            <w:vAlign w:val="center"/>
          </w:tcPr>
          <w:p>
            <w:pPr>
              <w:spacing w:line="440" w:lineRule="exact"/>
              <w:rPr>
                <w:rFonts w:ascii="宋体" w:hAnsi="宋体" w:cs="宋体"/>
                <w:b/>
                <w:color w:val="auto"/>
                <w:sz w:val="24"/>
                <w:highlight w:val="none"/>
              </w:rPr>
            </w:pPr>
            <w:r>
              <w:rPr>
                <w:rFonts w:hint="eastAsia" w:ascii="宋体" w:hAnsi="宋体" w:cs="宋体"/>
                <w:b/>
                <w:color w:val="auto"/>
                <w:sz w:val="24"/>
                <w:highlight w:val="none"/>
              </w:rPr>
              <w:t>10.4</w:t>
            </w:r>
          </w:p>
        </w:tc>
        <w:tc>
          <w:tcPr>
            <w:tcW w:w="8475" w:type="dxa"/>
            <w:gridSpan w:val="2"/>
            <w:vAlign w:val="center"/>
          </w:tcPr>
          <w:p>
            <w:pPr>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1、招标控制价：</w:t>
            </w:r>
            <w:r>
              <w:rPr>
                <w:rFonts w:hint="eastAsia" w:ascii="宋体" w:hAnsi="宋体" w:cs="宋体"/>
                <w:color w:val="auto"/>
                <w:kern w:val="0"/>
                <w:sz w:val="24"/>
                <w:highlight w:val="none"/>
                <w:lang w:eastAsia="zh-CN"/>
              </w:rPr>
              <w:t>7243078.00</w:t>
            </w:r>
            <w:r>
              <w:rPr>
                <w:rFonts w:hint="eastAsia" w:ascii="宋体" w:hAnsi="宋体" w:cs="宋体"/>
                <w:color w:val="auto"/>
                <w:kern w:val="0"/>
                <w:sz w:val="24"/>
                <w:highlight w:val="none"/>
              </w:rPr>
              <w:t>元</w:t>
            </w:r>
          </w:p>
          <w:p>
            <w:pPr>
              <w:spacing w:line="440" w:lineRule="exact"/>
              <w:rPr>
                <w:color w:val="auto"/>
                <w:highlight w:val="none"/>
              </w:rPr>
            </w:pPr>
            <w:r>
              <w:rPr>
                <w:rFonts w:hint="eastAsia" w:ascii="宋体" w:hAnsi="宋体" w:cs="宋体"/>
                <w:color w:val="auto"/>
                <w:kern w:val="0"/>
                <w:sz w:val="24"/>
                <w:highlight w:val="none"/>
              </w:rPr>
              <w:t>2、付款条件：施工单位进场后付工程合同造价款的30%，主体结束后付工程合同造价款的49%，工程竣工结束审计决算后付剩余工程款的18%，审计之日起一年后付剩余工程款的3%。</w:t>
            </w:r>
          </w:p>
        </w:tc>
      </w:tr>
    </w:tbl>
    <w:p>
      <w:pPr>
        <w:pStyle w:val="4"/>
        <w:jc w:val="center"/>
        <w:rPr>
          <w:rFonts w:ascii="宋体" w:hAnsi="宋体" w:cs="宋体"/>
          <w:color w:val="auto"/>
          <w:sz w:val="32"/>
          <w:highlight w:val="none"/>
        </w:rPr>
      </w:pPr>
      <w:bookmarkStart w:id="16" w:name="_Toc91"/>
      <w:bookmarkStart w:id="17" w:name="_Toc5307"/>
      <w:r>
        <w:rPr>
          <w:rFonts w:hint="eastAsia" w:ascii="宋体" w:hAnsi="宋体" w:cs="宋体"/>
          <w:color w:val="auto"/>
          <w:sz w:val="32"/>
          <w:highlight w:val="none"/>
        </w:rPr>
        <w:t>1.总则</w:t>
      </w:r>
      <w:bookmarkEnd w:id="7"/>
      <w:bookmarkEnd w:id="16"/>
      <w:bookmarkEnd w:id="17"/>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 项目概况</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1.1.1 根据《中华人民共和国招标投标法》等有关法律、法规和规章的规定，本招标项目已具备招标条件，现对本标段施工进行招标。</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1.1.2 本招标项目招标人：见投标人须知前附表。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1.1.3 本标段招标代理机构：见投标人须知前附表。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1.1.4 本招标项目名称：见投标人须知前附表。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1.1.5 本标段建设地点：见投标人须知前附表。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1.2 资金来源和落实情况</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1.2.1 本招标项目的资金来源：见投标人须知前附表。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1.2.2 本招标项目的出资比例：见投标人须知前附表。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1.2.3 本招标项目的资金落实情况：见投标人须知前附表。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1.3 招标范围、计划工期和质量要求</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1.3.1 本次招标范围：见投标人须知前附表。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1.3.2 本标段的计划工期：见投标人须知前附表。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1.3.3 本标段的质量要求：见投标人须知前附表。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1.4 投标人资格要求</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1.4.1 投标人应具备承担本标段施工的资质条件、能力和信誉。</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（1）资质条件：见投标人须知前附表；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（2）财务要求：见投标人须知前附表；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（3）业绩要求：见投标人须知前附表。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1.4.2 本项目不接受联合体投标；</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1.4.3 投标人不得存在下列情形之一：</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（1）为招标人不具有独立法人资格的附属机构（单位）；</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（2）为本标段前期准备提供设计或咨询服务的，但设计施工总承包的除外；</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（3）为本标段的监理人；</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（4）为本标段的代建人；</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（5）为本标段提供招标代理服务的；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（6）与本标段的监理人或代建人或招标代理机构同为一个法定代表人的；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（7）与本标段的监理人或代建人或招标代理机构相互控股或参股的；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（8）与本标段的监理人或代建人或招标代理机构相互任职或工作的；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（9）被责令停业的；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（10）被暂停或取消投标资格的；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（11）财产被接管或冻结的；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（12）在最近三年内有骗取中标或严重违约或重大工程质量问题的。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（13）不同供应商的电子投标（响应）文件上传计算机的网卡 MAC 地址、CPU 序列号和硬盘序列号等硬件信息相同的;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（14）不同供应商的投标（响应）文件由同一电子设备编制，打印、复印、加密或者上传的；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（15）不同供应商的投标（响应）文件由同一人送达或者分发，或者不同供应商联系人为同一人或不同联系人的联系电话一致的；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（16）不同供应商的投标（响应）文件的内容存在两处以上细节错误一致；</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（17）不同供应商的法定代表人、委托代理人、项目经理、项目负责人等由同一个单位缴纳社会保险或者领取报酬的；</w:t>
      </w:r>
    </w:p>
    <w:p>
      <w:pPr>
        <w:autoSpaceDE w:val="0"/>
        <w:autoSpaceDN w:val="0"/>
        <w:adjustRightInd w:val="0"/>
        <w:spacing w:line="440" w:lineRule="exact"/>
        <w:ind w:firstLine="480" w:firstLineChars="200"/>
        <w:jc w:val="left"/>
        <w:rPr>
          <w:rFonts w:ascii="宋体" w:hAnsi="宋体" w:cs="宋体"/>
          <w:color w:val="auto"/>
          <w:highlight w:val="none"/>
        </w:rPr>
      </w:pPr>
      <w:r>
        <w:rPr>
          <w:rFonts w:hint="eastAsia" w:ascii="宋体" w:hAnsi="宋体" w:cs="宋体"/>
          <w:color w:val="auto"/>
          <w:kern w:val="0"/>
          <w:sz w:val="24"/>
          <w:highlight w:val="none"/>
        </w:rPr>
        <w:t>（18）不同供应商投标（响应）文件中法定代表人或者负责人签字出自同一人之手。</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1.5 费用承担</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投标人准备和参加投标活动发生的费用自理。</w:t>
      </w:r>
    </w:p>
    <w:p>
      <w:pPr>
        <w:tabs>
          <w:tab w:val="left" w:pos="823"/>
        </w:tabs>
        <w:autoSpaceDE w:val="0"/>
        <w:autoSpaceDN w:val="0"/>
        <w:adjustRightInd w:val="0"/>
        <w:snapToGrid w:val="0"/>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本项目免收成交服务费，评标费用由采购人支付。</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1.6 保密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参与招标投标活动的各方应对招标文件和投标文件中的商业和技术等秘密保密，违者应对由此造成的后果承担法律责任。</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1.7 语言文字</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除专用术语外，与招标投标有关的语言均使用中文。必要时专用术语应附有中文注释。</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1.8 计量单位</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所有计量均采用中华人民共和国法定计量单位。</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1.9 踏勘现场</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1.9.1 投标人须知前附表规定组织踏勘现场的，招标人按投标人须知前附表规定的时间、地点组织投标人踏勘项目现场。</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1.9.2 投标人踏勘现场发生的费用自理。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1.9.3 除招标人的原因外，投标人自行负责在踏勘现场中所发生的人员伤亡和财产损失。</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1.9.4 招标人在踏勘现场中介绍的工程场地和相关的周边环境情况，供投标人在编制投标文件时参考，招标人不对投标人据此作出的判断和决策负责。</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1.10 投标预备会</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1.10.1 投标人须知前附表规定召开投标预备会的，招标人按投标人须知前附表规定的时间和地点召开投标预备会，澄清投标人提出的问题。</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1.10.2 投标人应在投标人须知前附表规定的时间前，以书面形式将提出的问题送达招标人，以便招标人在会议期间澄清。</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1.10.3 投标预备会后，招标人在投标人须知前附表规定的时间内，将对投标人所提问题的澄清，以书面方式通知所有购买招标文件的投标人。该澄清内容为招标文件的组成部分。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1.11 分包</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投标人拟在中标后将中标项目的部分非主体、非关键性工作进行分包的，应符合投标人须知前附表规定的分包内容、分包金额和接受分包的第三人资质要求等限制性条件。</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1.12 偏离</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投标人须知前附表允许投标文件偏离招标文件某些要求的，偏离应当符合招标文件规定的偏离范围和幅度。</w:t>
      </w:r>
    </w:p>
    <w:p>
      <w:pPr>
        <w:pStyle w:val="4"/>
        <w:jc w:val="center"/>
        <w:rPr>
          <w:rFonts w:ascii="宋体" w:hAnsi="宋体" w:cs="宋体"/>
          <w:color w:val="auto"/>
          <w:sz w:val="32"/>
          <w:highlight w:val="none"/>
        </w:rPr>
      </w:pPr>
      <w:bookmarkStart w:id="18" w:name="_Toc19018"/>
      <w:bookmarkStart w:id="19" w:name="_Toc17693"/>
      <w:bookmarkStart w:id="20" w:name="_Toc430166812"/>
      <w:r>
        <w:rPr>
          <w:rFonts w:hint="eastAsia" w:ascii="宋体" w:hAnsi="宋体" w:cs="宋体"/>
          <w:color w:val="auto"/>
          <w:sz w:val="32"/>
          <w:highlight w:val="none"/>
        </w:rPr>
        <w:t>2. 招标文件</w:t>
      </w:r>
      <w:bookmarkEnd w:id="18"/>
      <w:bookmarkEnd w:id="19"/>
      <w:bookmarkEnd w:id="20"/>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 招标文件的组成</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本招标文件包括：</w:t>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"_Toc430166809" </w:instrText>
      </w:r>
      <w:r>
        <w:rPr>
          <w:color w:val="auto"/>
          <w:highlight w:val="none"/>
        </w:rPr>
        <w:fldChar w:fldCharType="separate"/>
      </w:r>
      <w:r>
        <w:rPr>
          <w:rFonts w:hint="eastAsia" w:ascii="宋体" w:hAnsi="宋体" w:cs="宋体"/>
          <w:color w:val="auto"/>
          <w:kern w:val="0"/>
          <w:sz w:val="24"/>
          <w:highlight w:val="none"/>
        </w:rPr>
        <w:t>第一章 招标公告</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"_Toc430166810" </w:instrText>
      </w:r>
      <w:r>
        <w:rPr>
          <w:color w:val="auto"/>
          <w:highlight w:val="none"/>
        </w:rPr>
        <w:fldChar w:fldCharType="separate"/>
      </w:r>
      <w:r>
        <w:rPr>
          <w:rFonts w:hint="eastAsia" w:ascii="宋体" w:hAnsi="宋体" w:cs="宋体"/>
          <w:color w:val="auto"/>
          <w:kern w:val="0"/>
          <w:sz w:val="24"/>
          <w:highlight w:val="none"/>
        </w:rPr>
        <w:t>第二章 投标人须知</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"_Toc430166820" </w:instrText>
      </w:r>
      <w:r>
        <w:rPr>
          <w:color w:val="auto"/>
          <w:highlight w:val="none"/>
        </w:rPr>
        <w:fldChar w:fldCharType="separate"/>
      </w:r>
      <w:r>
        <w:rPr>
          <w:rFonts w:hint="eastAsia" w:ascii="宋体" w:hAnsi="宋体" w:cs="宋体"/>
          <w:color w:val="auto"/>
          <w:kern w:val="0"/>
          <w:sz w:val="24"/>
          <w:highlight w:val="none"/>
        </w:rPr>
        <w:t>第三章 评标办法（综合评估法）</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"_Toc430166821" </w:instrText>
      </w:r>
      <w:r>
        <w:rPr>
          <w:color w:val="auto"/>
          <w:highlight w:val="none"/>
        </w:rPr>
        <w:fldChar w:fldCharType="separate"/>
      </w:r>
      <w:r>
        <w:rPr>
          <w:rFonts w:hint="eastAsia" w:ascii="宋体" w:hAnsi="宋体" w:cs="宋体"/>
          <w:color w:val="auto"/>
          <w:kern w:val="0"/>
          <w:sz w:val="24"/>
          <w:highlight w:val="none"/>
        </w:rPr>
        <w:t>1. 评标方法</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"_Toc430166822" </w:instrText>
      </w:r>
      <w:r>
        <w:rPr>
          <w:color w:val="auto"/>
          <w:highlight w:val="none"/>
        </w:rPr>
        <w:fldChar w:fldCharType="separate"/>
      </w:r>
      <w:r>
        <w:rPr>
          <w:rFonts w:hint="eastAsia" w:ascii="宋体" w:hAnsi="宋体" w:cs="宋体"/>
          <w:color w:val="auto"/>
          <w:kern w:val="0"/>
          <w:sz w:val="24"/>
          <w:highlight w:val="none"/>
        </w:rPr>
        <w:t>2. 评审标准</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"_Toc430166823" </w:instrText>
      </w:r>
      <w:r>
        <w:rPr>
          <w:color w:val="auto"/>
          <w:highlight w:val="none"/>
        </w:rPr>
        <w:fldChar w:fldCharType="separate"/>
      </w:r>
      <w:r>
        <w:rPr>
          <w:rFonts w:hint="eastAsia" w:ascii="宋体" w:hAnsi="宋体" w:cs="宋体"/>
          <w:color w:val="auto"/>
          <w:kern w:val="0"/>
          <w:sz w:val="24"/>
          <w:highlight w:val="none"/>
        </w:rPr>
        <w:t>3. 评标程序</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"_Toc430166824" </w:instrText>
      </w:r>
      <w:r>
        <w:rPr>
          <w:color w:val="auto"/>
          <w:highlight w:val="none"/>
        </w:rPr>
        <w:fldChar w:fldCharType="separate"/>
      </w:r>
      <w:r>
        <w:rPr>
          <w:rFonts w:hint="eastAsia" w:ascii="宋体" w:hAnsi="宋体" w:cs="宋体"/>
          <w:color w:val="auto"/>
          <w:kern w:val="0"/>
          <w:sz w:val="24"/>
          <w:highlight w:val="none"/>
        </w:rPr>
        <w:t>第四章 合同条款及格式</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"_Toc430166825" </w:instrText>
      </w:r>
      <w:r>
        <w:rPr>
          <w:color w:val="auto"/>
          <w:highlight w:val="none"/>
        </w:rPr>
        <w:fldChar w:fldCharType="separate"/>
      </w:r>
      <w:r>
        <w:rPr>
          <w:rFonts w:hint="eastAsia" w:ascii="宋体" w:hAnsi="宋体" w:cs="宋体"/>
          <w:color w:val="auto"/>
          <w:kern w:val="0"/>
          <w:sz w:val="24"/>
          <w:highlight w:val="none"/>
        </w:rPr>
        <w:t>第五章 工程量清单</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"_Toc430166827" </w:instrText>
      </w:r>
      <w:r>
        <w:rPr>
          <w:color w:val="auto"/>
          <w:highlight w:val="none"/>
        </w:rPr>
        <w:fldChar w:fldCharType="separate"/>
      </w:r>
      <w:r>
        <w:rPr>
          <w:rFonts w:hint="eastAsia" w:ascii="宋体" w:hAnsi="宋体" w:cs="宋体"/>
          <w:color w:val="auto"/>
          <w:kern w:val="0"/>
          <w:sz w:val="24"/>
          <w:highlight w:val="none"/>
        </w:rPr>
        <w:t>第六章 图纸</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"_Toc430166828" </w:instrText>
      </w:r>
      <w:r>
        <w:rPr>
          <w:color w:val="auto"/>
          <w:highlight w:val="none"/>
        </w:rPr>
        <w:fldChar w:fldCharType="separate"/>
      </w:r>
      <w:r>
        <w:rPr>
          <w:rFonts w:hint="eastAsia" w:ascii="宋体" w:hAnsi="宋体" w:cs="宋体"/>
          <w:color w:val="auto"/>
          <w:kern w:val="0"/>
          <w:sz w:val="24"/>
          <w:highlight w:val="none"/>
        </w:rPr>
        <w:t>第七章 技术标准</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20" w:firstLineChars="200"/>
        <w:jc w:val="left"/>
        <w:rPr>
          <w:rFonts w:ascii="宋体" w:hAnsi="宋体" w:cs="宋体"/>
          <w:color w:val="auto"/>
          <w:kern w:val="0"/>
          <w:sz w:val="24"/>
          <w:highlight w:val="none"/>
        </w:rPr>
      </w:pPr>
      <w:r>
        <w:rPr>
          <w:color w:val="auto"/>
          <w:highlight w:val="none"/>
        </w:rPr>
        <w:fldChar w:fldCharType="begin"/>
      </w:r>
      <w:r>
        <w:rPr>
          <w:color w:val="auto"/>
          <w:highlight w:val="none"/>
        </w:rPr>
        <w:instrText xml:space="preserve"> HYPERLINK \l "_Toc430166829" </w:instrText>
      </w:r>
      <w:r>
        <w:rPr>
          <w:color w:val="auto"/>
          <w:highlight w:val="none"/>
        </w:rPr>
        <w:fldChar w:fldCharType="separate"/>
      </w:r>
      <w:r>
        <w:rPr>
          <w:rFonts w:hint="eastAsia" w:ascii="宋体" w:hAnsi="宋体" w:cs="宋体"/>
          <w:color w:val="auto"/>
          <w:kern w:val="0"/>
          <w:sz w:val="24"/>
          <w:highlight w:val="none"/>
        </w:rPr>
        <w:t>第八章 投标文件格式</w:t>
      </w:r>
      <w:r>
        <w:rPr>
          <w:rFonts w:hint="eastAsia" w:ascii="宋体" w:hAnsi="宋体" w:cs="宋体"/>
          <w:color w:val="auto"/>
          <w:kern w:val="0"/>
          <w:sz w:val="24"/>
          <w:highlight w:val="none"/>
        </w:rPr>
        <w:tab/>
      </w:r>
      <w:r>
        <w:rPr>
          <w:rFonts w:hint="eastAsia" w:ascii="宋体" w:hAnsi="宋体" w:cs="宋体"/>
          <w:color w:val="auto"/>
          <w:kern w:val="0"/>
          <w:sz w:val="24"/>
          <w:highlight w:val="none"/>
        </w:rPr>
        <w:fldChar w:fldCharType="end"/>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一、投标函及投标函附录</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二、法定代表人身份证明</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三、授权委托书</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四、投标保证金</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五、工程量清单</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六、施工组织设计</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七、项目管理机构</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八、项目经理无在建工程承诺</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九、资格审查资料</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十、其它投标人认为有必要加入的材料</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根据本章第1.10 款、第2.2 款和第2.3 款对招标文件所作的澄清、修改，构成招标文件的组成部分。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 招标文件的澄清</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2.2.1 投标人应仔细阅读和检查招标文件的全部内容。如发现缺页或附件不全</w:t>
      </w:r>
      <w:r>
        <w:rPr>
          <w:rFonts w:hint="eastAsia" w:ascii="宋体" w:hAnsi="宋体" w:cs="宋体"/>
          <w:color w:val="auto"/>
          <w:kern w:val="0"/>
          <w:sz w:val="24"/>
          <w:highlight w:val="none"/>
          <w:lang w:eastAsia="zh-CN"/>
        </w:rPr>
        <w:t>或对招标文件的内容存在异议</w:t>
      </w:r>
      <w:r>
        <w:rPr>
          <w:rFonts w:hint="eastAsia" w:ascii="宋体" w:hAnsi="宋体" w:cs="宋体"/>
          <w:color w:val="auto"/>
          <w:kern w:val="0"/>
          <w:sz w:val="24"/>
          <w:highlight w:val="none"/>
        </w:rPr>
        <w:t>，应及时向招标人提出，以便补齐</w:t>
      </w:r>
      <w:r>
        <w:rPr>
          <w:rFonts w:hint="eastAsia" w:ascii="宋体" w:hAnsi="宋体" w:cs="宋体"/>
          <w:color w:val="auto"/>
          <w:kern w:val="0"/>
          <w:sz w:val="24"/>
          <w:highlight w:val="none"/>
          <w:lang w:eastAsia="zh-CN"/>
        </w:rPr>
        <w:t>或者及时澄清</w:t>
      </w:r>
      <w:r>
        <w:rPr>
          <w:rFonts w:hint="eastAsia" w:ascii="宋体" w:hAnsi="宋体" w:cs="宋体"/>
          <w:color w:val="auto"/>
          <w:kern w:val="0"/>
          <w:sz w:val="24"/>
          <w:highlight w:val="none"/>
        </w:rPr>
        <w:t>。如有疑问，应在投标人须知前附表规定的时间前以书面形式（包括信函、电报、传真等可以有形地表现所载内容的形式，下同），要求招标人对招标文件予以澄清</w:t>
      </w:r>
      <w:r>
        <w:rPr>
          <w:rFonts w:hint="eastAsia" w:ascii="宋体" w:hAnsi="宋体" w:cs="宋体"/>
          <w:color w:val="auto"/>
          <w:kern w:val="0"/>
          <w:sz w:val="24"/>
          <w:highlight w:val="none"/>
          <w:lang w:eastAsia="zh-CN"/>
        </w:rPr>
        <w:t>。如果各投标人对招标文件的内容没有异议，需要出具无异议承诺书附在投标文件中，不提供视为无效投标</w:t>
      </w:r>
      <w:r>
        <w:rPr>
          <w:rFonts w:hint="eastAsia" w:ascii="宋体" w:hAnsi="宋体" w:cs="宋体"/>
          <w:color w:val="auto"/>
          <w:kern w:val="0"/>
          <w:sz w:val="24"/>
          <w:highlight w:val="none"/>
        </w:rPr>
        <w:t>。</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2.3 招标文件的修改</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2.3.1 在投标截止时间15天前，招标人可以网上公告的形式修改招标文件，投标人应当主动上网查询。如果修改招标文件的时间距投标截止时间不足15 天，相应延长投标截止时间。</w:t>
      </w:r>
    </w:p>
    <w:p>
      <w:pPr>
        <w:pStyle w:val="4"/>
        <w:jc w:val="center"/>
        <w:rPr>
          <w:rFonts w:ascii="宋体" w:hAnsi="宋体" w:cs="宋体"/>
          <w:color w:val="auto"/>
          <w:sz w:val="32"/>
          <w:highlight w:val="none"/>
        </w:rPr>
      </w:pPr>
      <w:bookmarkStart w:id="21" w:name="_Toc7495"/>
      <w:bookmarkStart w:id="22" w:name="_Toc24423"/>
      <w:bookmarkStart w:id="23" w:name="_Toc430166813"/>
      <w:r>
        <w:rPr>
          <w:rFonts w:hint="eastAsia" w:ascii="宋体" w:hAnsi="宋体" w:cs="宋体"/>
          <w:color w:val="auto"/>
          <w:sz w:val="32"/>
          <w:highlight w:val="none"/>
        </w:rPr>
        <w:t>3. 投标文件</w:t>
      </w:r>
      <w:bookmarkEnd w:id="21"/>
      <w:bookmarkEnd w:id="22"/>
      <w:bookmarkEnd w:id="23"/>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3.1 投标文件的组成</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3.1.1 投标文件应包括下列内容：</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一、投标函及投标函附录</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二、法定代表人身份证明</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三、授权委托书</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四、工程量清单</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五、施工组织设计</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六、项目管理机构</w:t>
      </w:r>
      <w:r>
        <w:rPr>
          <w:rFonts w:hint="eastAsia" w:ascii="宋体" w:hAnsi="宋体" w:cs="宋体"/>
          <w:color w:val="auto"/>
          <w:kern w:val="0"/>
          <w:sz w:val="24"/>
          <w:highlight w:val="none"/>
        </w:rPr>
        <w:tab/>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七、项目经理无在建工程承诺</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八、资格审查资料</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九、其它投标人认为有必要加入的材料</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十、其它投标人认为有必要加入的材料</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十一、周口市政府采购合同融资政策告知函</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3.2 投标报价</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3.2.1 投标人应按第八章“投标函附录”的要求填写相应表格。</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3.2.2 投标人在投标截止时间前修改投标函中的投标总报价的，应同时修改第八章“投标函附录”中的相应报价。此修改须符合本章第4.3 款的有关要求。</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3.3 投标有效期</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3.3.1 在投标人须知前附表规定的投标有效期内，投标人不得要求撤销或修改其投标文件。</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3.4 投标保证金</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本项目不需要缴纳投标保证金</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3.5 资格审查资料</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3.5.1 “投标人基本情况表”应附投标人营业执照副本、资质证书副本和安全生产许可证等材料的复印件。</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3.5.2 “近年财务状况表”应附经会计师事务所或审计机构审计的财务会计报表，包括资产负债表、现金流量表、利润表和财务情况说明书的复印件，具体年份要求见投标人须知前附表。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3.5.</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 xml:space="preserve"> “近年发生的诉讼及仲裁情况”应</w:t>
      </w:r>
      <w:r>
        <w:rPr>
          <w:rFonts w:hint="eastAsia" w:ascii="宋体" w:hAnsi="宋体" w:cs="宋体"/>
          <w:color w:val="auto"/>
          <w:kern w:val="0"/>
          <w:sz w:val="24"/>
          <w:highlight w:val="none"/>
          <w:lang w:eastAsia="zh-CN"/>
        </w:rPr>
        <w:t>在投标文件中附上承诺</w:t>
      </w:r>
      <w:r>
        <w:rPr>
          <w:rFonts w:hint="eastAsia" w:ascii="宋体" w:hAnsi="宋体" w:cs="宋体"/>
          <w:color w:val="auto"/>
          <w:kern w:val="0"/>
          <w:sz w:val="24"/>
          <w:highlight w:val="none"/>
        </w:rPr>
        <w:t>说明相关情况，并附</w:t>
      </w:r>
      <w:r>
        <w:rPr>
          <w:rFonts w:hint="eastAsia" w:ascii="宋体" w:hAnsi="宋体" w:cs="宋体"/>
          <w:color w:val="auto"/>
          <w:kern w:val="0"/>
          <w:sz w:val="24"/>
          <w:highlight w:val="none"/>
          <w:lang w:eastAsia="zh-CN"/>
        </w:rPr>
        <w:t>无</w:t>
      </w:r>
      <w:r>
        <w:rPr>
          <w:rFonts w:hint="eastAsia" w:ascii="宋体" w:hAnsi="宋体" w:cs="宋体"/>
          <w:color w:val="auto"/>
          <w:kern w:val="0"/>
          <w:sz w:val="24"/>
          <w:highlight w:val="none"/>
        </w:rPr>
        <w:t>法院或仲裁机构作出的判决、裁决等有关法律文书</w:t>
      </w:r>
      <w:r>
        <w:rPr>
          <w:rFonts w:hint="eastAsia" w:ascii="宋体" w:hAnsi="宋体" w:cs="宋体"/>
          <w:color w:val="auto"/>
          <w:kern w:val="0"/>
          <w:sz w:val="24"/>
          <w:highlight w:val="none"/>
          <w:lang w:eastAsia="zh-CN"/>
        </w:rPr>
        <w:t>等证明资料</w:t>
      </w:r>
      <w:r>
        <w:rPr>
          <w:rFonts w:hint="eastAsia" w:ascii="宋体" w:hAnsi="宋体" w:cs="宋体"/>
          <w:color w:val="auto"/>
          <w:kern w:val="0"/>
          <w:sz w:val="24"/>
          <w:highlight w:val="none"/>
        </w:rPr>
        <w:t>复印件</w:t>
      </w:r>
      <w:r>
        <w:rPr>
          <w:rFonts w:hint="eastAsia" w:ascii="宋体" w:hAnsi="宋体" w:cs="宋体"/>
          <w:color w:val="auto"/>
          <w:kern w:val="0"/>
          <w:sz w:val="24"/>
          <w:highlight w:val="none"/>
          <w:lang w:eastAsia="zh-CN"/>
        </w:rPr>
        <w:t>附在投标文件中</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不提供或者提供不齐全按照无效投标处理。</w:t>
      </w:r>
      <w:r>
        <w:rPr>
          <w:rFonts w:hint="eastAsia" w:ascii="宋体" w:hAnsi="宋体" w:cs="宋体"/>
          <w:color w:val="auto"/>
          <w:kern w:val="0"/>
          <w:sz w:val="24"/>
          <w:highlight w:val="none"/>
        </w:rPr>
        <w:t>具体年份要求见投标人须知前附表。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3.5.</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投标人须知前附表规定接受联合体投标的，本章第3.5.1项至第3.5.5项规定的表格和资料应包括联合体各方相关情况。</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3.6 备选投标方案</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3.7 投标文件的编制</w:t>
      </w:r>
    </w:p>
    <w:p>
      <w:pPr>
        <w:spacing w:line="360" w:lineRule="auto"/>
        <w:ind w:firstLine="523" w:firstLineChars="218"/>
        <w:rPr>
          <w:rFonts w:ascii="宋体" w:hAnsi="宋体" w:cs="宋体"/>
          <w:color w:val="auto"/>
          <w:kern w:val="0"/>
          <w:sz w:val="24"/>
          <w:highlight w:val="none"/>
        </w:rPr>
      </w:pPr>
      <w:r>
        <w:rPr>
          <w:rFonts w:hint="eastAsia" w:ascii="宋体" w:hAnsi="宋体" w:cs="宋体"/>
          <w:color w:val="auto"/>
          <w:kern w:val="0"/>
          <w:sz w:val="24"/>
          <w:highlight w:val="none"/>
        </w:rPr>
        <w:t>3.7.1 投标文件应按第八章“投标文件格式”进行编写，如有必要，可以增加附页，作为投标文件的组成部分。其中，投标函附录在满足招标文件实质性要求的基础上，可以提出比招标文件要求更有利于招标人的承诺</w:t>
      </w:r>
      <w:r>
        <w:rPr>
          <w:rFonts w:hint="eastAsia" w:ascii="宋体" w:hAnsi="宋体" w:cs="宋体"/>
          <w:color w:val="auto"/>
          <w:kern w:val="0"/>
          <w:sz w:val="24"/>
          <w:highlight w:val="none"/>
          <w:lang w:eastAsia="zh-CN"/>
        </w:rPr>
        <w:t>，</w:t>
      </w:r>
      <w:r>
        <w:rPr>
          <w:rFonts w:hint="eastAsia" w:ascii="宋体" w:hAnsi="宋体" w:cs="宋体"/>
          <w:color w:val="auto"/>
          <w:sz w:val="24"/>
          <w:highlight w:val="none"/>
          <w:lang w:eastAsia="zh-CN"/>
        </w:rPr>
        <w:t>投标文件中的所有资料需标注</w:t>
      </w:r>
      <w:r>
        <w:rPr>
          <w:rFonts w:hint="eastAsia" w:ascii="宋体" w:hAnsi="宋体" w:eastAsia="宋体"/>
          <w:color w:val="auto"/>
          <w:sz w:val="24"/>
          <w:highlight w:val="none"/>
        </w:rPr>
        <w:t>“原件一致字样”</w:t>
      </w:r>
      <w:r>
        <w:rPr>
          <w:rFonts w:hint="eastAsia" w:ascii="宋体" w:hAnsi="宋体" w:eastAsia="宋体"/>
          <w:color w:val="auto"/>
          <w:sz w:val="24"/>
          <w:highlight w:val="none"/>
          <w:lang w:eastAsia="zh-CN"/>
        </w:rPr>
        <w:t>，不提供视为无效投标文件</w:t>
      </w:r>
      <w:r>
        <w:rPr>
          <w:rFonts w:hint="eastAsia" w:ascii="宋体" w:hAnsi="宋体" w:cs="宋体"/>
          <w:color w:val="auto"/>
          <w:kern w:val="0"/>
          <w:sz w:val="24"/>
          <w:highlight w:val="none"/>
        </w:rPr>
        <w:t>。</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3.7.2 投标文件应当对招标文件有关工期、投标有效期、质量要求、技术标准和要求、招标范围等实质性内容作出响应。</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r>
        <w:rPr>
          <w:rFonts w:hint="eastAsia" w:ascii="宋体" w:hAnsi="宋体" w:cs="宋体"/>
          <w:color w:val="auto"/>
          <w:kern w:val="0"/>
          <w:sz w:val="24"/>
          <w:highlight w:val="none"/>
          <w:lang w:eastAsia="zh-CN"/>
        </w:rPr>
        <w:t>，制作完成的投标文件需要逐页签字并逐页盖公司章，否则视为无效投标文件</w:t>
      </w:r>
      <w:r>
        <w:rPr>
          <w:rFonts w:hint="eastAsia" w:ascii="宋体" w:hAnsi="宋体" w:cs="宋体"/>
          <w:color w:val="auto"/>
          <w:kern w:val="0"/>
          <w:sz w:val="24"/>
          <w:highlight w:val="none"/>
        </w:rPr>
        <w:t>。</w:t>
      </w:r>
    </w:p>
    <w:p>
      <w:pPr>
        <w:spacing w:line="360" w:lineRule="auto"/>
        <w:ind w:firstLine="550"/>
        <w:rPr>
          <w:rFonts w:ascii="宋体" w:hAnsi="宋体" w:cs="宋体"/>
          <w:color w:val="auto"/>
          <w:highlight w:val="none"/>
        </w:rPr>
      </w:pPr>
      <w:r>
        <w:rPr>
          <w:rFonts w:hint="eastAsia" w:ascii="宋体" w:hAnsi="宋体" w:cs="宋体"/>
          <w:color w:val="auto"/>
          <w:kern w:val="0"/>
          <w:sz w:val="24"/>
          <w:highlight w:val="none"/>
        </w:rPr>
        <w:t>3.7.4</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pPr>
        <w:pStyle w:val="4"/>
        <w:jc w:val="center"/>
        <w:rPr>
          <w:rFonts w:ascii="宋体" w:hAnsi="宋体" w:cs="宋体"/>
          <w:color w:val="auto"/>
          <w:sz w:val="32"/>
          <w:highlight w:val="none"/>
        </w:rPr>
      </w:pPr>
      <w:bookmarkStart w:id="24" w:name="_Toc2861"/>
      <w:bookmarkStart w:id="25" w:name="_Toc17951"/>
      <w:bookmarkStart w:id="26" w:name="_Toc430166814"/>
      <w:r>
        <w:rPr>
          <w:rFonts w:hint="eastAsia" w:ascii="宋体" w:hAnsi="宋体" w:cs="宋体"/>
          <w:color w:val="auto"/>
          <w:sz w:val="32"/>
          <w:highlight w:val="none"/>
        </w:rPr>
        <w:t>4. 投标</w:t>
      </w:r>
      <w:bookmarkEnd w:id="24"/>
      <w:bookmarkEnd w:id="25"/>
      <w:bookmarkEnd w:id="26"/>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4.1 投标文件的密封和标记</w:t>
      </w:r>
    </w:p>
    <w:p>
      <w:pPr>
        <w:spacing w:line="360" w:lineRule="auto"/>
        <w:ind w:firstLine="550"/>
        <w:rPr>
          <w:rFonts w:ascii="宋体" w:hAnsi="宋体" w:cs="宋体"/>
          <w:color w:val="auto"/>
          <w:kern w:val="0"/>
          <w:sz w:val="24"/>
          <w:highlight w:val="none"/>
        </w:rPr>
      </w:pPr>
      <w:r>
        <w:rPr>
          <w:rFonts w:hint="eastAsia" w:ascii="宋体" w:hAnsi="宋体" w:cs="宋体"/>
          <w:color w:val="auto"/>
          <w:kern w:val="0"/>
          <w:sz w:val="24"/>
          <w:highlight w:val="none"/>
        </w:rPr>
        <w:t>网上提交加密的电子投标文件。</w:t>
      </w:r>
      <w:r>
        <w:rPr>
          <w:rFonts w:hint="eastAsia" w:ascii="宋体" w:hAnsi="宋体" w:cs="宋体"/>
          <w:color w:val="auto"/>
          <w:sz w:val="24"/>
          <w:highlight w:val="none"/>
        </w:rPr>
        <w:t>加密的电子投标文件的递交流程，见周口市公共资源交易中心网站下载中心版块《投标单位-电子投标文件视频制作手册》。</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4.2 投标文件的递交</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4.2.1 投标人应在本章第2.2.2 项规定的投标截止时间前递交投标文件。</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4.2.2 投标人递交投标文件的地点：见投标人须知前附表。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4.2.3 除投标人须知前附表另有规定外，投标人所递交的投标文件不予退还。</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4.2.4 逾期送达的或者未送达指定地点的投标文件，招标人不予受理。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4.3 投标文件的修改与撤回</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4.3.1 在本章第2.2.2 项规定的投标截止时间前，投标人可以修改或撤回已递交的投标文件，须在投标截止时间前再次成功上传修改后的加密的电子投标文件。</w:t>
      </w:r>
    </w:p>
    <w:p>
      <w:pPr>
        <w:pStyle w:val="4"/>
        <w:jc w:val="center"/>
        <w:rPr>
          <w:rFonts w:ascii="宋体" w:hAnsi="宋体" w:cs="宋体"/>
          <w:color w:val="auto"/>
          <w:sz w:val="32"/>
          <w:highlight w:val="none"/>
        </w:rPr>
      </w:pPr>
      <w:bookmarkStart w:id="27" w:name="_Toc430166815"/>
      <w:bookmarkStart w:id="28" w:name="_Toc24894"/>
      <w:bookmarkStart w:id="29" w:name="_Toc2428"/>
      <w:r>
        <w:rPr>
          <w:rFonts w:hint="eastAsia" w:ascii="宋体" w:hAnsi="宋体" w:cs="宋体"/>
          <w:color w:val="auto"/>
          <w:sz w:val="32"/>
          <w:highlight w:val="none"/>
        </w:rPr>
        <w:t>5. 开标</w:t>
      </w:r>
      <w:bookmarkEnd w:id="27"/>
      <w:bookmarkEnd w:id="28"/>
      <w:bookmarkEnd w:id="29"/>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5.1 开标时间和地点</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招标人在本章第2.2.2 项规定的投标截止时间（开标时间）和投标人须知前附表规定的地点公开开标。</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5.2 开标程序</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bookmarkStart w:id="30" w:name="_Toc430166816"/>
      <w:r>
        <w:rPr>
          <w:rFonts w:hint="eastAsia" w:ascii="宋体" w:hAnsi="宋体" w:cs="宋体"/>
          <w:color w:val="auto"/>
          <w:kern w:val="0"/>
          <w:sz w:val="24"/>
          <w:highlight w:val="none"/>
        </w:rPr>
        <w:t>5.2.1开标会议由招标人或招标代理机构主持，代理机构当众解密投标文件（</w:t>
      </w:r>
      <w:r>
        <w:rPr>
          <w:rFonts w:hint="eastAsia" w:ascii="宋体" w:hAnsi="宋体" w:cs="宋体"/>
          <w:color w:val="auto"/>
          <w:sz w:val="24"/>
          <w:highlight w:val="none"/>
        </w:rPr>
        <w:t>在解密投标文件开始时30分钟内进行解密，超时视为放弃递交投标文件</w:t>
      </w:r>
      <w:r>
        <w:rPr>
          <w:rFonts w:hint="eastAsia" w:ascii="宋体" w:hAnsi="宋体" w:cs="宋体"/>
          <w:color w:val="auto"/>
          <w:kern w:val="0"/>
          <w:sz w:val="24"/>
          <w:highlight w:val="none"/>
        </w:rPr>
        <w:t>），解密完成后各投标人的电子投标文件的实质性内容将自动显示在网页中。</w:t>
      </w:r>
    </w:p>
    <w:p>
      <w:pPr>
        <w:pStyle w:val="4"/>
        <w:jc w:val="center"/>
        <w:rPr>
          <w:rFonts w:ascii="宋体" w:hAnsi="宋体" w:cs="宋体"/>
          <w:color w:val="auto"/>
          <w:sz w:val="32"/>
          <w:highlight w:val="none"/>
        </w:rPr>
      </w:pPr>
      <w:bookmarkStart w:id="31" w:name="_Toc14062"/>
      <w:bookmarkStart w:id="32" w:name="_Toc23497"/>
      <w:r>
        <w:rPr>
          <w:rFonts w:hint="eastAsia" w:ascii="宋体" w:hAnsi="宋体" w:cs="宋体"/>
          <w:color w:val="auto"/>
          <w:sz w:val="32"/>
          <w:highlight w:val="none"/>
        </w:rPr>
        <w:t>6. 评标</w:t>
      </w:r>
      <w:bookmarkEnd w:id="30"/>
      <w:bookmarkEnd w:id="31"/>
      <w:bookmarkEnd w:id="32"/>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6.1 评标委员会</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6.1.1 评标由招标人依法组建的评标委员会负责。评标委员会成员人数以及技术、经济等方面专家的确定方式见投标人须知前附表。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6.1.2 评标委员会成员有下列情形之一的，应当回避：</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（1）招标人或投标人的主要负责人的近亲属；</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（2）项目主管部门或者行政监督部门的人员；</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（3）与投标人有经济利益关系，可能影响对投标公正评审的；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（4）曾因在招标、评标以及其他与招标投标有关活动中从事违法行为而受过行政处罚或刑事处罚的。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6.2 评标原则</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评标活动遵循公平、公正、科学和择优的原则。</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6.3 评标</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评标委员会按照第三章“评标办法”规定的方法、评审因素、标准和程序对投标文件进行评审。第三章“评标办法”没有规定的方法、评审因素和标准，不作为评标依据。</w:t>
      </w:r>
    </w:p>
    <w:p>
      <w:pPr>
        <w:pStyle w:val="4"/>
        <w:jc w:val="center"/>
        <w:rPr>
          <w:rFonts w:ascii="宋体" w:hAnsi="宋体" w:cs="宋体"/>
          <w:color w:val="auto"/>
          <w:sz w:val="32"/>
          <w:highlight w:val="none"/>
        </w:rPr>
      </w:pPr>
      <w:bookmarkStart w:id="33" w:name="_Toc18148"/>
      <w:bookmarkStart w:id="34" w:name="_Toc430166817"/>
      <w:bookmarkStart w:id="35" w:name="_Toc18596"/>
      <w:r>
        <w:rPr>
          <w:rFonts w:hint="eastAsia" w:ascii="宋体" w:hAnsi="宋体" w:cs="宋体"/>
          <w:color w:val="auto"/>
          <w:sz w:val="32"/>
          <w:highlight w:val="none"/>
        </w:rPr>
        <w:t>7. 合同授予</w:t>
      </w:r>
      <w:bookmarkEnd w:id="33"/>
      <w:bookmarkEnd w:id="34"/>
      <w:bookmarkEnd w:id="35"/>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7.1 定标方式</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除投标人须知前附表规定评标委员会直接确定中标人外，招标人依据评标委员会推荐的中标候选人确定中标人。</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7.2 中标通知</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在发出中标公告后请采购人、中标人登录周口市公共资源交易中心网（http://jyzx.zhoukou.gov.cn）自行下载中标通知书</w:t>
      </w:r>
      <w:r>
        <w:rPr>
          <w:rFonts w:hint="eastAsia" w:ascii="宋体" w:hAnsi="宋体" w:cs="宋体"/>
          <w:color w:val="auto"/>
          <w:kern w:val="0"/>
          <w:sz w:val="24"/>
          <w:highlight w:val="none"/>
        </w:rPr>
        <w:t>。</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7.3 履约担保</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无</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7.4 签订合同</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7.4.2 发出中标通知书后，招标人无正当理由拒签合同的，招标人向中标人退还投标保证金；给中标人造成损失的，应当赔偿损失。</w:t>
      </w:r>
    </w:p>
    <w:p>
      <w:pPr>
        <w:pStyle w:val="4"/>
        <w:jc w:val="center"/>
        <w:rPr>
          <w:rFonts w:ascii="宋体" w:hAnsi="宋体" w:cs="宋体"/>
          <w:color w:val="auto"/>
          <w:sz w:val="32"/>
          <w:highlight w:val="none"/>
        </w:rPr>
      </w:pPr>
      <w:bookmarkStart w:id="36" w:name="_Toc31224"/>
      <w:bookmarkStart w:id="37" w:name="_Toc19427"/>
      <w:r>
        <w:rPr>
          <w:rFonts w:hint="eastAsia" w:ascii="宋体" w:hAnsi="宋体" w:cs="宋体"/>
          <w:color w:val="auto"/>
          <w:sz w:val="32"/>
          <w:highlight w:val="none"/>
        </w:rPr>
        <w:t>8. 重新招标和不再招标</w:t>
      </w:r>
      <w:bookmarkEnd w:id="36"/>
      <w:bookmarkEnd w:id="37"/>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8.1 重新招标</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有下列情形之一的，招标人将重新招标：</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（1）投标截止时间止，投标人少于3个的；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（2）经评标委员会评审后否决所有投标的。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8.2 不再招标</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重新招标后投标人仍少于3 个或者所有投标被否决的，属于必须审批或核准的工程建设项目，经原审批或核准部门批准后不再进行招标。</w:t>
      </w:r>
    </w:p>
    <w:p>
      <w:pPr>
        <w:pStyle w:val="4"/>
        <w:jc w:val="center"/>
        <w:rPr>
          <w:rFonts w:ascii="宋体" w:hAnsi="宋体" w:cs="宋体"/>
          <w:color w:val="auto"/>
          <w:sz w:val="32"/>
          <w:highlight w:val="none"/>
        </w:rPr>
      </w:pPr>
      <w:bookmarkStart w:id="38" w:name="_Toc1776"/>
      <w:bookmarkStart w:id="39" w:name="_Toc430166818"/>
      <w:bookmarkStart w:id="40" w:name="_Toc29761"/>
      <w:r>
        <w:rPr>
          <w:rFonts w:hint="eastAsia" w:ascii="宋体" w:hAnsi="宋体" w:cs="宋体"/>
          <w:color w:val="auto"/>
          <w:sz w:val="32"/>
          <w:highlight w:val="none"/>
        </w:rPr>
        <w:t>9. 纪律和监督</w:t>
      </w:r>
      <w:bookmarkEnd w:id="38"/>
      <w:bookmarkEnd w:id="39"/>
      <w:bookmarkEnd w:id="40"/>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9.1 对招标人的纪律要求</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招标人不得泄漏招标投标活动中应当保密的情况和资料，不得与投标人串通损害国家利益、社会公共利益或者他人合法权益</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9.2 对投标人的纪律要求</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投标人</w:t>
      </w:r>
      <w:r>
        <w:rPr>
          <w:rFonts w:hint="eastAsia" w:ascii="宋体" w:hAnsi="宋体" w:cs="宋体"/>
          <w:color w:val="auto"/>
          <w:kern w:val="0"/>
          <w:sz w:val="24"/>
          <w:highlight w:val="none"/>
          <w:lang w:eastAsia="zh-CN"/>
        </w:rPr>
        <w:t>需在投标文件中承诺</w:t>
      </w:r>
      <w:r>
        <w:rPr>
          <w:rFonts w:hint="eastAsia" w:ascii="宋体" w:hAnsi="宋体" w:cs="宋体"/>
          <w:color w:val="auto"/>
          <w:kern w:val="0"/>
          <w:sz w:val="24"/>
          <w:highlight w:val="none"/>
        </w:rPr>
        <w:t>不得相互串通投标或者与招标人串通投标，不得向招标人或者评标委员会成员行贿谋取中标，不得以他人名义投标或者以其他方式弄虚作假骗取中标；投标人不得以任何方式干扰、影响评标工作</w:t>
      </w:r>
      <w:r>
        <w:rPr>
          <w:rFonts w:hint="eastAsia" w:ascii="宋体" w:hAnsi="宋体" w:cs="宋体"/>
          <w:color w:val="auto"/>
          <w:kern w:val="0"/>
          <w:sz w:val="24"/>
          <w:highlight w:val="none"/>
          <w:lang w:eastAsia="zh-CN"/>
        </w:rPr>
        <w:t>，不提供承诺的视为无效投标文件</w:t>
      </w:r>
      <w:r>
        <w:rPr>
          <w:rFonts w:hint="eastAsia" w:ascii="宋体" w:hAnsi="宋体" w:cs="宋体"/>
          <w:color w:val="auto"/>
          <w:kern w:val="0"/>
          <w:sz w:val="24"/>
          <w:highlight w:val="none"/>
        </w:rPr>
        <w:t>。</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9.3 对评标委员会成员的纪律要求</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9.4 对与评标活动有关的工作人员的纪律要求</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9.5 投诉</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投标人和其他利害关系人认为本次招标活动违反法律、法规和规章规定的，有权向有关行政监督部门投诉。</w:t>
      </w:r>
    </w:p>
    <w:p>
      <w:pPr>
        <w:pStyle w:val="4"/>
        <w:jc w:val="center"/>
        <w:rPr>
          <w:rFonts w:ascii="宋体" w:hAnsi="宋体" w:cs="宋体"/>
          <w:color w:val="auto"/>
          <w:sz w:val="32"/>
          <w:highlight w:val="none"/>
        </w:rPr>
      </w:pPr>
      <w:bookmarkStart w:id="41" w:name="_Toc14541"/>
      <w:bookmarkStart w:id="42" w:name="_Toc32160"/>
      <w:bookmarkStart w:id="43" w:name="_Toc430166819"/>
      <w:r>
        <w:rPr>
          <w:rFonts w:hint="eastAsia" w:ascii="宋体" w:hAnsi="宋体" w:cs="宋体"/>
          <w:color w:val="auto"/>
          <w:sz w:val="32"/>
          <w:highlight w:val="none"/>
        </w:rPr>
        <w:t>10. 需要补充的其他内容</w:t>
      </w:r>
      <w:bookmarkEnd w:id="41"/>
      <w:bookmarkEnd w:id="42"/>
      <w:bookmarkEnd w:id="43"/>
    </w:p>
    <w:p>
      <w:pPr>
        <w:rPr>
          <w:rFonts w:ascii="宋体" w:hAnsi="宋体" w:cs="宋体"/>
          <w:color w:val="auto"/>
          <w:sz w:val="36"/>
          <w:szCs w:val="36"/>
          <w:highlight w:val="none"/>
        </w:rPr>
      </w:pPr>
      <w:bookmarkStart w:id="44" w:name="_Toc32630"/>
      <w:r>
        <w:rPr>
          <w:rFonts w:hint="eastAsia" w:ascii="宋体" w:hAnsi="宋体" w:cs="宋体"/>
          <w:color w:val="auto"/>
          <w:sz w:val="36"/>
          <w:szCs w:val="36"/>
          <w:highlight w:val="none"/>
        </w:rPr>
        <w:br w:type="page"/>
      </w:r>
    </w:p>
    <w:p>
      <w:pPr>
        <w:pStyle w:val="3"/>
        <w:spacing w:before="0" w:after="0" w:line="360" w:lineRule="auto"/>
        <w:jc w:val="center"/>
        <w:rPr>
          <w:rFonts w:ascii="宋体" w:hAnsi="宋体" w:cs="宋体"/>
          <w:bCs w:val="0"/>
          <w:color w:val="auto"/>
          <w:sz w:val="36"/>
          <w:szCs w:val="36"/>
          <w:highlight w:val="none"/>
        </w:rPr>
      </w:pPr>
      <w:r>
        <w:rPr>
          <w:rFonts w:hint="eastAsia" w:ascii="宋体" w:hAnsi="宋体" w:cs="宋体"/>
          <w:bCs w:val="0"/>
          <w:color w:val="auto"/>
          <w:sz w:val="36"/>
          <w:szCs w:val="36"/>
          <w:highlight w:val="none"/>
        </w:rPr>
        <w:t>第三章 评标办法（综合评估法）</w:t>
      </w:r>
      <w:bookmarkEnd w:id="44"/>
    </w:p>
    <w:p>
      <w:pPr>
        <w:rPr>
          <w:rFonts w:ascii="宋体" w:hAnsi="宋体" w:cs="宋体"/>
          <w:color w:val="auto"/>
          <w:highlight w:val="none"/>
        </w:rPr>
      </w:pPr>
    </w:p>
    <w:p>
      <w:pPr>
        <w:spacing w:line="560" w:lineRule="exact"/>
        <w:rPr>
          <w:rFonts w:ascii="宋体" w:hAnsi="宋体" w:cs="宋体"/>
          <w:color w:val="auto"/>
          <w:kern w:val="0"/>
          <w:sz w:val="24"/>
          <w:highlight w:val="none"/>
        </w:rPr>
      </w:pPr>
      <w:r>
        <w:rPr>
          <w:rFonts w:hint="eastAsia" w:ascii="宋体" w:hAnsi="宋体" w:cs="宋体"/>
          <w:b/>
          <w:bCs/>
          <w:color w:val="auto"/>
          <w:sz w:val="32"/>
          <w:szCs w:val="32"/>
          <w:highlight w:val="none"/>
        </w:rPr>
        <w:t xml:space="preserve"> </w:t>
      </w:r>
    </w:p>
    <w:tbl>
      <w:tblPr>
        <w:tblStyle w:val="47"/>
        <w:tblW w:w="9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476"/>
        <w:gridCol w:w="1935"/>
        <w:gridCol w:w="1710"/>
        <w:gridCol w:w="4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532" w:type="dxa"/>
            <w:gridSpan w:val="2"/>
            <w:vAlign w:val="center"/>
          </w:tcPr>
          <w:p>
            <w:pPr>
              <w:pStyle w:val="13"/>
              <w:spacing w:line="40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条款号</w:t>
            </w:r>
          </w:p>
        </w:tc>
        <w:tc>
          <w:tcPr>
            <w:tcW w:w="1935" w:type="dxa"/>
            <w:vAlign w:val="center"/>
          </w:tcPr>
          <w:p>
            <w:pPr>
              <w:pStyle w:val="13"/>
              <w:spacing w:line="40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评审因素</w:t>
            </w:r>
          </w:p>
        </w:tc>
        <w:tc>
          <w:tcPr>
            <w:tcW w:w="5738" w:type="dxa"/>
            <w:gridSpan w:val="2"/>
            <w:vAlign w:val="center"/>
          </w:tcPr>
          <w:p>
            <w:pPr>
              <w:pStyle w:val="13"/>
              <w:spacing w:line="40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1056" w:type="dxa"/>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2.1.1</w:t>
            </w:r>
          </w:p>
        </w:tc>
        <w:tc>
          <w:tcPr>
            <w:tcW w:w="476" w:type="dxa"/>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形</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式</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评</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审</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标</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准</w:t>
            </w: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投标人名称</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投标函及投标函附录</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签字盖章</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有法定代表人或其委托代理人签字并加盖单位公章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投标文件格式</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符合第八章“投标文件格式”中的要求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报价唯一</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只能有一个有效报价且不超过招标控制价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2.1.2</w:t>
            </w:r>
          </w:p>
        </w:tc>
        <w:tc>
          <w:tcPr>
            <w:tcW w:w="476" w:type="dxa"/>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资</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格</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评</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审</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标</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准</w:t>
            </w: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营业执照</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资格要求</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项目经理资格</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信誉要求</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2.1.3</w:t>
            </w:r>
          </w:p>
        </w:tc>
        <w:tc>
          <w:tcPr>
            <w:tcW w:w="476" w:type="dxa"/>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响</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应</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性</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评</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审</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标</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准</w:t>
            </w: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投标内容</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工期</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质量要求</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权利义务</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已标价工程量清单</w:t>
            </w:r>
          </w:p>
        </w:tc>
        <w:tc>
          <w:tcPr>
            <w:tcW w:w="5738" w:type="dxa"/>
            <w:gridSpan w:val="2"/>
            <w:vAlign w:val="center"/>
          </w:tcPr>
          <w:p>
            <w:pPr>
              <w:pStyle w:val="13"/>
              <w:spacing w:line="400" w:lineRule="exact"/>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符合第五章“工程量清单”</w:t>
            </w:r>
            <w:r>
              <w:rPr>
                <w:rFonts w:hint="eastAsia" w:hAnsi="宋体" w:cs="宋体"/>
                <w:color w:val="auto"/>
                <w:highlight w:val="none"/>
                <w:lang w:eastAsia="zh-CN"/>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highlight w:val="none"/>
              </w:rPr>
            </w:pPr>
          </w:p>
        </w:tc>
        <w:tc>
          <w:tcPr>
            <w:tcW w:w="476" w:type="dxa"/>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技术标准和要求</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符合第七章“技术标准和要求”规定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532" w:type="dxa"/>
            <w:gridSpan w:val="2"/>
            <w:vAlign w:val="center"/>
          </w:tcPr>
          <w:p>
            <w:pPr>
              <w:pStyle w:val="13"/>
              <w:spacing w:line="40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条款号</w:t>
            </w:r>
          </w:p>
        </w:tc>
        <w:tc>
          <w:tcPr>
            <w:tcW w:w="1935" w:type="dxa"/>
            <w:vAlign w:val="center"/>
          </w:tcPr>
          <w:p>
            <w:pPr>
              <w:pStyle w:val="13"/>
              <w:spacing w:line="400" w:lineRule="exact"/>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条款内容</w:t>
            </w:r>
          </w:p>
        </w:tc>
        <w:tc>
          <w:tcPr>
            <w:tcW w:w="5738" w:type="dxa"/>
            <w:gridSpan w:val="2"/>
            <w:vAlign w:val="center"/>
          </w:tcPr>
          <w:p>
            <w:pPr>
              <w:pStyle w:val="13"/>
              <w:spacing w:line="400" w:lineRule="exact"/>
              <w:jc w:val="left"/>
              <w:rPr>
                <w:rFonts w:hint="eastAsia" w:ascii="宋体" w:hAnsi="宋体" w:eastAsia="宋体" w:cs="宋体"/>
                <w:b/>
                <w:bCs/>
                <w:color w:val="auto"/>
                <w:highlight w:val="none"/>
              </w:rPr>
            </w:pPr>
            <w:r>
              <w:rPr>
                <w:rFonts w:hint="eastAsia" w:ascii="宋体" w:hAnsi="宋体" w:eastAsia="宋体" w:cs="宋体"/>
                <w:b/>
                <w:bCs/>
                <w:color w:val="auto"/>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2.2.1</w:t>
            </w: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分值组成</w:t>
            </w:r>
          </w:p>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（总分100分）</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技术部分：5</w:t>
            </w:r>
            <w:r>
              <w:rPr>
                <w:rFonts w:hint="eastAsia" w:hAnsi="宋体" w:cs="宋体"/>
                <w:color w:val="auto"/>
                <w:highlight w:val="none"/>
                <w:lang w:val="en-US" w:eastAsia="zh-CN"/>
              </w:rPr>
              <w:t>0</w:t>
            </w:r>
            <w:r>
              <w:rPr>
                <w:rFonts w:hint="eastAsia" w:ascii="宋体" w:hAnsi="宋体" w:eastAsia="宋体" w:cs="宋体"/>
                <w:color w:val="auto"/>
                <w:highlight w:val="none"/>
              </w:rPr>
              <w:t>分</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商务部分：</w:t>
            </w:r>
            <w:r>
              <w:rPr>
                <w:rFonts w:hint="eastAsia" w:hAnsi="宋体" w:cs="宋体"/>
                <w:color w:val="auto"/>
                <w:highlight w:val="none"/>
                <w:lang w:val="en-US" w:eastAsia="zh-CN"/>
              </w:rPr>
              <w:t>20</w:t>
            </w:r>
            <w:r>
              <w:rPr>
                <w:rFonts w:hint="eastAsia" w:ascii="宋体" w:hAnsi="宋体" w:eastAsia="宋体" w:cs="宋体"/>
                <w:color w:val="auto"/>
                <w:highlight w:val="none"/>
              </w:rPr>
              <w:t>分</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投标报价：30分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2.2.1</w:t>
            </w:r>
          </w:p>
        </w:tc>
        <w:tc>
          <w:tcPr>
            <w:tcW w:w="1935" w:type="dxa"/>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报价得分（30分）</w:t>
            </w:r>
          </w:p>
        </w:tc>
        <w:tc>
          <w:tcPr>
            <w:tcW w:w="5738" w:type="dxa"/>
            <w:gridSpan w:val="2"/>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价格采用低价优先法计算，即满足招标文件要求且最终报价最低的为评标基准价，其价格分为满分。其他供应商的价格分统一按照下列公式计算：价格分=（评标基准价÷评标价）×（30分）</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注：</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1.若投标人投标价格均超过控制价，做废标处理。</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2.对小型、微型、监狱企业、残疾人福利性单位投标报价给予</w:t>
            </w:r>
            <w:r>
              <w:rPr>
                <w:rFonts w:hint="eastAsia" w:hAnsi="宋体" w:cs="宋体"/>
                <w:color w:val="auto"/>
                <w:highlight w:val="none"/>
                <w:lang w:val="en-US" w:eastAsia="zh-CN"/>
              </w:rPr>
              <w:t>5</w:t>
            </w:r>
            <w:r>
              <w:rPr>
                <w:rFonts w:hint="eastAsia" w:ascii="宋体" w:hAnsi="宋体" w:eastAsia="宋体" w:cs="宋体"/>
                <w:color w:val="auto"/>
                <w:highlight w:val="none"/>
              </w:rPr>
              <w:t>%的扣除，用扣除后的价格参与评审。参加本项目的中小企业应当提供《中小企业声明函》（格式详见《政府采购促进中小企业发展管理办法》）</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2.2.3</w:t>
            </w:r>
          </w:p>
        </w:tc>
        <w:tc>
          <w:tcPr>
            <w:tcW w:w="1935" w:type="dxa"/>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技术部分(5</w:t>
            </w:r>
            <w:r>
              <w:rPr>
                <w:rFonts w:hint="eastAsia" w:hAnsi="宋体" w:cs="宋体"/>
                <w:color w:val="auto"/>
                <w:highlight w:val="none"/>
                <w:lang w:val="en-US" w:eastAsia="zh-CN"/>
              </w:rPr>
              <w:t>0</w:t>
            </w:r>
            <w:r>
              <w:rPr>
                <w:rFonts w:hint="eastAsia" w:ascii="宋体" w:hAnsi="宋体" w:eastAsia="宋体" w:cs="宋体"/>
                <w:color w:val="auto"/>
                <w:highlight w:val="none"/>
              </w:rPr>
              <w:t>分）</w:t>
            </w:r>
          </w:p>
        </w:tc>
        <w:tc>
          <w:tcPr>
            <w:tcW w:w="1710"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施工方案和技术措施（</w:t>
            </w:r>
            <w:r>
              <w:rPr>
                <w:rFonts w:hint="eastAsia" w:hAnsi="宋体" w:cs="宋体"/>
                <w:color w:val="auto"/>
                <w:highlight w:val="none"/>
                <w:lang w:val="en-US" w:eastAsia="zh-CN"/>
              </w:rPr>
              <w:t>8</w:t>
            </w:r>
            <w:r>
              <w:rPr>
                <w:rFonts w:hint="eastAsia" w:ascii="宋体" w:hAnsi="宋体" w:eastAsia="宋体" w:cs="宋体"/>
                <w:color w:val="auto"/>
                <w:highlight w:val="none"/>
              </w:rPr>
              <w:t>分）</w:t>
            </w:r>
          </w:p>
        </w:tc>
        <w:tc>
          <w:tcPr>
            <w:tcW w:w="4028"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工程概况、编制依据、施工安排、施工进度计划、施工准备与资源配置计划、施工方法及工艺要求等内容，齐全的得</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分，描述不全面或不提供者不得分；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Merge w:val="continue"/>
            <w:vAlign w:val="center"/>
          </w:tcPr>
          <w:p>
            <w:pPr>
              <w:pStyle w:val="13"/>
              <w:spacing w:line="400" w:lineRule="exact"/>
              <w:jc w:val="center"/>
              <w:rPr>
                <w:rFonts w:hint="eastAsia" w:ascii="宋体" w:hAnsi="宋体" w:eastAsia="宋体" w:cs="宋体"/>
                <w:color w:val="auto"/>
                <w:highlight w:val="none"/>
              </w:rPr>
            </w:pPr>
          </w:p>
        </w:tc>
        <w:tc>
          <w:tcPr>
            <w:tcW w:w="1710"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质量管理体系与措施（8分）</w:t>
            </w:r>
          </w:p>
        </w:tc>
        <w:tc>
          <w:tcPr>
            <w:tcW w:w="4028"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质量计划、质量目标和要求、质量控制方法</w:t>
            </w:r>
            <w:r>
              <w:rPr>
                <w:rFonts w:hint="eastAsia" w:hAnsi="宋体" w:cs="宋体"/>
                <w:color w:val="auto"/>
                <w:highlight w:val="none"/>
                <w:lang w:eastAsia="zh-CN"/>
              </w:rPr>
              <w:t>、</w:t>
            </w:r>
            <w:r>
              <w:rPr>
                <w:rFonts w:hint="eastAsia" w:ascii="宋体" w:hAnsi="宋体" w:eastAsia="宋体" w:cs="宋体"/>
                <w:color w:val="auto"/>
                <w:highlight w:val="none"/>
              </w:rPr>
              <w:t>质量保证措施</w:t>
            </w:r>
            <w:r>
              <w:rPr>
                <w:rFonts w:hint="eastAsia" w:hAnsi="宋体" w:cs="宋体"/>
                <w:color w:val="auto"/>
                <w:highlight w:val="none"/>
                <w:lang w:eastAsia="zh-CN"/>
              </w:rPr>
              <w:t>等</w:t>
            </w:r>
            <w:r>
              <w:rPr>
                <w:rFonts w:hint="eastAsia" w:ascii="宋体" w:hAnsi="宋体" w:eastAsia="宋体" w:cs="宋体"/>
                <w:color w:val="auto"/>
                <w:highlight w:val="none"/>
              </w:rPr>
              <w:t>齐全得</w:t>
            </w:r>
            <w:r>
              <w:rPr>
                <w:rFonts w:hint="eastAsia" w:hAnsi="宋体" w:cs="宋体"/>
                <w:color w:val="auto"/>
                <w:highlight w:val="none"/>
                <w:lang w:val="en-US" w:eastAsia="zh-CN"/>
              </w:rPr>
              <w:t>8</w:t>
            </w:r>
            <w:r>
              <w:rPr>
                <w:rFonts w:hint="eastAsia" w:ascii="宋体" w:hAnsi="宋体" w:eastAsia="宋体" w:cs="宋体"/>
                <w:color w:val="auto"/>
                <w:highlight w:val="none"/>
              </w:rPr>
              <w:t>分，描述不全面或不提供者不得分；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Merge w:val="continue"/>
            <w:vAlign w:val="center"/>
          </w:tcPr>
          <w:p>
            <w:pPr>
              <w:pStyle w:val="13"/>
              <w:spacing w:line="400" w:lineRule="exact"/>
              <w:jc w:val="center"/>
              <w:rPr>
                <w:rFonts w:hint="eastAsia" w:ascii="宋体" w:hAnsi="宋体" w:eastAsia="宋体" w:cs="宋体"/>
                <w:color w:val="auto"/>
                <w:highlight w:val="none"/>
              </w:rPr>
            </w:pPr>
          </w:p>
        </w:tc>
        <w:tc>
          <w:tcPr>
            <w:tcW w:w="1710"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安全管理体系与措施（8分）</w:t>
            </w:r>
          </w:p>
        </w:tc>
        <w:tc>
          <w:tcPr>
            <w:tcW w:w="4028"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施工安全技术要求、重大风险控制措施、安全技术措施、应急处理措施等内容齐全得</w:t>
            </w:r>
            <w:r>
              <w:rPr>
                <w:rFonts w:hint="eastAsia" w:hAnsi="宋体" w:cs="宋体"/>
                <w:color w:val="auto"/>
                <w:highlight w:val="none"/>
                <w:lang w:val="en-US" w:eastAsia="zh-CN"/>
              </w:rPr>
              <w:t>8</w:t>
            </w:r>
            <w:r>
              <w:rPr>
                <w:rFonts w:hint="eastAsia" w:ascii="宋体" w:hAnsi="宋体" w:eastAsia="宋体" w:cs="宋体"/>
                <w:color w:val="auto"/>
                <w:highlight w:val="none"/>
              </w:rPr>
              <w:t>分</w:t>
            </w:r>
            <w:r>
              <w:rPr>
                <w:rFonts w:hint="eastAsia" w:hAnsi="宋体" w:cs="宋体"/>
                <w:color w:val="auto"/>
                <w:highlight w:val="none"/>
                <w:lang w:eastAsia="zh-CN"/>
              </w:rPr>
              <w:t>，</w:t>
            </w:r>
            <w:r>
              <w:rPr>
                <w:rFonts w:hint="eastAsia" w:ascii="宋体" w:hAnsi="宋体" w:eastAsia="宋体" w:cs="宋体"/>
                <w:color w:val="auto"/>
                <w:highlight w:val="none"/>
              </w:rPr>
              <w:t>描述不全面或不提供者不得分；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Merge w:val="continue"/>
            <w:vAlign w:val="center"/>
          </w:tcPr>
          <w:p>
            <w:pPr>
              <w:pStyle w:val="13"/>
              <w:spacing w:line="400" w:lineRule="exact"/>
              <w:jc w:val="center"/>
              <w:rPr>
                <w:rFonts w:hint="eastAsia" w:ascii="宋体" w:hAnsi="宋体" w:eastAsia="宋体" w:cs="宋体"/>
                <w:color w:val="auto"/>
                <w:highlight w:val="none"/>
              </w:rPr>
            </w:pPr>
          </w:p>
        </w:tc>
        <w:tc>
          <w:tcPr>
            <w:tcW w:w="1710"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文明施工、环境保护管理体系及施工现场扬尘治理措施</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hAnsi="宋体" w:cs="宋体"/>
                <w:color w:val="auto"/>
                <w:highlight w:val="none"/>
                <w:lang w:val="en-US" w:eastAsia="zh-CN"/>
              </w:rPr>
              <w:t>8</w:t>
            </w:r>
            <w:r>
              <w:rPr>
                <w:rFonts w:hint="eastAsia" w:ascii="宋体" w:hAnsi="宋体" w:eastAsia="宋体" w:cs="宋体"/>
                <w:color w:val="auto"/>
                <w:highlight w:val="none"/>
              </w:rPr>
              <w:t>分）</w:t>
            </w:r>
          </w:p>
        </w:tc>
        <w:tc>
          <w:tcPr>
            <w:tcW w:w="4028"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提供文明施工、环境保护管理体系、施工现场扬尘治理措施</w:t>
            </w:r>
            <w:r>
              <w:rPr>
                <w:rFonts w:hint="eastAsia" w:hAnsi="宋体" w:cs="宋体"/>
                <w:color w:val="auto"/>
                <w:highlight w:val="none"/>
                <w:lang w:val="en-US" w:eastAsia="zh-CN"/>
              </w:rPr>
              <w:t>8</w:t>
            </w:r>
            <w:r>
              <w:rPr>
                <w:rFonts w:hint="eastAsia" w:hAnsi="宋体" w:cs="宋体"/>
                <w:color w:val="auto"/>
                <w:highlight w:val="none"/>
                <w:lang w:eastAsia="zh-CN"/>
              </w:rPr>
              <w:t>分，</w:t>
            </w:r>
            <w:r>
              <w:rPr>
                <w:rFonts w:hint="eastAsia" w:ascii="宋体" w:hAnsi="宋体" w:eastAsia="宋体" w:cs="宋体"/>
                <w:color w:val="auto"/>
                <w:highlight w:val="none"/>
              </w:rPr>
              <w:t>描述不全面或不提供者不得分；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Merge w:val="continue"/>
            <w:vAlign w:val="center"/>
          </w:tcPr>
          <w:p>
            <w:pPr>
              <w:pStyle w:val="13"/>
              <w:spacing w:line="400" w:lineRule="exact"/>
              <w:jc w:val="center"/>
              <w:rPr>
                <w:rFonts w:hint="eastAsia" w:ascii="宋体" w:hAnsi="宋体" w:eastAsia="宋体" w:cs="宋体"/>
                <w:color w:val="auto"/>
                <w:highlight w:val="none"/>
              </w:rPr>
            </w:pPr>
          </w:p>
        </w:tc>
        <w:tc>
          <w:tcPr>
            <w:tcW w:w="1710"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工程进度计划与措施（</w:t>
            </w:r>
            <w:r>
              <w:rPr>
                <w:rFonts w:hint="eastAsia" w:hAnsi="宋体" w:cs="宋体"/>
                <w:color w:val="auto"/>
                <w:highlight w:val="none"/>
                <w:lang w:val="en-US" w:eastAsia="zh-CN"/>
              </w:rPr>
              <w:t>6</w:t>
            </w:r>
            <w:r>
              <w:rPr>
                <w:rFonts w:hint="eastAsia" w:ascii="宋体" w:hAnsi="宋体" w:eastAsia="宋体" w:cs="宋体"/>
                <w:color w:val="auto"/>
                <w:highlight w:val="none"/>
              </w:rPr>
              <w:t>分）</w:t>
            </w:r>
          </w:p>
        </w:tc>
        <w:tc>
          <w:tcPr>
            <w:tcW w:w="4028"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工程进度计划与措施</w:t>
            </w:r>
            <w:r>
              <w:rPr>
                <w:rFonts w:hint="eastAsia" w:hAnsi="宋体" w:cs="宋体"/>
                <w:color w:val="auto"/>
                <w:highlight w:val="none"/>
                <w:lang w:val="en-US" w:eastAsia="zh-CN"/>
              </w:rPr>
              <w:t>6</w:t>
            </w:r>
            <w:r>
              <w:rPr>
                <w:rFonts w:hint="eastAsia" w:ascii="宋体" w:hAnsi="宋体" w:eastAsia="宋体" w:cs="宋体"/>
                <w:color w:val="auto"/>
                <w:highlight w:val="none"/>
              </w:rPr>
              <w:t>分</w:t>
            </w:r>
            <w:r>
              <w:rPr>
                <w:rFonts w:hint="eastAsia" w:hAnsi="宋体" w:cs="宋体"/>
                <w:color w:val="auto"/>
                <w:highlight w:val="none"/>
                <w:lang w:eastAsia="zh-CN"/>
              </w:rPr>
              <w:t>，</w:t>
            </w:r>
            <w:r>
              <w:rPr>
                <w:rFonts w:hint="eastAsia" w:ascii="宋体" w:hAnsi="宋体" w:eastAsia="宋体" w:cs="宋体"/>
                <w:color w:val="auto"/>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Merge w:val="continue"/>
            <w:vAlign w:val="center"/>
          </w:tcPr>
          <w:p>
            <w:pPr>
              <w:pStyle w:val="13"/>
              <w:spacing w:line="400" w:lineRule="exact"/>
              <w:jc w:val="center"/>
              <w:rPr>
                <w:rFonts w:hint="eastAsia" w:ascii="宋体" w:hAnsi="宋体" w:eastAsia="宋体" w:cs="宋体"/>
                <w:color w:val="auto"/>
                <w:highlight w:val="none"/>
              </w:rPr>
            </w:pPr>
          </w:p>
        </w:tc>
        <w:tc>
          <w:tcPr>
            <w:tcW w:w="1710"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施工进度表或网络计划图（</w:t>
            </w:r>
            <w:r>
              <w:rPr>
                <w:rFonts w:hint="eastAsia" w:hAnsi="宋体" w:cs="宋体"/>
                <w:color w:val="auto"/>
                <w:highlight w:val="none"/>
                <w:lang w:val="en-US" w:eastAsia="zh-CN"/>
              </w:rPr>
              <w:t>6</w:t>
            </w:r>
            <w:r>
              <w:rPr>
                <w:rFonts w:hint="eastAsia" w:ascii="宋体" w:hAnsi="宋体" w:eastAsia="宋体" w:cs="宋体"/>
                <w:color w:val="auto"/>
                <w:highlight w:val="none"/>
              </w:rPr>
              <w:t>分）</w:t>
            </w:r>
          </w:p>
        </w:tc>
        <w:tc>
          <w:tcPr>
            <w:tcW w:w="4028"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施工进度表或网络计划图</w:t>
            </w:r>
            <w:r>
              <w:rPr>
                <w:rFonts w:hint="eastAsia" w:hAnsi="宋体" w:cs="宋体"/>
                <w:color w:val="auto"/>
                <w:highlight w:val="none"/>
                <w:lang w:val="en-US" w:eastAsia="zh-CN"/>
              </w:rPr>
              <w:t>6</w:t>
            </w:r>
            <w:r>
              <w:rPr>
                <w:rFonts w:hint="eastAsia" w:ascii="宋体" w:hAnsi="宋体" w:eastAsia="宋体" w:cs="宋体"/>
                <w:color w:val="auto"/>
                <w:highlight w:val="none"/>
              </w:rPr>
              <w:t>分</w:t>
            </w:r>
            <w:r>
              <w:rPr>
                <w:rFonts w:hint="eastAsia" w:hAnsi="宋体" w:cs="宋体"/>
                <w:color w:val="auto"/>
                <w:highlight w:val="none"/>
                <w:lang w:eastAsia="zh-CN"/>
              </w:rPr>
              <w:t>，</w:t>
            </w:r>
            <w:r>
              <w:rPr>
                <w:rFonts w:hint="eastAsia" w:ascii="宋体" w:hAnsi="宋体" w:eastAsia="宋体" w:cs="宋体"/>
                <w:color w:val="auto"/>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Merge w:val="continue"/>
            <w:vAlign w:val="center"/>
          </w:tcPr>
          <w:p>
            <w:pPr>
              <w:pStyle w:val="13"/>
              <w:spacing w:line="400" w:lineRule="exact"/>
              <w:jc w:val="center"/>
              <w:rPr>
                <w:rFonts w:hint="eastAsia" w:ascii="宋体" w:hAnsi="宋体" w:eastAsia="宋体" w:cs="宋体"/>
                <w:color w:val="auto"/>
                <w:highlight w:val="none"/>
              </w:rPr>
            </w:pPr>
          </w:p>
        </w:tc>
        <w:tc>
          <w:tcPr>
            <w:tcW w:w="1710"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施工总平面布置图（6分）</w:t>
            </w:r>
          </w:p>
        </w:tc>
        <w:tc>
          <w:tcPr>
            <w:tcW w:w="4028"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施工总平面布置图6分</w:t>
            </w:r>
            <w:r>
              <w:rPr>
                <w:rFonts w:hint="eastAsia" w:hAnsi="宋体" w:cs="宋体"/>
                <w:color w:val="auto"/>
                <w:highlight w:val="none"/>
                <w:lang w:eastAsia="zh-CN"/>
              </w:rPr>
              <w:t>，</w:t>
            </w:r>
            <w:r>
              <w:rPr>
                <w:rFonts w:hint="eastAsia" w:ascii="宋体" w:hAnsi="宋体" w:eastAsia="宋体" w:cs="宋体"/>
                <w:color w:val="auto"/>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2.2.4</w:t>
            </w:r>
          </w:p>
        </w:tc>
        <w:tc>
          <w:tcPr>
            <w:tcW w:w="1935" w:type="dxa"/>
            <w:vMerge w:val="restart"/>
            <w:vAlign w:val="center"/>
          </w:tcPr>
          <w:p>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商务部分（</w:t>
            </w:r>
            <w:r>
              <w:rPr>
                <w:rFonts w:hint="eastAsia" w:hAnsi="宋体" w:cs="宋体"/>
                <w:color w:val="auto"/>
                <w:highlight w:val="none"/>
                <w:lang w:val="en-US" w:eastAsia="zh-CN"/>
              </w:rPr>
              <w:t>20</w:t>
            </w:r>
            <w:r>
              <w:rPr>
                <w:rFonts w:hint="eastAsia" w:ascii="宋体" w:hAnsi="宋体" w:eastAsia="宋体" w:cs="宋体"/>
                <w:color w:val="auto"/>
                <w:highlight w:val="none"/>
              </w:rPr>
              <w:t>分）</w:t>
            </w:r>
          </w:p>
          <w:p>
            <w:pPr>
              <w:pStyle w:val="13"/>
              <w:spacing w:line="400" w:lineRule="exact"/>
              <w:jc w:val="center"/>
              <w:rPr>
                <w:rFonts w:hint="eastAsia" w:ascii="宋体" w:hAnsi="宋体" w:eastAsia="宋体" w:cs="宋体"/>
                <w:color w:val="auto"/>
                <w:highlight w:val="none"/>
              </w:rPr>
            </w:pPr>
          </w:p>
        </w:tc>
        <w:tc>
          <w:tcPr>
            <w:tcW w:w="1710"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业绩（4分）</w:t>
            </w:r>
          </w:p>
        </w:tc>
        <w:tc>
          <w:tcPr>
            <w:tcW w:w="4028"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企业业绩，每附1个得2分（20</w:t>
            </w:r>
            <w:r>
              <w:rPr>
                <w:rFonts w:hint="eastAsia" w:ascii="宋体" w:hAnsi="宋体" w:eastAsia="宋体" w:cs="宋体"/>
                <w:color w:val="auto"/>
                <w:highlight w:val="none"/>
                <w:lang w:val="en-US" w:eastAsia="zh-CN"/>
              </w:rPr>
              <w:t>2</w:t>
            </w:r>
            <w:r>
              <w:rPr>
                <w:rFonts w:hint="eastAsia" w:hAnsi="宋体" w:cs="宋体"/>
                <w:color w:val="auto"/>
                <w:highlight w:val="none"/>
                <w:lang w:val="en-US" w:eastAsia="zh-CN"/>
              </w:rPr>
              <w:t>0</w:t>
            </w:r>
            <w:r>
              <w:rPr>
                <w:rFonts w:hint="eastAsia" w:ascii="宋体" w:hAnsi="宋体" w:eastAsia="宋体" w:cs="宋体"/>
                <w:color w:val="auto"/>
                <w:highlight w:val="none"/>
              </w:rPr>
              <w:t>年1月1日以来</w:t>
            </w:r>
            <w:r>
              <w:rPr>
                <w:rFonts w:hint="eastAsia" w:hAnsi="宋体" w:cs="宋体"/>
                <w:color w:val="auto"/>
                <w:highlight w:val="none"/>
                <w:lang w:eastAsia="zh-CN"/>
              </w:rPr>
              <w:t>企业</w:t>
            </w:r>
            <w:r>
              <w:rPr>
                <w:rFonts w:hint="eastAsia" w:ascii="宋体" w:hAnsi="宋体" w:eastAsia="宋体" w:cs="宋体"/>
                <w:color w:val="auto"/>
                <w:highlight w:val="none"/>
              </w:rPr>
              <w:t>的业绩，须附合同协议书和中标通知书扫描件，资料不全不得分）最高得4分</w:t>
            </w:r>
            <w:r>
              <w:rPr>
                <w:rFonts w:hint="eastAsia" w:hAnsi="宋体" w:cs="宋体"/>
                <w:color w:val="auto"/>
                <w:highlight w:val="none"/>
                <w:lang w:eastAsia="zh-CN"/>
              </w:rPr>
              <w:t>，不提供不得分</w:t>
            </w:r>
            <w:r>
              <w:rPr>
                <w:rFonts w:hint="eastAsia" w:ascii="宋体" w:hAnsi="宋体" w:eastAsia="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Merge w:val="continue"/>
            <w:vAlign w:val="center"/>
          </w:tcPr>
          <w:p>
            <w:pPr>
              <w:pStyle w:val="13"/>
              <w:spacing w:line="400" w:lineRule="exact"/>
              <w:jc w:val="center"/>
              <w:rPr>
                <w:rFonts w:hint="eastAsia" w:ascii="宋体" w:hAnsi="宋体" w:eastAsia="宋体" w:cs="宋体"/>
                <w:color w:val="auto"/>
                <w:highlight w:val="none"/>
              </w:rPr>
            </w:pPr>
          </w:p>
        </w:tc>
        <w:tc>
          <w:tcPr>
            <w:tcW w:w="1710" w:type="dxa"/>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投标人承诺书（</w:t>
            </w:r>
            <w:r>
              <w:rPr>
                <w:rFonts w:hint="eastAsia" w:hAnsi="宋体" w:cs="宋体"/>
                <w:color w:val="auto"/>
                <w:highlight w:val="none"/>
                <w:lang w:val="en-US" w:eastAsia="zh-CN"/>
              </w:rPr>
              <w:t>6</w:t>
            </w:r>
            <w:r>
              <w:rPr>
                <w:rFonts w:hint="eastAsia" w:ascii="宋体" w:hAnsi="宋体" w:eastAsia="宋体" w:cs="宋体"/>
                <w:color w:val="auto"/>
                <w:highlight w:val="none"/>
              </w:rPr>
              <w:t>分）</w:t>
            </w:r>
          </w:p>
        </w:tc>
        <w:tc>
          <w:tcPr>
            <w:tcW w:w="4028" w:type="dxa"/>
            <w:vAlign w:val="center"/>
          </w:tcPr>
          <w:p>
            <w:pPr>
              <w:pStyle w:val="13"/>
              <w:spacing w:line="400" w:lineRule="exact"/>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投标人有对人员、设备、安全生产目标、农民工工资、质量、工期等方面做出承诺，得</w:t>
            </w:r>
            <w:r>
              <w:rPr>
                <w:rFonts w:hint="eastAsia" w:hAnsi="宋体" w:cs="宋体"/>
                <w:color w:val="auto"/>
                <w:highlight w:val="none"/>
                <w:lang w:val="en-US" w:eastAsia="zh-CN"/>
              </w:rPr>
              <w:t>6</w:t>
            </w:r>
            <w:r>
              <w:rPr>
                <w:rFonts w:hint="eastAsia" w:ascii="宋体" w:hAnsi="宋体" w:eastAsia="宋体" w:cs="宋体"/>
                <w:color w:val="auto"/>
                <w:highlight w:val="none"/>
              </w:rPr>
              <w:t>分。缺项或不提供不得分</w:t>
            </w:r>
            <w:r>
              <w:rPr>
                <w:rFonts w:hint="eastAsia" w:hAnsi="宋体" w:cs="宋体"/>
                <w:color w:val="auto"/>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highlight w:val="none"/>
              </w:rPr>
            </w:pPr>
          </w:p>
        </w:tc>
        <w:tc>
          <w:tcPr>
            <w:tcW w:w="1935" w:type="dxa"/>
            <w:vMerge w:val="continue"/>
            <w:vAlign w:val="center"/>
          </w:tcPr>
          <w:p>
            <w:pPr>
              <w:pStyle w:val="13"/>
              <w:spacing w:line="400" w:lineRule="exact"/>
              <w:jc w:val="center"/>
              <w:rPr>
                <w:rFonts w:hint="eastAsia" w:ascii="宋体" w:hAnsi="宋体" w:eastAsia="宋体" w:cs="宋体"/>
                <w:color w:val="auto"/>
                <w:highlight w:val="none"/>
              </w:rPr>
            </w:pPr>
          </w:p>
        </w:tc>
        <w:tc>
          <w:tcPr>
            <w:tcW w:w="1710" w:type="dxa"/>
            <w:vAlign w:val="center"/>
          </w:tcPr>
          <w:p>
            <w:pPr>
              <w:pStyle w:val="13"/>
              <w:spacing w:line="240" w:lineRule="atLeast"/>
              <w:jc w:val="center"/>
              <w:rPr>
                <w:rFonts w:hint="eastAsia" w:ascii="宋体" w:hAnsi="宋体" w:eastAsia="宋体" w:cs="宋体"/>
                <w:color w:val="auto"/>
                <w:highlight w:val="none"/>
                <w:lang w:eastAsia="zh-CN"/>
              </w:rPr>
            </w:pPr>
            <w:r>
              <w:rPr>
                <w:rFonts w:hint="eastAsia" w:ascii="宋体" w:hAnsi="宋体" w:eastAsia="宋体" w:cs="宋体"/>
                <w:color w:val="auto"/>
                <w:kern w:val="0"/>
                <w:sz w:val="24"/>
                <w:szCs w:val="24"/>
                <w:highlight w:val="none"/>
                <w:lang w:val="en-US" w:eastAsia="zh-CN" w:bidi="ar-SA"/>
              </w:rPr>
              <w:t>项目管理机构（10分）</w:t>
            </w:r>
          </w:p>
        </w:tc>
        <w:tc>
          <w:tcPr>
            <w:tcW w:w="4028" w:type="dxa"/>
            <w:vAlign w:val="center"/>
          </w:tcPr>
          <w:p>
            <w:pPr>
              <w:spacing w:before="175" w:line="406" w:lineRule="auto"/>
              <w:ind w:left="114" w:leftChars="0" w:right="107" w:rightChars="0" w:firstLine="14" w:firstLineChars="0"/>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SA"/>
              </w:rPr>
              <w:t xml:space="preserve">项目管理机构人员配备齐全，除项目经理外，至少还应包含施工员、质量员、专职安全员、材料员、资料员、造价员或造价师或预算员、劳务员、机械员，齐全者得10分，缺一项人员扣2分，扣完为止。（需提供人员岗位证及近三个月的社保证明扫描件）。 </w:t>
            </w:r>
            <w:r>
              <w:rPr>
                <w:rFonts w:hint="eastAsia" w:ascii="宋体" w:hAnsi="宋体" w:cs="宋体"/>
                <w:b/>
                <w:color w:val="auto"/>
                <w:spacing w:val="6"/>
                <w:sz w:val="24"/>
                <w:highlight w:val="none"/>
              </w:rPr>
              <w:t xml:space="preserve">   </w:t>
            </w:r>
            <w:r>
              <w:rPr>
                <w:rFonts w:hint="eastAsia" w:ascii="宋体" w:hAnsi="宋体" w:cs="宋体"/>
                <w:color w:val="auto"/>
                <w:spacing w:val="6"/>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1" w:hRule="atLeast"/>
          <w:jc w:val="center"/>
        </w:trPr>
        <w:tc>
          <w:tcPr>
            <w:tcW w:w="9205" w:type="dxa"/>
            <w:gridSpan w:val="5"/>
            <w:vAlign w:val="center"/>
          </w:tcPr>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投标人综合得分=</w:t>
            </w:r>
            <w:r>
              <w:rPr>
                <w:rFonts w:hint="eastAsia" w:hAnsi="宋体" w:cs="宋体"/>
                <w:color w:val="auto"/>
                <w:highlight w:val="none"/>
                <w:lang w:val="en-US" w:eastAsia="zh-CN"/>
              </w:rPr>
              <w:t>技术部分</w:t>
            </w:r>
            <w:r>
              <w:rPr>
                <w:rFonts w:hint="eastAsia" w:ascii="宋体" w:hAnsi="宋体" w:eastAsia="宋体" w:cs="宋体"/>
                <w:color w:val="auto"/>
                <w:highlight w:val="none"/>
              </w:rPr>
              <w:t>得分＋商务部分得分+投标报价得分。</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投标人的最终得分：</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　　1．在评标委员会完成对技术部分、商务部分、投标报价得分的汇总后取算术平均值，作为该投标人的最终得分。</w:t>
            </w:r>
          </w:p>
          <w:p>
            <w:pPr>
              <w:pStyle w:val="13"/>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2．本办法计算过程中分值按四舍五入保留两位小数，结果按四舍五入保留两位小数。</w:t>
            </w:r>
          </w:p>
        </w:tc>
      </w:tr>
    </w:tbl>
    <w:p>
      <w:pPr>
        <w:spacing w:line="560" w:lineRule="exact"/>
        <w:rPr>
          <w:rFonts w:ascii="宋体" w:hAnsi="宋体" w:cs="宋体"/>
          <w:color w:val="auto"/>
          <w:kern w:val="0"/>
          <w:sz w:val="24"/>
          <w:highlight w:val="none"/>
        </w:rPr>
      </w:pP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 评标方法</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 评审标准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 初步评审标准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2.1.1 形式评审标准：见评标办法前附表。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2.1.2 资格评审标准：见评标办法前附表。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2.1.3 响应性评审标准：见评标办法前附表。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 分值构成与评分标准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2.2.1 分值构成</w:t>
      </w:r>
    </w:p>
    <w:p>
      <w:pPr>
        <w:autoSpaceDE w:val="0"/>
        <w:autoSpaceDN w:val="0"/>
        <w:adjustRightInd w:val="0"/>
        <w:spacing w:line="44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(l）技术标：见评标办法前附表；</w:t>
      </w:r>
    </w:p>
    <w:p>
      <w:pPr>
        <w:autoSpaceDE w:val="0"/>
        <w:autoSpaceDN w:val="0"/>
        <w:adjustRightInd w:val="0"/>
        <w:spacing w:line="44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(2）商务部分：见评标办法前附表；</w:t>
      </w:r>
    </w:p>
    <w:p>
      <w:pPr>
        <w:autoSpaceDE w:val="0"/>
        <w:autoSpaceDN w:val="0"/>
        <w:adjustRightInd w:val="0"/>
        <w:spacing w:line="44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(3）投标报价：见评标办法前附表；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2.2.2 评标基准价计算</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评标基准价计算方法：见评标办法前附表。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2.2.3 投标报价的偏差率计算</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投标报价的偏差率计算公式：见评标办法前附表。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2.2.4 评分标准</w:t>
      </w:r>
    </w:p>
    <w:p>
      <w:pPr>
        <w:autoSpaceDE w:val="0"/>
        <w:autoSpaceDN w:val="0"/>
        <w:adjustRightInd w:val="0"/>
        <w:spacing w:line="44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(l）技术标：见评标办法前附表；</w:t>
      </w:r>
    </w:p>
    <w:p>
      <w:pPr>
        <w:autoSpaceDE w:val="0"/>
        <w:autoSpaceDN w:val="0"/>
        <w:adjustRightInd w:val="0"/>
        <w:spacing w:line="44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(2）商务部分：见评标办法前附表；</w:t>
      </w:r>
    </w:p>
    <w:p>
      <w:pPr>
        <w:autoSpaceDE w:val="0"/>
        <w:autoSpaceDN w:val="0"/>
        <w:adjustRightInd w:val="0"/>
        <w:spacing w:line="44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(3）投标报价：见评标办法前附表；</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 评标程序</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3.1 初步评审</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3.1.1评标委员会依据本章第2.1 款规定的标准对投标文件进行初步评审。</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3.1.2 投标人有以下情形之一的，其投标作废标处理：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（1）第二章“总则”第1.4.3 项规定的任何一种情形的；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（2）串通投标或弄虚作假或有其他违法行为的；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（3）不按评标委员会要求澄清、说明或补正的。</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3.1.3 投标报价有算术错误的，评标委员会按以下原则对投标报价进行修正，修正的价格经投标人书面确认后具有约束力。投标人不接受修正价格的，其投标作废标处理。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（1）投标文件中的大写金额与小写金额不一致的，以大写金额为准；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（2）总价金额与依据单价计算出的结果不一致的，以单价金额为准修正总价，但单价金额小数点有明显错误的除外。</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3.2 详细评审</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3.2.1 评标委员会按本章第2.2 款规定的量化因素和分值进行打分，并计算出综合评估得分。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(1）按本章第2.2.4(1）目规定的评审因素和分值对技术标算出得分A ；</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(2）按本章第2.2.4(2）目规定的评审因素和分值对商务部分计算出得分B；</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(3）按本章第2.2.4(3）目规定的评审因素和分值对投标报价计算出得分C；</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3.2.2 评分分值计算保留小数点后两位，小数点后第三位“四舍五入”。</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3.2.3 投标人得分=A+B+C。</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3.3 投标文件的澄清和补正</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3.3.1 在评标过程中，评标委员会可以书面形式要求投标人对所提交投标</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文件中不明确的内容进行书面澄清或说明，或者对细微偏差进行补正。评标委员会不接受投标人主动提出的澄清、说明或补正。</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3.3.2 澄清、说明和补正不得改变投标文件的实质性内容（算术性错误修正的除外）。投标人的书面澄清、说明和补正属于投标文件的组成部分。</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3.3.3 评标委员会对投标人提交的澄清、说明或补正有疑问的，可以要求投标人进一步澄清、说明或补正，直至满足评标委员会的要求。</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3.4 评标结果</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3.4.1 除第二章“投标人须知”前附表授权直接确定中标人外，评标委员会按照得分由高到低的顺序推荐中标候选人。</w:t>
      </w:r>
    </w:p>
    <w:p>
      <w:pPr>
        <w:autoSpaceDE w:val="0"/>
        <w:autoSpaceDN w:val="0"/>
        <w:adjustRightInd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3.4.2 评标委员会完成评标后，应当向招标人提交书面评标报告。</w:t>
      </w:r>
    </w:p>
    <w:p>
      <w:pPr>
        <w:rPr>
          <w:rFonts w:ascii="宋体" w:hAnsi="宋体" w:cs="宋体"/>
          <w:color w:val="auto"/>
          <w:kern w:val="0"/>
          <w:sz w:val="32"/>
          <w:szCs w:val="32"/>
          <w:highlight w:val="none"/>
        </w:rPr>
      </w:pPr>
      <w:r>
        <w:rPr>
          <w:rFonts w:hint="eastAsia" w:ascii="宋体" w:hAnsi="宋体" w:cs="宋体"/>
          <w:color w:val="auto"/>
          <w:kern w:val="0"/>
          <w:sz w:val="32"/>
          <w:szCs w:val="32"/>
          <w:highlight w:val="none"/>
        </w:rPr>
        <w:br w:type="page"/>
      </w:r>
    </w:p>
    <w:p>
      <w:pPr>
        <w:pStyle w:val="3"/>
        <w:jc w:val="center"/>
        <w:rPr>
          <w:rFonts w:ascii="宋体" w:hAnsi="宋体" w:cs="宋体"/>
          <w:color w:val="auto"/>
          <w:sz w:val="36"/>
          <w:szCs w:val="36"/>
          <w:highlight w:val="none"/>
        </w:rPr>
      </w:pPr>
      <w:bookmarkStart w:id="45" w:name="_Toc28658"/>
      <w:r>
        <w:rPr>
          <w:rFonts w:hint="eastAsia" w:ascii="宋体" w:hAnsi="宋体" w:cs="宋体"/>
          <w:color w:val="auto"/>
          <w:sz w:val="36"/>
          <w:szCs w:val="36"/>
          <w:highlight w:val="none"/>
        </w:rPr>
        <w:t>第四章 周口市政府采购合同（工程类）标准文本</w:t>
      </w:r>
      <w:bookmarkEnd w:id="45"/>
    </w:p>
    <w:p>
      <w:pPr>
        <w:ind w:firstLine="880" w:firstLineChars="200"/>
        <w:jc w:val="center"/>
        <w:rPr>
          <w:rFonts w:ascii="宋体" w:hAnsi="宋体" w:cs="宋体"/>
          <w:color w:val="auto"/>
          <w:sz w:val="44"/>
          <w:szCs w:val="44"/>
          <w:highlight w:val="none"/>
        </w:rPr>
      </w:pPr>
    </w:p>
    <w:p>
      <w:pPr>
        <w:pStyle w:val="144"/>
        <w:spacing w:beforeLines="0" w:afterLines="0"/>
        <w:ind w:left="0" w:firstLine="640" w:firstLineChars="200"/>
        <w:rPr>
          <w:rFonts w:ascii="宋体" w:hAnsi="宋体" w:cs="宋体"/>
          <w:color w:val="auto"/>
          <w:sz w:val="32"/>
          <w:szCs w:val="32"/>
          <w:highlight w:val="none"/>
        </w:rPr>
      </w:pPr>
    </w:p>
    <w:p>
      <w:pPr>
        <w:pStyle w:val="144"/>
        <w:spacing w:beforeLines="0" w:afterLines="0"/>
        <w:ind w:left="0" w:firstLine="640" w:firstLineChars="200"/>
        <w:rPr>
          <w:rFonts w:ascii="宋体" w:hAnsi="宋体" w:cs="宋体"/>
          <w:color w:val="auto"/>
          <w:sz w:val="32"/>
          <w:szCs w:val="32"/>
          <w:highlight w:val="none"/>
        </w:rPr>
      </w:pPr>
    </w:p>
    <w:p>
      <w:pPr>
        <w:pStyle w:val="144"/>
        <w:spacing w:beforeLines="0" w:afterLines="0"/>
        <w:ind w:left="0" w:firstLine="640" w:firstLineChars="200"/>
        <w:rPr>
          <w:rFonts w:ascii="宋体" w:hAnsi="宋体" w:cs="宋体"/>
          <w:color w:val="auto"/>
          <w:sz w:val="32"/>
          <w:szCs w:val="32"/>
          <w:highlight w:val="none"/>
        </w:rPr>
      </w:pPr>
    </w:p>
    <w:p>
      <w:pPr>
        <w:pStyle w:val="144"/>
        <w:spacing w:beforeLines="0" w:afterLines="0"/>
        <w:ind w:left="0" w:firstLine="600" w:firstLineChars="200"/>
        <w:rPr>
          <w:rFonts w:ascii="宋体" w:hAnsi="宋体" w:cs="宋体"/>
          <w:color w:val="auto"/>
          <w:sz w:val="30"/>
          <w:szCs w:val="30"/>
          <w:highlight w:val="none"/>
        </w:rPr>
      </w:pPr>
    </w:p>
    <w:p>
      <w:pPr>
        <w:pStyle w:val="144"/>
        <w:spacing w:beforeLines="0" w:afterLines="0"/>
        <w:ind w:left="0" w:firstLine="600" w:firstLineChars="200"/>
        <w:rPr>
          <w:rFonts w:ascii="宋体" w:hAnsi="宋体" w:cs="宋体"/>
          <w:color w:val="auto"/>
          <w:sz w:val="30"/>
          <w:szCs w:val="30"/>
          <w:highlight w:val="none"/>
        </w:rPr>
      </w:pPr>
    </w:p>
    <w:p>
      <w:pPr>
        <w:pStyle w:val="144"/>
        <w:spacing w:beforeLines="0" w:afterLines="0"/>
        <w:ind w:left="0" w:firstLine="600" w:firstLineChars="200"/>
        <w:rPr>
          <w:rFonts w:ascii="宋体" w:hAnsi="宋体" w:cs="宋体"/>
          <w:color w:val="auto"/>
          <w:sz w:val="30"/>
          <w:szCs w:val="30"/>
          <w:highlight w:val="none"/>
        </w:rPr>
      </w:pPr>
    </w:p>
    <w:p>
      <w:pPr>
        <w:pStyle w:val="144"/>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pPr>
        <w:pStyle w:val="144"/>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pPr>
        <w:pStyle w:val="144"/>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pPr>
        <w:pStyle w:val="144"/>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pPr>
        <w:pStyle w:val="144"/>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pPr>
        <w:pStyle w:val="144"/>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pPr>
        <w:pStyle w:val="144"/>
        <w:spacing w:beforeLines="0" w:afterLines="0"/>
        <w:ind w:left="0" w:firstLine="600" w:firstLineChars="200"/>
        <w:rPr>
          <w:rFonts w:ascii="宋体" w:hAnsi="宋体" w:cs="宋体"/>
          <w:color w:val="auto"/>
          <w:sz w:val="30"/>
          <w:szCs w:val="30"/>
          <w:highlight w:val="none"/>
        </w:rPr>
      </w:pPr>
    </w:p>
    <w:p>
      <w:pPr>
        <w:pStyle w:val="144"/>
        <w:spacing w:beforeLines="0" w:afterLines="0"/>
        <w:ind w:left="0" w:firstLine="600" w:firstLineChars="200"/>
        <w:rPr>
          <w:rFonts w:ascii="宋体" w:hAnsi="宋体" w:cs="宋体"/>
          <w:color w:val="auto"/>
          <w:sz w:val="30"/>
          <w:szCs w:val="30"/>
          <w:highlight w:val="none"/>
        </w:rPr>
      </w:pPr>
    </w:p>
    <w:p>
      <w:pPr>
        <w:pStyle w:val="144"/>
        <w:spacing w:beforeLines="0" w:afterLines="0"/>
        <w:ind w:left="0" w:firstLine="600" w:firstLineChars="200"/>
        <w:rPr>
          <w:rFonts w:ascii="宋体" w:hAnsi="宋体" w:cs="宋体"/>
          <w:color w:val="auto"/>
          <w:sz w:val="30"/>
          <w:szCs w:val="30"/>
          <w:highlight w:val="none"/>
        </w:rPr>
      </w:pPr>
    </w:p>
    <w:p>
      <w:pPr>
        <w:pStyle w:val="144"/>
        <w:spacing w:beforeLines="0" w:afterLines="0"/>
        <w:ind w:left="0" w:firstLine="600" w:firstLineChars="200"/>
        <w:rPr>
          <w:rFonts w:ascii="宋体" w:hAnsi="宋体" w:cs="宋体"/>
          <w:color w:val="auto"/>
          <w:sz w:val="30"/>
          <w:szCs w:val="30"/>
          <w:highlight w:val="none"/>
        </w:rPr>
      </w:pPr>
    </w:p>
    <w:p>
      <w:pPr>
        <w:pStyle w:val="144"/>
        <w:spacing w:beforeLines="0" w:afterLines="0"/>
        <w:ind w:left="0" w:firstLine="600" w:firstLineChars="200"/>
        <w:rPr>
          <w:rFonts w:ascii="宋体" w:hAnsi="宋体" w:cs="宋体"/>
          <w:color w:val="auto"/>
          <w:sz w:val="30"/>
          <w:szCs w:val="30"/>
          <w:highlight w:val="none"/>
        </w:rPr>
      </w:pPr>
    </w:p>
    <w:p>
      <w:pPr>
        <w:pStyle w:val="144"/>
        <w:spacing w:beforeLines="0" w:afterLines="0"/>
        <w:ind w:left="0"/>
        <w:rPr>
          <w:rFonts w:ascii="宋体" w:hAnsi="宋体" w:cs="宋体"/>
          <w:color w:val="auto"/>
          <w:sz w:val="30"/>
          <w:szCs w:val="30"/>
          <w:highlight w:val="none"/>
        </w:rPr>
      </w:pPr>
    </w:p>
    <w:p>
      <w:pPr>
        <w:pStyle w:val="144"/>
        <w:spacing w:beforeLines="0" w:afterLines="0"/>
        <w:ind w:left="0"/>
        <w:rPr>
          <w:rFonts w:ascii="宋体" w:hAnsi="宋体" w:cs="宋体"/>
          <w:color w:val="auto"/>
          <w:sz w:val="30"/>
          <w:szCs w:val="30"/>
          <w:highlight w:val="none"/>
        </w:rPr>
      </w:pPr>
    </w:p>
    <w:p>
      <w:pPr>
        <w:pStyle w:val="144"/>
        <w:spacing w:beforeLines="0" w:afterLines="0"/>
        <w:ind w:left="0"/>
        <w:rPr>
          <w:rFonts w:ascii="宋体" w:hAnsi="宋体" w:cs="宋体"/>
          <w:color w:val="auto"/>
          <w:sz w:val="30"/>
          <w:szCs w:val="30"/>
          <w:highlight w:val="none"/>
        </w:rPr>
      </w:pPr>
    </w:p>
    <w:p>
      <w:pPr>
        <w:pStyle w:val="144"/>
        <w:spacing w:beforeLines="0" w:afterLines="0"/>
        <w:ind w:left="0"/>
        <w:rPr>
          <w:rFonts w:ascii="宋体" w:hAnsi="宋体" w:cs="宋体"/>
          <w:color w:val="auto"/>
          <w:sz w:val="30"/>
          <w:szCs w:val="30"/>
          <w:highlight w:val="none"/>
        </w:rPr>
      </w:pPr>
    </w:p>
    <w:p>
      <w:pPr>
        <w:pStyle w:val="144"/>
        <w:spacing w:beforeLines="0" w:afterLines="0"/>
        <w:ind w:left="0"/>
        <w:rPr>
          <w:rFonts w:ascii="宋体" w:hAnsi="宋体" w:cs="宋体"/>
          <w:color w:val="auto"/>
          <w:sz w:val="30"/>
          <w:szCs w:val="30"/>
          <w:highlight w:val="none"/>
        </w:rPr>
      </w:pPr>
    </w:p>
    <w:p>
      <w:pPr>
        <w:keepNext/>
        <w:keepLines/>
        <w:spacing w:line="413" w:lineRule="auto"/>
        <w:jc w:val="center"/>
        <w:rPr>
          <w:rFonts w:ascii="宋体" w:hAnsi="宋体" w:cs="宋体"/>
          <w:color w:val="auto"/>
          <w:highlight w:val="none"/>
        </w:rPr>
      </w:pPr>
      <w:bookmarkStart w:id="46" w:name="_Toc1399"/>
      <w:r>
        <w:rPr>
          <w:rFonts w:hint="eastAsia" w:ascii="宋体" w:hAnsi="宋体" w:cs="宋体"/>
          <w:color w:val="auto"/>
          <w:highlight w:val="none"/>
        </w:rPr>
        <w:t>合同签订指引</w:t>
      </w:r>
      <w:bookmarkEnd w:id="46"/>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pPr>
        <w:pStyle w:val="144"/>
        <w:spacing w:beforeLines="0" w:afterLines="0" w:line="440" w:lineRule="exact"/>
        <w:ind w:left="0" w:firstLine="420" w:firstLineChars="200"/>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采购人、成交供应商在成交通知书发出之日起30日内，按照</w:t>
      </w:r>
      <w:r>
        <w:rPr>
          <w:rFonts w:hint="eastAsia" w:ascii="宋体" w:hAnsi="宋体" w:eastAsia="宋体" w:cs="宋体"/>
          <w:color w:val="auto"/>
          <w:szCs w:val="21"/>
          <w:highlight w:val="none"/>
          <w:lang w:eastAsia="zh-CN"/>
        </w:rPr>
        <w:t>招标文件</w:t>
      </w:r>
      <w:r>
        <w:rPr>
          <w:rFonts w:hint="eastAsia" w:ascii="宋体" w:hAnsi="宋体" w:eastAsia="宋体" w:cs="宋体"/>
          <w:color w:val="auto"/>
          <w:szCs w:val="21"/>
          <w:highlight w:val="none"/>
        </w:rPr>
        <w:t>确定的合同文本签订政府采购合同，此项须做出书面承诺，否则视为不响应</w:t>
      </w:r>
      <w:r>
        <w:rPr>
          <w:rFonts w:hint="eastAsia" w:ascii="宋体" w:hAnsi="宋体" w:eastAsia="宋体" w:cs="宋体"/>
          <w:color w:val="auto"/>
          <w:szCs w:val="21"/>
          <w:highlight w:val="none"/>
          <w:lang w:eastAsia="zh-CN"/>
        </w:rPr>
        <w:t>招标文件。</w:t>
      </w:r>
    </w:p>
    <w:p>
      <w:pPr>
        <w:pStyle w:val="144"/>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eastAsia="zh-CN"/>
        </w:rPr>
        <w:t>中标人需在投标文件中承诺合同未约定或者未经采购人同意，不得向他人转让中标项目，也不得将中标项目肢解后分别向他人转让。</w:t>
      </w:r>
      <w:r>
        <w:rPr>
          <w:rFonts w:hint="eastAsia" w:ascii="宋体" w:hAnsi="宋体" w:eastAsia="宋体" w:cs="宋体"/>
          <w:color w:val="auto"/>
          <w:szCs w:val="21"/>
          <w:highlight w:val="none"/>
        </w:rPr>
        <w:t>否则视为不响应</w:t>
      </w:r>
      <w:r>
        <w:rPr>
          <w:rFonts w:hint="eastAsia" w:ascii="宋体" w:hAnsi="宋体" w:eastAsia="宋体" w:cs="宋体"/>
          <w:color w:val="auto"/>
          <w:szCs w:val="21"/>
          <w:highlight w:val="none"/>
          <w:lang w:eastAsia="zh-CN"/>
        </w:rPr>
        <w:t>招标文件。</w:t>
      </w:r>
    </w:p>
    <w:p>
      <w:pPr>
        <w:pStyle w:val="144"/>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三、本合同签订后二个工作日内有采购人在“周口市政府采购网”上进行合同公示。</w:t>
      </w:r>
    </w:p>
    <w:p>
      <w:pPr>
        <w:pStyle w:val="144"/>
        <w:spacing w:beforeLines="0" w:afterLines="0" w:line="440" w:lineRule="exact"/>
        <w:ind w:left="0" w:firstLine="420" w:firstLineChars="200"/>
        <w:rPr>
          <w:rFonts w:hint="eastAsia" w:ascii="宋体" w:hAnsi="宋体" w:eastAsia="宋体" w:cs="宋体"/>
          <w:color w:val="auto"/>
          <w:szCs w:val="21"/>
          <w:highlight w:val="none"/>
        </w:rPr>
      </w:pPr>
      <w:bookmarkStart w:id="47" w:name="_Toc30000"/>
      <w:r>
        <w:rPr>
          <w:rFonts w:hint="eastAsia" w:ascii="宋体" w:hAnsi="宋体" w:eastAsia="宋体" w:cs="宋体"/>
          <w:color w:val="auto"/>
          <w:szCs w:val="21"/>
          <w:highlight w:val="none"/>
        </w:rPr>
        <w:t>供应商履约验收指引</w:t>
      </w:r>
      <w:bookmarkEnd w:id="47"/>
    </w:p>
    <w:p>
      <w:pPr>
        <w:pStyle w:val="144"/>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1、供应商不得擅自变更合同标的服务内容；</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pPr>
        <w:pStyle w:val="144"/>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pPr>
        <w:pStyle w:val="144"/>
        <w:spacing w:beforeLines="0" w:afterLines="0" w:line="440" w:lineRule="exact"/>
        <w:ind w:left="0" w:firstLine="420" w:firstLineChars="200"/>
        <w:rPr>
          <w:rFonts w:ascii="宋体" w:hAnsi="宋体" w:cs="宋体"/>
          <w:color w:val="auto"/>
          <w:szCs w:val="21"/>
          <w:highlight w:val="none"/>
        </w:rPr>
      </w:pPr>
    </w:p>
    <w:p>
      <w:pPr>
        <w:pStyle w:val="144"/>
        <w:spacing w:beforeLines="0" w:afterLines="0" w:line="60" w:lineRule="auto"/>
        <w:ind w:left="0" w:firstLine="420" w:firstLineChars="200"/>
        <w:rPr>
          <w:rFonts w:ascii="宋体" w:hAnsi="宋体" w:cs="宋体"/>
          <w:color w:val="auto"/>
          <w:szCs w:val="21"/>
          <w:highlight w:val="none"/>
        </w:rPr>
      </w:pPr>
    </w:p>
    <w:p>
      <w:pPr>
        <w:rPr>
          <w:rFonts w:ascii="宋体" w:hAnsi="宋体" w:cs="宋体"/>
          <w:color w:val="auto"/>
          <w:highlight w:val="none"/>
        </w:rPr>
      </w:pPr>
      <w:bookmarkStart w:id="48" w:name="_Toc9625"/>
      <w:bookmarkStart w:id="49" w:name="_Toc20858"/>
      <w:r>
        <w:rPr>
          <w:rFonts w:hint="eastAsia" w:ascii="宋体" w:hAnsi="宋体" w:cs="宋体"/>
          <w:color w:val="auto"/>
          <w:highlight w:val="none"/>
        </w:rPr>
        <w:br w:type="page"/>
      </w:r>
    </w:p>
    <w:p>
      <w:pPr>
        <w:keepNext/>
        <w:keepLines/>
        <w:spacing w:line="413" w:lineRule="auto"/>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合同内容</w:t>
      </w:r>
      <w:bookmarkEnd w:id="48"/>
      <w:bookmarkEnd w:id="49"/>
    </w:p>
    <w:p>
      <w:pPr>
        <w:ind w:firstLine="420" w:firstLineChars="200"/>
        <w:rPr>
          <w:rFonts w:ascii="宋体" w:hAnsi="宋体" w:cs="宋体"/>
          <w:color w:val="auto"/>
          <w:highlight w:val="none"/>
        </w:rPr>
      </w:pPr>
    </w:p>
    <w:p>
      <w:pPr>
        <w:spacing w:line="460" w:lineRule="exact"/>
        <w:jc w:val="center"/>
        <w:rPr>
          <w:rFonts w:ascii="宋体" w:hAnsi="宋体" w:cs="宋体"/>
          <w:color w:val="auto"/>
          <w:sz w:val="32"/>
          <w:szCs w:val="32"/>
          <w:highlight w:val="none"/>
        </w:rPr>
      </w:pPr>
      <w:bookmarkStart w:id="50" w:name="_Toc427566452"/>
      <w:bookmarkStart w:id="51" w:name="_Toc351203494"/>
      <w:bookmarkStart w:id="52" w:name="_Toc428024701"/>
      <w:r>
        <w:rPr>
          <w:rFonts w:hint="eastAsia" w:ascii="宋体" w:hAnsi="宋体" w:cs="宋体"/>
          <w:color w:val="auto"/>
          <w:sz w:val="32"/>
          <w:szCs w:val="32"/>
          <w:highlight w:val="none"/>
        </w:rPr>
        <w:t>第一部分协议书</w:t>
      </w:r>
    </w:p>
    <w:p>
      <w:pPr>
        <w:spacing w:line="460" w:lineRule="exact"/>
        <w:ind w:firstLine="803" w:firstLineChars="200"/>
        <w:rPr>
          <w:rFonts w:ascii="宋体" w:hAnsi="宋体" w:cs="宋体"/>
          <w:b/>
          <w:color w:val="auto"/>
          <w:sz w:val="40"/>
          <w:szCs w:val="32"/>
          <w:highlight w:val="none"/>
        </w:rPr>
      </w:pP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发包人（全称）：</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承包人（全称）：</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22" w:firstLineChars="200"/>
        <w:rPr>
          <w:rFonts w:ascii="宋体" w:hAnsi="宋体" w:cs="宋体"/>
          <w:b/>
          <w:color w:val="auto"/>
          <w:highlight w:val="none"/>
        </w:rPr>
      </w:pPr>
      <w:r>
        <w:rPr>
          <w:rFonts w:hint="eastAsia" w:ascii="宋体" w:hAnsi="宋体" w:cs="宋体"/>
          <w:b/>
          <w:color w:val="auto"/>
          <w:highlight w:val="none"/>
        </w:rPr>
        <w:t>一、工程概况</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工程名称：</w:t>
      </w:r>
    </w:p>
    <w:p>
      <w:pPr>
        <w:ind w:firstLine="420" w:firstLineChars="200"/>
        <w:rPr>
          <w:rFonts w:ascii="宋体" w:hAnsi="宋体" w:cs="宋体"/>
          <w:color w:val="auto"/>
          <w:highlight w:val="none"/>
        </w:rPr>
      </w:pPr>
      <w:r>
        <w:rPr>
          <w:rFonts w:hint="eastAsia" w:ascii="宋体" w:hAnsi="宋体" w:cs="宋体"/>
          <w:color w:val="auto"/>
          <w:highlight w:val="none"/>
        </w:rPr>
        <w:t>工程地点：</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工程内容：</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工程立项批准文号：</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资金来源：</w:t>
      </w:r>
    </w:p>
    <w:p>
      <w:pPr>
        <w:ind w:firstLine="422" w:firstLineChars="200"/>
        <w:rPr>
          <w:rFonts w:ascii="宋体" w:hAnsi="宋体" w:cs="宋体"/>
          <w:b/>
          <w:color w:val="auto"/>
          <w:highlight w:val="none"/>
        </w:rPr>
      </w:pPr>
      <w:r>
        <w:rPr>
          <w:rFonts w:hint="eastAsia" w:ascii="宋体" w:hAnsi="宋体" w:cs="宋体"/>
          <w:b/>
          <w:color w:val="auto"/>
          <w:highlight w:val="none"/>
        </w:rPr>
        <w:t>二、工程承包范围</w:t>
      </w:r>
    </w:p>
    <w:p>
      <w:pPr>
        <w:spacing w:line="460" w:lineRule="exact"/>
        <w:ind w:firstLine="420" w:firstLineChars="200"/>
        <w:rPr>
          <w:rFonts w:ascii="宋体" w:hAnsi="宋体" w:cs="宋体"/>
          <w:color w:val="auto"/>
          <w:highlight w:val="none"/>
          <w:u w:val="single"/>
        </w:rPr>
      </w:pPr>
      <w:r>
        <w:rPr>
          <w:rFonts w:hint="eastAsia" w:ascii="宋体" w:hAnsi="宋体" w:cs="宋体"/>
          <w:color w:val="auto"/>
          <w:highlight w:val="none"/>
        </w:rPr>
        <w:t>承包范围：</w:t>
      </w:r>
      <w:r>
        <w:rPr>
          <w:rFonts w:hint="eastAsia" w:ascii="宋体" w:hAnsi="宋体" w:cs="宋体"/>
          <w:color w:val="auto"/>
          <w:highlight w:val="none"/>
          <w:u w:val="single"/>
        </w:rPr>
        <w:t>工程量清单中包含的所有内容</w:t>
      </w:r>
    </w:p>
    <w:p>
      <w:pPr>
        <w:ind w:firstLine="422" w:firstLineChars="200"/>
        <w:rPr>
          <w:rFonts w:ascii="宋体" w:hAnsi="宋体" w:cs="宋体"/>
          <w:b/>
          <w:color w:val="auto"/>
          <w:highlight w:val="none"/>
        </w:rPr>
      </w:pPr>
      <w:r>
        <w:rPr>
          <w:rFonts w:hint="eastAsia" w:ascii="宋体" w:hAnsi="宋体" w:cs="宋体"/>
          <w:b/>
          <w:color w:val="auto"/>
          <w:highlight w:val="none"/>
        </w:rPr>
        <w:t>三、合同工期</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开工日期：年月日</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竣工日期：年月日</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合同工期总日历天数：</w:t>
      </w:r>
      <w:r>
        <w:rPr>
          <w:rFonts w:hint="eastAsia" w:ascii="宋体" w:hAnsi="宋体" w:cs="宋体"/>
          <w:color w:val="auto"/>
          <w:highlight w:val="none"/>
          <w:u w:val="single"/>
        </w:rPr>
        <w:t>日历</w:t>
      </w:r>
      <w:r>
        <w:rPr>
          <w:rFonts w:hint="eastAsia" w:ascii="宋体" w:hAnsi="宋体" w:cs="宋体"/>
          <w:color w:val="auto"/>
          <w:highlight w:val="none"/>
        </w:rPr>
        <w:t>天（有效工期）</w:t>
      </w:r>
    </w:p>
    <w:p>
      <w:pPr>
        <w:ind w:firstLine="422" w:firstLineChars="200"/>
        <w:rPr>
          <w:rFonts w:ascii="宋体" w:hAnsi="宋体" w:cs="宋体"/>
          <w:b/>
          <w:color w:val="auto"/>
          <w:highlight w:val="none"/>
        </w:rPr>
      </w:pPr>
      <w:r>
        <w:rPr>
          <w:rFonts w:hint="eastAsia" w:ascii="宋体" w:hAnsi="宋体" w:cs="宋体"/>
          <w:b/>
          <w:color w:val="auto"/>
          <w:highlight w:val="none"/>
        </w:rPr>
        <w:t>四、质量标准</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工程质量标准：</w:t>
      </w:r>
      <w:r>
        <w:rPr>
          <w:rFonts w:hint="eastAsia" w:ascii="宋体" w:hAnsi="宋体" w:cs="宋体"/>
          <w:color w:val="auto"/>
          <w:highlight w:val="none"/>
          <w:u w:val="single"/>
        </w:rPr>
        <w:t>合格</w:t>
      </w:r>
    </w:p>
    <w:p>
      <w:pPr>
        <w:ind w:firstLine="422" w:firstLineChars="200"/>
        <w:rPr>
          <w:rFonts w:ascii="宋体" w:hAnsi="宋体" w:cs="宋体"/>
          <w:b/>
          <w:color w:val="auto"/>
          <w:highlight w:val="none"/>
        </w:rPr>
      </w:pPr>
      <w:r>
        <w:rPr>
          <w:rFonts w:hint="eastAsia" w:ascii="宋体" w:hAnsi="宋体" w:cs="宋体"/>
          <w:b/>
          <w:color w:val="auto"/>
          <w:highlight w:val="none"/>
        </w:rPr>
        <w:t>五、合同价款</w:t>
      </w:r>
    </w:p>
    <w:p>
      <w:pPr>
        <w:spacing w:line="460" w:lineRule="exact"/>
        <w:ind w:firstLine="420" w:firstLineChars="200"/>
        <w:rPr>
          <w:rFonts w:ascii="宋体" w:hAnsi="宋体" w:cs="宋体"/>
          <w:color w:val="auto"/>
          <w:highlight w:val="none"/>
          <w:u w:val="single"/>
        </w:rPr>
      </w:pPr>
      <w:r>
        <w:rPr>
          <w:rFonts w:hint="eastAsia" w:ascii="宋体" w:hAnsi="宋体" w:cs="宋体"/>
          <w:color w:val="auto"/>
          <w:highlight w:val="none"/>
        </w:rPr>
        <w:t xml:space="preserve">金额（大写）：(人民币)  </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 xml:space="preserve"> ￥：元(人民币)  </w:t>
      </w:r>
    </w:p>
    <w:p>
      <w:pPr>
        <w:ind w:firstLine="422" w:firstLineChars="200"/>
        <w:rPr>
          <w:rFonts w:ascii="宋体" w:hAnsi="宋体" w:cs="宋体"/>
          <w:b/>
          <w:color w:val="auto"/>
          <w:highlight w:val="none"/>
        </w:rPr>
      </w:pPr>
      <w:r>
        <w:rPr>
          <w:rFonts w:hint="eastAsia" w:ascii="宋体" w:hAnsi="宋体" w:cs="宋体"/>
          <w:b/>
          <w:color w:val="auto"/>
          <w:highlight w:val="none"/>
        </w:rPr>
        <w:t>六、组成合同的文件</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组成本合同的文件包括：</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1.本合同协议书</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2.中标通知书</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3.投标书及其附件</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4.本合同专用条款</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5.本合同通用条款</w:t>
      </w:r>
    </w:p>
    <w:p>
      <w:pPr>
        <w:tabs>
          <w:tab w:val="left" w:pos="6345"/>
        </w:tabs>
        <w:spacing w:line="460" w:lineRule="exact"/>
        <w:ind w:firstLine="420" w:firstLineChars="200"/>
        <w:rPr>
          <w:rFonts w:ascii="宋体" w:hAnsi="宋体" w:cs="宋体"/>
          <w:color w:val="auto"/>
          <w:highlight w:val="none"/>
        </w:rPr>
      </w:pPr>
      <w:r>
        <w:rPr>
          <w:rFonts w:hint="eastAsia" w:ascii="宋体" w:hAnsi="宋体" w:cs="宋体"/>
          <w:color w:val="auto"/>
          <w:highlight w:val="none"/>
        </w:rPr>
        <w:t>6.标准、规范及有关技术文件</w:t>
      </w:r>
      <w:r>
        <w:rPr>
          <w:rFonts w:hint="eastAsia" w:ascii="宋体" w:hAnsi="宋体" w:cs="宋体"/>
          <w:color w:val="auto"/>
          <w:highlight w:val="none"/>
        </w:rPr>
        <w:tab/>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7.图纸（含图纸会审纪要、路灯效果图及技术参数）</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8.工程量清单</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9.工程报价单或预算书</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双方有关工程的洽商、变更等书面协议或文件视为本合同的组成部分。</w:t>
      </w:r>
    </w:p>
    <w:p>
      <w:pPr>
        <w:spacing w:line="460" w:lineRule="exact"/>
        <w:ind w:firstLine="422" w:firstLineChars="200"/>
        <w:rPr>
          <w:rFonts w:ascii="宋体" w:hAnsi="宋体" w:cs="宋体"/>
          <w:b/>
          <w:color w:val="auto"/>
          <w:highlight w:val="none"/>
        </w:rPr>
      </w:pPr>
      <w:r>
        <w:rPr>
          <w:rFonts w:hint="eastAsia" w:ascii="宋体" w:hAnsi="宋体" w:cs="宋体"/>
          <w:b/>
          <w:color w:val="auto"/>
          <w:highlight w:val="none"/>
        </w:rPr>
        <w:t>七、本协议书中有关词语含义与本合同第二部分《通用条款》中分别赋予它们的定义相同。</w:t>
      </w:r>
    </w:p>
    <w:p>
      <w:pPr>
        <w:spacing w:line="460" w:lineRule="exact"/>
        <w:ind w:firstLine="422" w:firstLineChars="200"/>
        <w:rPr>
          <w:rFonts w:ascii="宋体" w:hAnsi="宋体" w:cs="宋体"/>
          <w:b/>
          <w:color w:val="auto"/>
          <w:highlight w:val="none"/>
        </w:rPr>
      </w:pPr>
      <w:r>
        <w:rPr>
          <w:rFonts w:hint="eastAsia" w:ascii="宋体" w:hAnsi="宋体" w:cs="宋体"/>
          <w:b/>
          <w:color w:val="auto"/>
          <w:highlight w:val="none"/>
        </w:rPr>
        <w:t>八、承包人向发包人承诺按照合同约定进行施工、竣工并在质量保修期内承担工程质量保修责任。</w:t>
      </w:r>
    </w:p>
    <w:p>
      <w:pPr>
        <w:spacing w:line="460" w:lineRule="exact"/>
        <w:ind w:firstLine="422" w:firstLineChars="200"/>
        <w:rPr>
          <w:rFonts w:ascii="宋体" w:hAnsi="宋体" w:cs="宋体"/>
          <w:b/>
          <w:color w:val="auto"/>
          <w:highlight w:val="none"/>
        </w:rPr>
      </w:pPr>
      <w:r>
        <w:rPr>
          <w:rFonts w:hint="eastAsia" w:ascii="宋体" w:hAnsi="宋体" w:cs="宋体"/>
          <w:b/>
          <w:color w:val="auto"/>
          <w:highlight w:val="none"/>
        </w:rPr>
        <w:t>九、发包人向承包人承诺按照合同约定的期限和支付方式支付合同价款及其他应当支付的款项。</w:t>
      </w:r>
    </w:p>
    <w:p>
      <w:pPr>
        <w:spacing w:line="460" w:lineRule="exact"/>
        <w:ind w:firstLine="422" w:firstLineChars="200"/>
        <w:rPr>
          <w:rFonts w:ascii="宋体" w:hAnsi="宋体" w:cs="宋体"/>
          <w:b/>
          <w:color w:val="auto"/>
          <w:highlight w:val="none"/>
        </w:rPr>
      </w:pPr>
      <w:r>
        <w:rPr>
          <w:rFonts w:hint="eastAsia" w:ascii="宋体" w:hAnsi="宋体" w:cs="宋体"/>
          <w:b/>
          <w:color w:val="auto"/>
          <w:highlight w:val="none"/>
        </w:rPr>
        <w:t>十、合同生效</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合同订立时间：年月日</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合同订立地点：</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本合同双方约定：</w:t>
      </w:r>
      <w:r>
        <w:rPr>
          <w:rFonts w:hint="eastAsia" w:ascii="宋体" w:hAnsi="宋体" w:cs="宋体"/>
          <w:color w:val="auto"/>
          <w:highlight w:val="none"/>
          <w:u w:val="single"/>
        </w:rPr>
        <w:t>双方签字盖章后生效</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发包人：（公章）承包人：（公章）</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住所：住所：</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法定代表人：法定代表人：</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委托代理人：委托代理人：</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电话：电话：</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传真：传真：</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开户银行：开户银行：</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账号：账号：</w:t>
      </w:r>
    </w:p>
    <w:p>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邮政编码：邮政编码：</w:t>
      </w:r>
    </w:p>
    <w:p>
      <w:pPr>
        <w:keepNext/>
        <w:keepLines/>
        <w:ind w:firstLine="420" w:firstLineChars="200"/>
        <w:rPr>
          <w:rFonts w:ascii="宋体" w:hAnsi="宋体" w:cs="宋体"/>
          <w:color w:val="auto"/>
          <w:highlight w:val="none"/>
        </w:rPr>
      </w:pPr>
    </w:p>
    <w:p>
      <w:pPr>
        <w:rPr>
          <w:rFonts w:ascii="宋体" w:hAnsi="宋体" w:cs="宋体"/>
          <w:color w:val="auto"/>
          <w:highlight w:val="none"/>
        </w:rPr>
      </w:pPr>
      <w:bookmarkStart w:id="53" w:name="_Toc9299"/>
      <w:bookmarkStart w:id="54" w:name="_Toc11508"/>
      <w:r>
        <w:rPr>
          <w:rFonts w:hint="eastAsia" w:ascii="宋体" w:hAnsi="宋体" w:cs="宋体"/>
          <w:color w:val="auto"/>
          <w:highlight w:val="none"/>
        </w:rPr>
        <w:br w:type="page"/>
      </w:r>
    </w:p>
    <w:p>
      <w:pPr>
        <w:numPr>
          <w:ilvl w:val="0"/>
          <w:numId w:val="1"/>
        </w:numPr>
        <w:jc w:val="center"/>
        <w:rPr>
          <w:rFonts w:ascii="宋体" w:hAnsi="宋体" w:cs="宋体"/>
          <w:b/>
          <w:color w:val="auto"/>
          <w:sz w:val="32"/>
          <w:szCs w:val="32"/>
          <w:highlight w:val="none"/>
        </w:rPr>
      </w:pPr>
      <w:r>
        <w:rPr>
          <w:rFonts w:hint="eastAsia" w:ascii="宋体" w:hAnsi="宋体" w:cs="宋体"/>
          <w:b/>
          <w:color w:val="auto"/>
          <w:sz w:val="32"/>
          <w:szCs w:val="32"/>
          <w:highlight w:val="none"/>
        </w:rPr>
        <w:t>通用合同条款</w:t>
      </w:r>
      <w:bookmarkEnd w:id="50"/>
      <w:bookmarkEnd w:id="51"/>
      <w:bookmarkEnd w:id="52"/>
      <w:bookmarkEnd w:id="53"/>
      <w:bookmarkEnd w:id="54"/>
    </w:p>
    <w:p>
      <w:pPr>
        <w:pStyle w:val="45"/>
        <w:ind w:firstLine="0" w:firstLineChars="0"/>
        <w:rPr>
          <w:color w:val="auto"/>
          <w:highlight w:val="none"/>
        </w:rPr>
      </w:pPr>
    </w:p>
    <w:p>
      <w:pPr>
        <w:jc w:val="center"/>
        <w:rPr>
          <w:rFonts w:ascii="宋体" w:hAnsi="宋体" w:cs="宋体"/>
          <w:bCs/>
          <w:color w:val="auto"/>
          <w:sz w:val="32"/>
          <w:szCs w:val="32"/>
          <w:highlight w:val="none"/>
        </w:rPr>
      </w:pPr>
      <w:r>
        <w:rPr>
          <w:rFonts w:hint="eastAsia" w:ascii="宋体" w:hAnsi="宋体" w:cs="宋体"/>
          <w:bCs/>
          <w:color w:val="auto"/>
          <w:sz w:val="32"/>
          <w:szCs w:val="32"/>
          <w:highlight w:val="none"/>
        </w:rPr>
        <w:t>（根据国家相关示范文本）</w:t>
      </w:r>
    </w:p>
    <w:p>
      <w:pPr>
        <w:pStyle w:val="137"/>
        <w:spacing w:before="0" w:beforeAutospacing="0" w:after="0" w:afterAutospacing="0" w:line="360" w:lineRule="auto"/>
        <w:ind w:firstLine="120" w:firstLineChars="50"/>
        <w:jc w:val="both"/>
        <w:rPr>
          <w:rFonts w:hint="default" w:cs="宋体"/>
          <w:color w:val="auto"/>
          <w:highlight w:val="none"/>
        </w:rPr>
      </w:pPr>
    </w:p>
    <w:p>
      <w:pPr>
        <w:pStyle w:val="137"/>
        <w:spacing w:before="0" w:beforeAutospacing="0" w:after="0" w:afterAutospacing="0" w:line="360" w:lineRule="auto"/>
        <w:ind w:firstLine="480" w:firstLineChars="200"/>
        <w:jc w:val="both"/>
        <w:rPr>
          <w:rFonts w:hint="default" w:cs="宋体"/>
          <w:color w:val="auto"/>
          <w:highlight w:val="none"/>
        </w:rPr>
      </w:pPr>
      <w:r>
        <w:rPr>
          <w:rFonts w:cs="宋体"/>
          <w:color w:val="auto"/>
          <w:highlight w:val="none"/>
        </w:rPr>
        <w:t>参见建设工程施工合同</w:t>
      </w:r>
    </w:p>
    <w:p>
      <w:pPr>
        <w:pStyle w:val="137"/>
        <w:spacing w:before="0" w:beforeAutospacing="0" w:after="0" w:afterAutospacing="0" w:line="360" w:lineRule="auto"/>
        <w:ind w:firstLine="480" w:firstLineChars="200"/>
        <w:jc w:val="both"/>
        <w:rPr>
          <w:rFonts w:hint="default"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cs="宋体"/>
          <w:color w:val="auto"/>
          <w:highlight w:val="none"/>
        </w:rPr>
        <w:t>建设工程施工合同（示范文本）》（GF-2017-0201）</w:t>
      </w:r>
      <w:r>
        <w:rPr>
          <w:rFonts w:cs="宋体"/>
          <w:color w:val="auto"/>
          <w:highlight w:val="none"/>
        </w:rPr>
        <w:fldChar w:fldCharType="end"/>
      </w:r>
    </w:p>
    <w:p>
      <w:pPr>
        <w:pStyle w:val="137"/>
        <w:spacing w:before="0" w:beforeAutospacing="0" w:after="0" w:afterAutospacing="0" w:line="360" w:lineRule="auto"/>
        <w:ind w:firstLine="480" w:firstLineChars="200"/>
        <w:jc w:val="both"/>
        <w:rPr>
          <w:rFonts w:hint="default" w:cs="宋体"/>
          <w:color w:val="auto"/>
          <w:highlight w:val="none"/>
        </w:rPr>
      </w:pPr>
      <w:r>
        <w:rPr>
          <w:rFonts w:cs="宋体"/>
          <w:color w:val="auto"/>
          <w:highlight w:val="none"/>
        </w:rPr>
        <w:t>通用合同条款内容。</w:t>
      </w:r>
    </w:p>
    <w:p>
      <w:pPr>
        <w:pStyle w:val="137"/>
        <w:spacing w:before="0" w:beforeAutospacing="0" w:after="0" w:afterAutospacing="0" w:line="360" w:lineRule="auto"/>
        <w:ind w:firstLine="480" w:firstLineChars="200"/>
        <w:jc w:val="both"/>
        <w:rPr>
          <w:rFonts w:hint="default" w:cs="宋体"/>
          <w:color w:val="auto"/>
          <w:highlight w:val="none"/>
        </w:rPr>
      </w:pPr>
    </w:p>
    <w:p>
      <w:pPr>
        <w:pStyle w:val="137"/>
        <w:spacing w:before="0" w:beforeAutospacing="0" w:after="0" w:afterAutospacing="0" w:line="360" w:lineRule="auto"/>
        <w:ind w:firstLine="640" w:firstLineChars="200"/>
        <w:jc w:val="center"/>
        <w:rPr>
          <w:rFonts w:hint="default" w:cs="宋体"/>
          <w:color w:val="auto"/>
          <w:sz w:val="32"/>
          <w:szCs w:val="32"/>
          <w:highlight w:val="none"/>
        </w:rPr>
      </w:pPr>
      <w:bookmarkStart w:id="55" w:name="_Toc428024702"/>
      <w:bookmarkStart w:id="56" w:name="_Toc3127"/>
      <w:bookmarkStart w:id="57" w:name="_Toc6554"/>
      <w:bookmarkStart w:id="58" w:name="_Toc427566453"/>
      <w:r>
        <w:rPr>
          <w:rFonts w:cs="宋体"/>
          <w:color w:val="auto"/>
          <w:sz w:val="32"/>
          <w:szCs w:val="32"/>
          <w:highlight w:val="none"/>
        </w:rPr>
        <w:t>第三部分 专用合同条款</w:t>
      </w:r>
      <w:bookmarkEnd w:id="55"/>
      <w:bookmarkEnd w:id="56"/>
      <w:bookmarkEnd w:id="57"/>
      <w:bookmarkEnd w:id="58"/>
    </w:p>
    <w:p>
      <w:pPr>
        <w:pStyle w:val="137"/>
        <w:spacing w:before="0" w:beforeAutospacing="0" w:after="0" w:afterAutospacing="0" w:line="360" w:lineRule="auto"/>
        <w:ind w:firstLine="640" w:firstLineChars="200"/>
        <w:jc w:val="center"/>
        <w:rPr>
          <w:rFonts w:hint="default" w:cs="宋体"/>
          <w:color w:val="auto"/>
          <w:sz w:val="32"/>
          <w:szCs w:val="32"/>
          <w:highlight w:val="none"/>
        </w:rPr>
      </w:pPr>
      <w:r>
        <w:rPr>
          <w:rFonts w:cs="宋体"/>
          <w:color w:val="auto"/>
          <w:sz w:val="32"/>
          <w:szCs w:val="32"/>
          <w:highlight w:val="none"/>
        </w:rPr>
        <w:t>（根据国家相关示范文本）</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一、词语定义及合同文件</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2. 合同文件及解释顺序</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合同文件组成及解释顺序</w:t>
      </w:r>
      <w:r>
        <w:rPr>
          <w:rFonts w:hint="eastAsia" w:ascii="宋体" w:hAnsi="宋体" w:cs="宋体"/>
          <w:color w:val="auto"/>
          <w:highlight w:val="none"/>
          <w:u w:val="single"/>
        </w:rPr>
        <w:t>执行通用条款第2. 1、2.2条</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3．语言文字和适用法律、标准及规范</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3.1本合同除使用汉语外，还使用</w:t>
      </w:r>
      <w:r>
        <w:rPr>
          <w:rFonts w:hint="eastAsia" w:ascii="宋体" w:hAnsi="宋体" w:cs="宋体"/>
          <w:color w:val="auto"/>
          <w:highlight w:val="none"/>
          <w:u w:val="single"/>
        </w:rPr>
        <w:t>/</w:t>
      </w:r>
      <w:r>
        <w:rPr>
          <w:rFonts w:hint="eastAsia" w:ascii="宋体" w:hAnsi="宋体" w:cs="宋体"/>
          <w:color w:val="auto"/>
          <w:highlight w:val="none"/>
        </w:rPr>
        <w:t>语言文字。</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3.2适用法律和法规</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需要明示的法律、行政法规：</w:t>
      </w:r>
      <w:r>
        <w:rPr>
          <w:rFonts w:hint="eastAsia" w:ascii="宋体" w:hAnsi="宋体" w:cs="宋体"/>
          <w:color w:val="auto"/>
          <w:highlight w:val="none"/>
          <w:u w:val="single"/>
        </w:rPr>
        <w:t>现行的国家或地方有关市政工程的法律、法规。</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3.3适用标准、规范</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适用标准、规范的名称：</w:t>
      </w:r>
      <w:r>
        <w:rPr>
          <w:rFonts w:hint="eastAsia" w:ascii="宋体" w:hAnsi="宋体" w:cs="宋体"/>
          <w:color w:val="auto"/>
          <w:highlight w:val="none"/>
          <w:u w:val="single"/>
        </w:rPr>
        <w:t>除招标文件、工程设计罗列部分外，国家、河南省及周口市现行与本工程建设相关的标准和规范。</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发包人提供标准、规范的时间：</w:t>
      </w:r>
      <w:r>
        <w:rPr>
          <w:rFonts w:hint="eastAsia" w:ascii="宋体" w:hAnsi="宋体" w:cs="宋体"/>
          <w:color w:val="auto"/>
          <w:highlight w:val="none"/>
          <w:u w:val="single"/>
        </w:rPr>
        <w:t>/</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国内没有相应标准、规范时的约定：</w:t>
      </w:r>
      <w:r>
        <w:rPr>
          <w:rFonts w:hint="eastAsia" w:ascii="宋体" w:hAnsi="宋体" w:cs="宋体"/>
          <w:color w:val="auto"/>
          <w:highlight w:val="none"/>
          <w:u w:val="single"/>
        </w:rPr>
        <w:t>由发包人拟派工程师解决。</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4.图纸</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4.1发包人向承包人提供图纸日期和套数：</w:t>
      </w:r>
      <w:r>
        <w:rPr>
          <w:rFonts w:hint="eastAsia" w:ascii="宋体" w:hAnsi="宋体" w:cs="宋体"/>
          <w:color w:val="auto"/>
          <w:highlight w:val="none"/>
          <w:u w:val="single"/>
        </w:rPr>
        <w:t>合同签订后   天内提供施工图2套</w:t>
      </w:r>
      <w:r>
        <w:rPr>
          <w:rFonts w:hint="eastAsia" w:ascii="宋体" w:hAnsi="宋体" w:cs="宋体"/>
          <w:color w:val="auto"/>
          <w:highlight w:val="none"/>
        </w:rPr>
        <w:t>发包人对图纸的保密要求：</w:t>
      </w:r>
      <w:r>
        <w:rPr>
          <w:rFonts w:hint="eastAsia" w:ascii="宋体" w:hAnsi="宋体" w:cs="宋体"/>
          <w:color w:val="auto"/>
          <w:highlight w:val="none"/>
          <w:u w:val="single"/>
        </w:rPr>
        <w:t>不准向本工程外的工程提供图纸或图纸复印件</w:t>
      </w:r>
      <w:r>
        <w:rPr>
          <w:rFonts w:hint="eastAsia" w:ascii="宋体" w:hAnsi="宋体" w:cs="宋体"/>
          <w:color w:val="auto"/>
          <w:highlight w:val="none"/>
        </w:rPr>
        <w:t>使用国外图纸的要求及费用承担</w:t>
      </w:r>
      <w:r>
        <w:rPr>
          <w:rFonts w:hint="eastAsia" w:ascii="宋体" w:hAnsi="宋体" w:cs="宋体"/>
          <w:color w:val="auto"/>
          <w:highlight w:val="none"/>
          <w:u w:val="single"/>
        </w:rPr>
        <w:t xml:space="preserve">：    </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二、双方一般权利和义务</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5.工程师</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5.2监理单位委派的工程师</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姓名：职务：</w:t>
      </w:r>
      <w:r>
        <w:rPr>
          <w:rFonts w:hint="eastAsia" w:ascii="宋体" w:hAnsi="宋体" w:cs="宋体"/>
          <w:color w:val="auto"/>
          <w:highlight w:val="none"/>
          <w:u w:val="single"/>
        </w:rPr>
        <w:t>总监理工程师</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发包人委托的职权：</w:t>
      </w:r>
      <w:r>
        <w:rPr>
          <w:rFonts w:hint="eastAsia" w:ascii="宋体" w:hAnsi="宋体" w:cs="宋体"/>
          <w:color w:val="auto"/>
          <w:highlight w:val="none"/>
          <w:u w:val="single"/>
        </w:rPr>
        <w:t>施工组织设计及方案审批，质量监督权，工程量签认权，进出厂材料、设备检验及批准使用权，监理合同中赋予的职权。</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需要取得发包人批准才能行使的职权</w:t>
      </w:r>
      <w:r>
        <w:rPr>
          <w:rFonts w:hint="eastAsia" w:ascii="宋体" w:hAnsi="宋体" w:cs="宋体"/>
          <w:color w:val="auto"/>
          <w:highlight w:val="none"/>
          <w:u w:val="single"/>
        </w:rPr>
        <w:t>：发布开（停）工令，工期顺延签认，不称职人员撤换建议权。</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5.3发包人派驻的工程师</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姓名：职务：</w:t>
      </w:r>
      <w:r>
        <w:rPr>
          <w:rFonts w:hint="eastAsia" w:ascii="宋体" w:hAnsi="宋体" w:cs="宋体"/>
          <w:color w:val="auto"/>
          <w:highlight w:val="none"/>
          <w:u w:val="single"/>
        </w:rPr>
        <w:t>工程师</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职权：</w:t>
      </w:r>
      <w:r>
        <w:rPr>
          <w:rFonts w:hint="eastAsia" w:ascii="宋体" w:hAnsi="宋体" w:cs="宋体"/>
          <w:color w:val="auto"/>
          <w:highlight w:val="none"/>
          <w:u w:val="single"/>
        </w:rPr>
        <w:t>作为发包方代表处理与本工程建设相关的一切事宜。</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5.6不实行监理的，工程师的职权：</w:t>
      </w:r>
      <w:r>
        <w:rPr>
          <w:rFonts w:hint="eastAsia" w:ascii="宋体" w:hAnsi="宋体" w:cs="宋体"/>
          <w:color w:val="auto"/>
          <w:highlight w:val="none"/>
          <w:u w:val="single"/>
        </w:rPr>
        <w:t xml:space="preserve">/    </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6.项目经理</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姓名：职务：</w:t>
      </w:r>
      <w:r>
        <w:rPr>
          <w:rFonts w:hint="eastAsia" w:ascii="宋体" w:hAnsi="宋体" w:cs="宋体"/>
          <w:color w:val="auto"/>
          <w:highlight w:val="none"/>
          <w:u w:val="single"/>
        </w:rPr>
        <w:t>项目经理</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7.发包人工作</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7.1发包人应按约定的时间和要求完成以下工作：</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（1）施工场地具备施工条件的要求及完成的时间：</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已具备开工条件</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（2）将施工所需的水、电、电讯线路接至施工场地的时间、地点和供应要求：</w:t>
      </w:r>
      <w:r>
        <w:rPr>
          <w:rFonts w:hint="eastAsia" w:ascii="宋体" w:hAnsi="宋体" w:cs="宋体"/>
          <w:color w:val="auto"/>
          <w:highlight w:val="none"/>
          <w:u w:val="single"/>
        </w:rPr>
        <w:t>已具备</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（3）施工场地与公共道路的开通时间和要求：</w:t>
      </w:r>
      <w:r>
        <w:rPr>
          <w:rFonts w:hint="eastAsia" w:ascii="宋体" w:hAnsi="宋体" w:cs="宋体"/>
          <w:color w:val="auto"/>
          <w:highlight w:val="none"/>
          <w:u w:val="single"/>
        </w:rPr>
        <w:t>已开通</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（4）工程地质和地下管线资料的提供时间：</w:t>
      </w:r>
      <w:r>
        <w:rPr>
          <w:rFonts w:hint="eastAsia" w:ascii="宋体" w:hAnsi="宋体" w:cs="宋体"/>
          <w:color w:val="auto"/>
          <w:highlight w:val="none"/>
          <w:u w:val="single"/>
        </w:rPr>
        <w:t>开工前 天</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（5）由发包人办理的施工所需证件、批件的名称和完成时间：</w:t>
      </w:r>
      <w:r>
        <w:rPr>
          <w:rFonts w:hint="eastAsia" w:ascii="宋体" w:hAnsi="宋体" w:cs="宋体"/>
          <w:color w:val="auto"/>
          <w:highlight w:val="none"/>
          <w:u w:val="single"/>
        </w:rPr>
        <w:t>开工前 天（因施工单位的原因导致所需证件不能及时办理的，施工单位不得因此要求顺延工期）</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（6）水准点与坐标控制点交验要求：</w:t>
      </w:r>
      <w:r>
        <w:rPr>
          <w:rFonts w:hint="eastAsia" w:ascii="宋体" w:hAnsi="宋体" w:cs="宋体"/>
          <w:color w:val="auto"/>
          <w:highlight w:val="none"/>
          <w:u w:val="single"/>
        </w:rPr>
        <w:t>按照发包方提供的资料及现场交点进行校验</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（7）图纸会审和设计交底时间：</w:t>
      </w:r>
      <w:r>
        <w:rPr>
          <w:rFonts w:hint="eastAsia" w:ascii="宋体" w:hAnsi="宋体" w:cs="宋体"/>
          <w:color w:val="auto"/>
          <w:highlight w:val="none"/>
          <w:u w:val="single"/>
        </w:rPr>
        <w:t>开工前 天</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（8）协调处理施工场地周围地下管线和邻近建筑物、构筑物（含文物保护建筑）、古树名木的保护：</w:t>
      </w:r>
      <w:r>
        <w:rPr>
          <w:rFonts w:hint="eastAsia" w:ascii="宋体" w:hAnsi="宋体" w:cs="宋体"/>
          <w:color w:val="auto"/>
          <w:highlight w:val="none"/>
          <w:u w:val="single"/>
        </w:rPr>
        <w:t>承包方按照发包方要求和有关规定做好保护工作</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（9）双方约定发包人应做的其他工作：</w:t>
      </w:r>
      <w:r>
        <w:rPr>
          <w:rFonts w:hint="eastAsia" w:ascii="宋体" w:hAnsi="宋体" w:cs="宋体"/>
          <w:color w:val="auto"/>
          <w:highlight w:val="none"/>
          <w:u w:val="single"/>
        </w:rPr>
        <w:t>双方协商</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7.2发包人委托承包人办理的工作：</w:t>
      </w:r>
      <w:r>
        <w:rPr>
          <w:rFonts w:hint="eastAsia" w:ascii="宋体" w:hAnsi="宋体" w:cs="宋体"/>
          <w:color w:val="auto"/>
          <w:highlight w:val="none"/>
          <w:u w:val="single"/>
        </w:rPr>
        <w:t>承包方协助发包方做好施工期间与周边关系的协调工作。</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8.承包人工作</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8.1承包人应按约定时间和要求，完成以下工作：</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（1）需由设计资质等级和业务范围允许的承包人完成的设计文件提交时间：</w:t>
      </w:r>
      <w:r>
        <w:rPr>
          <w:rFonts w:hint="eastAsia" w:ascii="宋体" w:hAnsi="宋体" w:cs="宋体"/>
          <w:color w:val="auto"/>
          <w:highlight w:val="none"/>
          <w:u w:val="single"/>
        </w:rPr>
        <w:t>无</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（2）应提供计划、报表的名称及完成时间：</w:t>
      </w:r>
      <w:r>
        <w:rPr>
          <w:rFonts w:hint="eastAsia" w:ascii="宋体" w:hAnsi="宋体" w:cs="宋体"/>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（3）承担施工安全保卫工作及非夜间施工照明的责任和要求：</w:t>
      </w:r>
      <w:r>
        <w:rPr>
          <w:rFonts w:hint="eastAsia" w:ascii="宋体" w:hAnsi="宋体" w:cs="宋体"/>
          <w:color w:val="auto"/>
          <w:highlight w:val="none"/>
          <w:u w:val="single"/>
        </w:rPr>
        <w:t>负责施工现场的日夜值班保卫及夜间照明，对施工中的安全负全责。</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（4）向发包人提供的办公和生活房屋及设施的要求：</w:t>
      </w:r>
      <w:r>
        <w:rPr>
          <w:rFonts w:hint="eastAsia" w:ascii="宋体" w:hAnsi="宋体" w:cs="宋体"/>
          <w:color w:val="auto"/>
          <w:highlight w:val="none"/>
          <w:u w:val="single"/>
        </w:rPr>
        <w:t>双方协商。</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（5）需承包人办理的有关施工场地交通、环卫和施工噪音管理等手续：</w:t>
      </w:r>
      <w:r>
        <w:rPr>
          <w:rFonts w:hint="eastAsia" w:ascii="宋体" w:hAnsi="宋体" w:cs="宋体"/>
          <w:color w:val="auto"/>
          <w:highlight w:val="none"/>
          <w:u w:val="single"/>
        </w:rPr>
        <w:t>由施工单位掌握办理时间，以不影响施工正常进行为原则，并承担因此发生的费用。</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（6）已完工程成品保护的特殊要求及费用承担：</w:t>
      </w:r>
      <w:r>
        <w:rPr>
          <w:rFonts w:hint="eastAsia" w:ascii="宋体" w:hAnsi="宋体" w:cs="宋体"/>
          <w:color w:val="auto"/>
          <w:highlight w:val="none"/>
          <w:u w:val="single"/>
        </w:rPr>
        <w:t>施工期间的成品保护由承包方负责，质保期满、竣工综合移交验收后由发包方负责。</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（7）施工场地周围地下管线和邻近建筑物、构筑物（含文物保护建筑）、古树名木的保护要求及费用承担：</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（8）施工场地清洁卫生的要求：</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（9）双方约定承包人应做的其他工作：</w:t>
      </w:r>
    </w:p>
    <w:p>
      <w:pPr>
        <w:ind w:firstLine="422" w:firstLineChars="200"/>
        <w:rPr>
          <w:rFonts w:ascii="宋体" w:hAnsi="宋体" w:cs="宋体"/>
          <w:b/>
          <w:color w:val="auto"/>
          <w:highlight w:val="none"/>
        </w:rPr>
      </w:pPr>
      <w:r>
        <w:rPr>
          <w:rFonts w:hint="eastAsia" w:ascii="宋体" w:hAnsi="宋体" w:cs="宋体"/>
          <w:b/>
          <w:color w:val="auto"/>
          <w:highlight w:val="none"/>
        </w:rPr>
        <w:t>三、施工组织设计和工期</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9.进度计划</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9.1承包人提供施工组织设计（施工方案）和进度计划的时间：</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实施前 天提交施工组织设计（施工方案）和进度计划（含时标网络计划）</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工程师确认的时间</w:t>
      </w:r>
      <w:r>
        <w:rPr>
          <w:rFonts w:hint="eastAsia" w:ascii="宋体" w:hAnsi="宋体" w:cs="宋体"/>
          <w:color w:val="auto"/>
          <w:highlight w:val="none"/>
          <w:u w:val="single"/>
        </w:rPr>
        <w:t>：收到后 个工作日</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9.2群体工程中有关进度计划的要求：</w:t>
      </w:r>
      <w:r>
        <w:rPr>
          <w:rFonts w:hint="eastAsia" w:ascii="宋体" w:hAnsi="宋体" w:cs="宋体"/>
          <w:color w:val="auto"/>
          <w:highlight w:val="none"/>
          <w:u w:val="single"/>
        </w:rPr>
        <w:t>无</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13.工期延误</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13.1双方约定工期顺延的其他情况：</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四、质量与验收</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17.隐蔽工程和中间验收</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17.1双约定中间验收部位：</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19.工程试车</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19.5试车费用地承担：</w:t>
      </w:r>
      <w:r>
        <w:rPr>
          <w:rFonts w:hint="eastAsia" w:ascii="宋体" w:hAnsi="宋体" w:cs="宋体"/>
          <w:color w:val="auto"/>
          <w:highlight w:val="none"/>
          <w:u w:val="single"/>
        </w:rPr>
        <w:t>无</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五、安全施工：</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遵照国家、建设部、河南省及周口市现行有关规定执行。</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六、合同价款及调整</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23. 合同价款及调整</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23.2本合同价款采用</w:t>
      </w:r>
      <w:r>
        <w:rPr>
          <w:rFonts w:hint="eastAsia" w:ascii="宋体" w:hAnsi="宋体" w:cs="宋体"/>
          <w:color w:val="auto"/>
          <w:highlight w:val="none"/>
          <w:u w:val="single"/>
        </w:rPr>
        <w:t>（1）</w:t>
      </w:r>
      <w:r>
        <w:rPr>
          <w:rFonts w:hint="eastAsia" w:ascii="宋体" w:hAnsi="宋体" w:cs="宋体"/>
          <w:color w:val="auto"/>
          <w:highlight w:val="none"/>
        </w:rPr>
        <w:t>方式确定。</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（1）采用固定价格合同，合同价款中包括：</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除下列原因外合同的固定总价均不得改变：</w:t>
      </w:r>
    </w:p>
    <w:p>
      <w:pPr>
        <w:snapToGrid w:val="0"/>
        <w:spacing w:line="400" w:lineRule="exact"/>
        <w:ind w:firstLine="420" w:firstLineChars="200"/>
        <w:rPr>
          <w:rFonts w:ascii="宋体" w:hAnsi="宋体" w:cs="宋体"/>
          <w:color w:val="auto"/>
          <w:highlight w:val="none"/>
        </w:rPr>
      </w:pPr>
      <w:r>
        <w:rPr>
          <w:rFonts w:hint="eastAsia" w:ascii="宋体" w:hAnsi="宋体" w:cs="宋体"/>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20" w:firstLineChars="200"/>
        <w:rPr>
          <w:rFonts w:ascii="宋体" w:hAnsi="宋体" w:cs="宋体"/>
          <w:color w:val="auto"/>
          <w:highlight w:val="none"/>
        </w:rPr>
      </w:pPr>
      <w:r>
        <w:rPr>
          <w:rFonts w:hint="eastAsia" w:ascii="宋体" w:hAnsi="宋体" w:cs="宋体"/>
          <w:color w:val="auto"/>
          <w:highlight w:val="none"/>
        </w:rPr>
        <w:t>②如果直接取消某分部分项工程量清单项目，则该项目价款不予支付。</w:t>
      </w:r>
    </w:p>
    <w:p>
      <w:pPr>
        <w:snapToGrid w:val="0"/>
        <w:spacing w:line="400" w:lineRule="exact"/>
        <w:ind w:firstLine="420" w:firstLineChars="200"/>
        <w:rPr>
          <w:rFonts w:ascii="宋体" w:hAnsi="宋体" w:cs="宋体"/>
          <w:color w:val="auto"/>
          <w:highlight w:val="none"/>
        </w:rPr>
      </w:pPr>
      <w:r>
        <w:rPr>
          <w:rFonts w:hint="eastAsia" w:ascii="宋体" w:hAnsi="宋体" w:cs="宋体"/>
          <w:color w:val="auto"/>
          <w:highlight w:val="none"/>
        </w:rPr>
        <w:t>③措施费均为税后的包干价，不因设计变更而调增。</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（2）采用可调价格合同，合同价款调整方法：</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（3）采用成本加酬金合同，有关成本和酬金的约定：</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23.3双方约定合同价款的其他调整因素：</w:t>
      </w:r>
    </w:p>
    <w:p>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24.工程预付款</w:t>
      </w:r>
    </w:p>
    <w:p>
      <w:pPr>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发包人向承包人预付工程款的时间和金额或占合同价款总额的比例：</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扣回工程款的时间、比例：</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25.工程量确认</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25.1承包人向工程师提交已完工程量报告的时间：</w:t>
      </w:r>
      <w:r>
        <w:rPr>
          <w:rFonts w:hint="eastAsia" w:ascii="宋体" w:hAnsi="宋体" w:cs="宋体"/>
          <w:color w:val="auto"/>
          <w:highlight w:val="none"/>
          <w:u w:val="single"/>
        </w:rPr>
        <w:t>每月 日前提供当月已完工程量报表三份，监理工程师在收到后 个工作日内审查完毕并报发包人审核，发包人在收到后 天内审核完毕。</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26. 工程款支付</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双方约定的工程款（进度款）支付的方式和时间：中标后双方协商。</w:t>
      </w:r>
    </w:p>
    <w:p>
      <w:pPr>
        <w:ind w:firstLine="422" w:firstLineChars="200"/>
        <w:rPr>
          <w:rFonts w:ascii="宋体" w:hAnsi="宋体" w:cs="宋体"/>
          <w:b/>
          <w:color w:val="auto"/>
          <w:highlight w:val="none"/>
        </w:rPr>
      </w:pPr>
      <w:r>
        <w:rPr>
          <w:rFonts w:hint="eastAsia" w:ascii="宋体" w:hAnsi="宋体" w:cs="宋体"/>
          <w:b/>
          <w:color w:val="auto"/>
          <w:highlight w:val="none"/>
        </w:rPr>
        <w:t>七、材料设备供应</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27.发包人供应材料设备</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27.4发包人供应的材料设备与一览表不符时，双方约定发包人承担责任如下：</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（1）材料设备单价与一览表不符：</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（2）材料设备的品种、规格、型号、质量等级与一览表不符：</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（3）承包人可代为调剂串换的材料：</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（4）到货地点与一览表不符：</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（5）供应数量与一览表不符：</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（6）到货时间与一览表不符：</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27.6发包人供应材料设备的结算方法：</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28.承包人采购材料设备</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28．1承包人采购材料设备的约定：</w:t>
      </w:r>
      <w:r>
        <w:rPr>
          <w:rFonts w:hint="eastAsia" w:ascii="宋体" w:hAnsi="宋体" w:cs="宋体"/>
          <w:color w:val="auto"/>
          <w:highlight w:val="none"/>
          <w:u w:val="single"/>
        </w:rPr>
        <w:t>执行通用条款</w:t>
      </w:r>
    </w:p>
    <w:p>
      <w:pPr>
        <w:spacing w:line="480" w:lineRule="exact"/>
        <w:ind w:firstLine="422" w:firstLineChars="200"/>
        <w:rPr>
          <w:rFonts w:ascii="宋体" w:hAnsi="宋体" w:cs="宋体"/>
          <w:b/>
          <w:color w:val="auto"/>
          <w:highlight w:val="none"/>
          <w:u w:val="single"/>
        </w:rPr>
      </w:pPr>
      <w:r>
        <w:rPr>
          <w:rFonts w:hint="eastAsia" w:ascii="宋体" w:hAnsi="宋体" w:cs="宋体"/>
          <w:b/>
          <w:color w:val="auto"/>
          <w:highlight w:val="none"/>
        </w:rPr>
        <w:t>八、工程变更</w:t>
      </w:r>
      <w:r>
        <w:rPr>
          <w:rFonts w:hint="eastAsia" w:ascii="宋体" w:hAnsi="宋体" w:cs="宋体"/>
          <w:color w:val="auto"/>
          <w:highlight w:val="none"/>
          <w:u w:val="single"/>
        </w:rPr>
        <w:t>执行通用条款</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九、竣工验收与结算</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32.竣工验收</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32.1承包人提供竣工图的约定：</w:t>
      </w:r>
      <w:r>
        <w:rPr>
          <w:rFonts w:hint="eastAsia" w:ascii="宋体" w:hAnsi="宋体" w:cs="宋体"/>
          <w:color w:val="auto"/>
          <w:highlight w:val="none"/>
          <w:u w:val="single"/>
        </w:rPr>
        <w:t>提交竣工报告的同时提交竣工图 套</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32.6中间交工工程的范围和竣工时间：</w:t>
      </w:r>
      <w:r>
        <w:rPr>
          <w:rFonts w:hint="eastAsia" w:ascii="宋体" w:hAnsi="宋体" w:cs="宋体"/>
          <w:color w:val="auto"/>
          <w:highlight w:val="none"/>
          <w:u w:val="single"/>
        </w:rPr>
        <w:t>发包方和承包方协商</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十、违约、索赔和争议</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35.违约</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35.1本合同中关于发包人违约的具体责任如下：</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本合同通用条款第24条约定发包人违约应承担的违约责任：</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本合同通用条款第26.4款约定发包人违约应承担的违约责任：</w:t>
      </w:r>
      <w:r>
        <w:rPr>
          <w:rFonts w:hint="eastAsia" w:ascii="宋体" w:hAnsi="宋体" w:cs="宋体"/>
          <w:color w:val="auto"/>
          <w:highlight w:val="none"/>
          <w:u w:val="single"/>
        </w:rPr>
        <w:t xml:space="preserve">    /                    </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本合同通用条款第33.3款约定发包人违约应承担的违约责任：</w:t>
      </w:r>
      <w:r>
        <w:rPr>
          <w:rFonts w:hint="eastAsia" w:ascii="宋体" w:hAnsi="宋体" w:cs="宋体"/>
          <w:color w:val="auto"/>
          <w:highlight w:val="none"/>
          <w:u w:val="single"/>
        </w:rPr>
        <w:t xml:space="preserve">          /                                      </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双方约定的发包人其他违约责任：</w:t>
      </w:r>
      <w:r>
        <w:rPr>
          <w:rFonts w:hint="eastAsia" w:ascii="宋体" w:hAnsi="宋体" w:cs="宋体"/>
          <w:color w:val="auto"/>
          <w:highlight w:val="none"/>
          <w:u w:val="single"/>
        </w:rPr>
        <w:t>双方协商解决</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35.2本合同中关于承包人违约的具体责任如下：</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本合同通用条款第14.2款约定承包人违约应承担的违约责任：</w:t>
      </w:r>
      <w:r>
        <w:rPr>
          <w:rFonts w:hint="eastAsia" w:ascii="宋体" w:hAnsi="宋体" w:cs="宋体"/>
          <w:color w:val="auto"/>
          <w:highlight w:val="none"/>
          <w:u w:val="single"/>
        </w:rPr>
        <w:t>承包人不能按约定的竣工日期或监理工程师同意顺延的工期竣工的，每延期一天承包人应向发包人支付合同价款 ‰的违约金，并承担因此给发包方造成的其它经济损失。</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本合同通用条款第15.1条约定承包人违约应承担的违约责任：</w:t>
      </w:r>
      <w:r>
        <w:rPr>
          <w:rFonts w:hint="eastAsia" w:ascii="宋体" w:hAnsi="宋体" w:cs="宋体"/>
          <w:color w:val="auto"/>
          <w:highlight w:val="none"/>
          <w:u w:val="single"/>
        </w:rPr>
        <w:t>工程质量达不到约定的标准，承包人应承担因此导致的鉴定、检验及返工、拆除重建等费用，工期不予顺延，并向发包人支付合同总价 %的违约金</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双方约定的承包人其他违约责任：</w:t>
      </w:r>
      <w:r>
        <w:rPr>
          <w:rFonts w:hint="eastAsia" w:ascii="宋体" w:hAnsi="宋体" w:cs="宋体"/>
          <w:color w:val="auto"/>
          <w:highlight w:val="none"/>
          <w:u w:val="single"/>
        </w:rPr>
        <w:t>双方协商解决</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37.争议</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37.1双方约定，在履行合同过程中产生争议时：</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（1）按本合同规定应该偿付的违约金、赔偿金、保管保养费和各种经济损失，应当在明确责任后10天内，按银行规定的结算办法付清，否则按逾期付款处理。但任何一方不得自行扣发货物或扣付货款来充抵。</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highlight w:val="none"/>
          <w:u w:val="single"/>
        </w:rPr>
        <w:t>周口仲裁委员会</w:t>
      </w:r>
      <w:r>
        <w:rPr>
          <w:rFonts w:hint="eastAsia" w:ascii="宋体" w:hAnsi="宋体" w:cs="宋体"/>
          <w:color w:val="auto"/>
          <w:highlight w:val="none"/>
        </w:rPr>
        <w:t>申请仲裁。②向合同签订地有级别管辖权的人民法院起诉。</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（3）甲、乙双方均有权利向本项目具有监管职能的政府采购监督管理部门举报反映对方在合同履约中的违法违纪行为。</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十一、其他</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38. 工程分包</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38.1本工程发包人同意承包人分包的工程：</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分包施工单位为：</w:t>
      </w:r>
      <w:r>
        <w:rPr>
          <w:rFonts w:hint="eastAsia" w:ascii="宋体" w:hAnsi="宋体" w:cs="宋体"/>
          <w:color w:val="auto"/>
          <w:highlight w:val="none"/>
          <w:u w:val="single"/>
        </w:rPr>
        <w:t xml:space="preserve">                /                                                         </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39.不可抗力</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39.1双方关于不可抗力的约定：</w:t>
      </w:r>
      <w:r>
        <w:rPr>
          <w:rFonts w:hint="eastAsia" w:ascii="宋体" w:hAnsi="宋体" w:cs="宋体"/>
          <w:color w:val="auto"/>
          <w:highlight w:val="none"/>
          <w:u w:val="single"/>
        </w:rPr>
        <w:t>执行通用条款</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40.保险</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40.6本工程双方约定投保内容如下：</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（1）发包人投保内容：</w:t>
      </w:r>
      <w:r>
        <w:rPr>
          <w:rFonts w:hint="eastAsia" w:ascii="宋体" w:hAnsi="宋体" w:cs="宋体"/>
          <w:color w:val="auto"/>
          <w:highlight w:val="none"/>
          <w:u w:val="single"/>
        </w:rPr>
        <w:t>执行通用条款</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发包人委托承包人办理的保险事项：</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（2）承包人的投保内容：</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41.担保</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41.3本工程双方承包人提供履约担保，担保事项如下：</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（1）发包人向承包人提供履约担保，担保方式为：</w:t>
      </w:r>
      <w:r>
        <w:rPr>
          <w:rFonts w:hint="eastAsia" w:ascii="宋体" w:hAnsi="宋体" w:cs="宋体"/>
          <w:color w:val="auto"/>
          <w:highlight w:val="none"/>
          <w:u w:val="single"/>
        </w:rPr>
        <w:t>无</w:t>
      </w:r>
      <w:r>
        <w:rPr>
          <w:rFonts w:hint="eastAsia" w:ascii="宋体" w:hAnsi="宋体" w:cs="宋体"/>
          <w:color w:val="auto"/>
          <w:highlight w:val="none"/>
        </w:rPr>
        <w:t>担保合同作为本合同附件。</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（2）承包人向发包人提供履约担保，担保方式为：</w:t>
      </w:r>
      <w:r>
        <w:rPr>
          <w:rFonts w:hint="eastAsia" w:ascii="宋体" w:hAnsi="宋体" w:cs="宋体"/>
          <w:color w:val="auto"/>
          <w:highlight w:val="none"/>
          <w:u w:val="single"/>
        </w:rPr>
        <w:t>无</w:t>
      </w:r>
      <w:r>
        <w:rPr>
          <w:rFonts w:hint="eastAsia" w:ascii="宋体" w:hAnsi="宋体" w:cs="宋体"/>
          <w:color w:val="auto"/>
          <w:highlight w:val="none"/>
        </w:rPr>
        <w:t>担保合同作为本合同附件。</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（3）双方约定的其他担保事项：</w:t>
      </w:r>
    </w:p>
    <w:p>
      <w:pPr>
        <w:spacing w:line="480" w:lineRule="exact"/>
        <w:ind w:firstLine="422" w:firstLineChars="200"/>
        <w:rPr>
          <w:rFonts w:ascii="宋体" w:hAnsi="宋体" w:cs="宋体"/>
          <w:b/>
          <w:color w:val="auto"/>
          <w:highlight w:val="none"/>
        </w:rPr>
      </w:pPr>
      <w:r>
        <w:rPr>
          <w:rFonts w:hint="eastAsia" w:ascii="宋体" w:hAnsi="宋体" w:cs="宋体"/>
          <w:b/>
          <w:color w:val="auto"/>
          <w:highlight w:val="none"/>
        </w:rPr>
        <w:t>46.合同份数</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rPr>
        <w:t>46.1双方约定合同份数：</w:t>
      </w:r>
      <w:r>
        <w:rPr>
          <w:rFonts w:hint="eastAsia" w:ascii="宋体" w:hAnsi="宋体" w:cs="宋体"/>
          <w:color w:val="auto"/>
          <w:highlight w:val="none"/>
          <w:u w:val="single"/>
        </w:rPr>
        <w:t>一式陆份，正本贰份，副本肆份。</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47.补充条款</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1、有关工程量清单缺漏项的处理方法：根据实际情况，视情节由发包人、监理人、承包人三方协商解决，并由发包人、监理人、承包人三方核实确定后据实调整。</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4、因发包人拆迁等原因长期不能提供施工场地导致无法组织施工的工程，不影响已完工程的竣工验收和工程款的支付。</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5、人工费按国家和地方有关文件规定执行。</w:t>
      </w:r>
    </w:p>
    <w:p>
      <w:pPr>
        <w:spacing w:line="48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6、施工过程中如遇国家、地方等政策性调整，按规定执行。</w:t>
      </w:r>
    </w:p>
    <w:p>
      <w:pPr>
        <w:spacing w:line="44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7、在保修期内给水工程的维护和维修，由承包方负责并承担全部费用。</w:t>
      </w:r>
    </w:p>
    <w:p>
      <w:pPr>
        <w:spacing w:line="480" w:lineRule="exact"/>
        <w:ind w:firstLine="420" w:firstLineChars="200"/>
        <w:rPr>
          <w:rFonts w:ascii="宋体" w:hAnsi="宋体" w:cs="宋体"/>
          <w:color w:val="auto"/>
          <w:highlight w:val="none"/>
        </w:rPr>
      </w:pPr>
      <w:r>
        <w:rPr>
          <w:rFonts w:hint="eastAsia" w:ascii="宋体" w:hAnsi="宋体" w:cs="宋体"/>
          <w:color w:val="auto"/>
          <w:highlight w:val="none"/>
        </w:rPr>
        <w:t>本合同未尽事宜，双方另行协商，协商内容作为本合同的附件，与本合同具有同等法律效力。</w:t>
      </w:r>
    </w:p>
    <w:p>
      <w:pPr>
        <w:spacing w:line="360" w:lineRule="auto"/>
        <w:rPr>
          <w:rFonts w:ascii="宋体" w:hAnsi="宋体" w:cs="宋体"/>
          <w:b/>
          <w:color w:val="auto"/>
          <w:szCs w:val="21"/>
          <w:highlight w:val="none"/>
        </w:rPr>
      </w:pPr>
    </w:p>
    <w:p>
      <w:pPr>
        <w:spacing w:line="360" w:lineRule="auto"/>
        <w:ind w:firstLine="422" w:firstLineChars="200"/>
        <w:rPr>
          <w:rFonts w:ascii="宋体" w:hAnsi="宋体" w:cs="宋体"/>
          <w:b/>
          <w:color w:val="auto"/>
          <w:szCs w:val="21"/>
          <w:highlight w:val="none"/>
        </w:rPr>
      </w:pPr>
    </w:p>
    <w:p>
      <w:pPr>
        <w:spacing w:line="360" w:lineRule="auto"/>
        <w:ind w:firstLine="422" w:firstLineChars="200"/>
        <w:rPr>
          <w:rFonts w:ascii="宋体" w:hAnsi="宋体" w:cs="宋体"/>
          <w:b/>
          <w:color w:val="auto"/>
          <w:szCs w:val="21"/>
          <w:highlight w:val="none"/>
        </w:rPr>
      </w:pPr>
    </w:p>
    <w:p>
      <w:pPr>
        <w:spacing w:line="360" w:lineRule="auto"/>
        <w:ind w:firstLine="422" w:firstLineChars="200"/>
        <w:rPr>
          <w:rFonts w:ascii="宋体" w:hAnsi="宋体" w:cs="宋体"/>
          <w:b/>
          <w:color w:val="auto"/>
          <w:szCs w:val="21"/>
          <w:highlight w:val="none"/>
        </w:rPr>
      </w:pPr>
    </w:p>
    <w:p>
      <w:pPr>
        <w:rPr>
          <w:rFonts w:ascii="宋体" w:hAnsi="宋体" w:cs="宋体"/>
          <w:color w:val="auto"/>
          <w:sz w:val="28"/>
          <w:szCs w:val="28"/>
          <w:highlight w:val="none"/>
        </w:rPr>
      </w:pPr>
      <w:r>
        <w:rPr>
          <w:rFonts w:hint="eastAsia" w:ascii="宋体" w:hAnsi="宋体" w:cs="宋体"/>
          <w:color w:val="auto"/>
          <w:sz w:val="28"/>
          <w:szCs w:val="28"/>
          <w:highlight w:val="none"/>
        </w:rPr>
        <w:br w:type="page"/>
      </w:r>
    </w:p>
    <w:p>
      <w:pPr>
        <w:spacing w:line="360" w:lineRule="auto"/>
        <w:rPr>
          <w:rFonts w:ascii="宋体" w:hAnsi="宋体" w:cs="宋体"/>
          <w:color w:val="auto"/>
          <w:sz w:val="28"/>
          <w:szCs w:val="28"/>
          <w:highlight w:val="none"/>
        </w:rPr>
      </w:pPr>
      <w:r>
        <w:rPr>
          <w:rFonts w:hint="eastAsia" w:ascii="宋体" w:hAnsi="宋体" w:cs="宋体"/>
          <w:color w:val="auto"/>
          <w:sz w:val="28"/>
          <w:szCs w:val="28"/>
          <w:highlight w:val="none"/>
        </w:rPr>
        <w:t>附件1：</w:t>
      </w:r>
    </w:p>
    <w:p>
      <w:pPr>
        <w:spacing w:line="360" w:lineRule="auto"/>
        <w:jc w:val="center"/>
        <w:rPr>
          <w:rFonts w:ascii="宋体" w:hAnsi="宋体" w:cs="宋体"/>
          <w:color w:val="auto"/>
          <w:sz w:val="28"/>
          <w:szCs w:val="28"/>
          <w:highlight w:val="none"/>
        </w:rPr>
      </w:pPr>
      <w:r>
        <w:rPr>
          <w:rFonts w:hint="eastAsia" w:ascii="宋体" w:hAnsi="宋体" w:cs="宋体"/>
          <w:color w:val="auto"/>
          <w:sz w:val="28"/>
          <w:szCs w:val="28"/>
          <w:highlight w:val="none"/>
        </w:rPr>
        <w:t>承包人承揽工程项目一览表</w:t>
      </w:r>
    </w:p>
    <w:tbl>
      <w:tblPr>
        <w:tblStyle w:val="4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单位工程名称</w:t>
            </w:r>
          </w:p>
        </w:tc>
        <w:tc>
          <w:tcPr>
            <w:tcW w:w="900"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建设</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规模</w:t>
            </w:r>
          </w:p>
        </w:tc>
        <w:tc>
          <w:tcPr>
            <w:tcW w:w="1319"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建筑面积（平方米）</w:t>
            </w:r>
          </w:p>
        </w:tc>
        <w:tc>
          <w:tcPr>
            <w:tcW w:w="682" w:type="dxa"/>
            <w:vAlign w:val="center"/>
          </w:tcPr>
          <w:p>
            <w:pPr>
              <w:spacing w:line="360" w:lineRule="auto"/>
              <w:ind w:right="-78" w:rightChars="-37"/>
              <w:jc w:val="center"/>
              <w:rPr>
                <w:rFonts w:ascii="宋体" w:hAnsi="宋体" w:cs="宋体"/>
                <w:color w:val="auto"/>
                <w:szCs w:val="21"/>
                <w:highlight w:val="none"/>
              </w:rPr>
            </w:pPr>
            <w:r>
              <w:rPr>
                <w:rFonts w:hint="eastAsia" w:ascii="宋体" w:hAnsi="宋体" w:cs="宋体"/>
                <w:color w:val="auto"/>
                <w:szCs w:val="21"/>
                <w:highlight w:val="none"/>
              </w:rPr>
              <w:t>结构</w:t>
            </w:r>
          </w:p>
        </w:tc>
        <w:tc>
          <w:tcPr>
            <w:tcW w:w="709"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层数</w:t>
            </w:r>
          </w:p>
        </w:tc>
        <w:tc>
          <w:tcPr>
            <w:tcW w:w="877"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跨度</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800"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设备</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安装</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内容</w:t>
            </w:r>
          </w:p>
        </w:tc>
        <w:tc>
          <w:tcPr>
            <w:tcW w:w="850"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工程</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造价</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（元）</w:t>
            </w:r>
          </w:p>
        </w:tc>
        <w:tc>
          <w:tcPr>
            <w:tcW w:w="709"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开工</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日期</w:t>
            </w:r>
          </w:p>
        </w:tc>
        <w:tc>
          <w:tcPr>
            <w:tcW w:w="709"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竣工</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s="宋体"/>
                <w:color w:val="auto"/>
                <w:szCs w:val="21"/>
                <w:highlight w:val="none"/>
              </w:rPr>
            </w:pPr>
          </w:p>
        </w:tc>
        <w:tc>
          <w:tcPr>
            <w:tcW w:w="900" w:type="dxa"/>
            <w:vAlign w:val="center"/>
          </w:tcPr>
          <w:p>
            <w:pPr>
              <w:spacing w:line="360" w:lineRule="auto"/>
              <w:ind w:firstLine="420" w:firstLineChars="200"/>
              <w:rPr>
                <w:rFonts w:ascii="宋体" w:hAnsi="宋体" w:cs="宋体"/>
                <w:color w:val="auto"/>
                <w:szCs w:val="21"/>
                <w:highlight w:val="none"/>
              </w:rPr>
            </w:pPr>
          </w:p>
        </w:tc>
        <w:tc>
          <w:tcPr>
            <w:tcW w:w="1319" w:type="dxa"/>
            <w:vAlign w:val="center"/>
          </w:tcPr>
          <w:p>
            <w:pPr>
              <w:spacing w:line="360" w:lineRule="auto"/>
              <w:ind w:firstLine="420" w:firstLineChars="200"/>
              <w:rPr>
                <w:rFonts w:ascii="宋体" w:hAnsi="宋体" w:cs="宋体"/>
                <w:color w:val="auto"/>
                <w:szCs w:val="21"/>
                <w:highlight w:val="none"/>
              </w:rPr>
            </w:pPr>
          </w:p>
        </w:tc>
        <w:tc>
          <w:tcPr>
            <w:tcW w:w="682" w:type="dxa"/>
            <w:vAlign w:val="center"/>
          </w:tcPr>
          <w:p>
            <w:pPr>
              <w:spacing w:line="360" w:lineRule="auto"/>
              <w:ind w:firstLine="420" w:firstLineChars="200"/>
              <w:rPr>
                <w:rFonts w:ascii="宋体" w:hAnsi="宋体" w:cs="宋体"/>
                <w:color w:val="auto"/>
                <w:szCs w:val="21"/>
                <w:highlight w:val="none"/>
              </w:rPr>
            </w:pPr>
          </w:p>
        </w:tc>
        <w:tc>
          <w:tcPr>
            <w:tcW w:w="709" w:type="dxa"/>
            <w:vAlign w:val="center"/>
          </w:tcPr>
          <w:p>
            <w:pPr>
              <w:spacing w:line="360" w:lineRule="auto"/>
              <w:ind w:firstLine="420" w:firstLineChars="200"/>
              <w:rPr>
                <w:rFonts w:ascii="宋体" w:hAnsi="宋体" w:cs="宋体"/>
                <w:color w:val="auto"/>
                <w:szCs w:val="21"/>
                <w:highlight w:val="none"/>
              </w:rPr>
            </w:pPr>
          </w:p>
        </w:tc>
        <w:tc>
          <w:tcPr>
            <w:tcW w:w="877" w:type="dxa"/>
            <w:vAlign w:val="center"/>
          </w:tcPr>
          <w:p>
            <w:pPr>
              <w:spacing w:line="360" w:lineRule="auto"/>
              <w:ind w:firstLine="420" w:firstLineChars="200"/>
              <w:rPr>
                <w:rFonts w:ascii="宋体" w:hAnsi="宋体" w:cs="宋体"/>
                <w:color w:val="auto"/>
                <w:szCs w:val="21"/>
                <w:highlight w:val="none"/>
              </w:rPr>
            </w:pPr>
          </w:p>
        </w:tc>
        <w:tc>
          <w:tcPr>
            <w:tcW w:w="800" w:type="dxa"/>
            <w:vAlign w:val="center"/>
          </w:tcPr>
          <w:p>
            <w:pPr>
              <w:spacing w:line="360" w:lineRule="auto"/>
              <w:ind w:firstLine="420" w:firstLineChars="200"/>
              <w:rPr>
                <w:rFonts w:ascii="宋体" w:hAnsi="宋体" w:cs="宋体"/>
                <w:color w:val="auto"/>
                <w:szCs w:val="21"/>
                <w:highlight w:val="none"/>
              </w:rPr>
            </w:pPr>
          </w:p>
        </w:tc>
        <w:tc>
          <w:tcPr>
            <w:tcW w:w="850" w:type="dxa"/>
            <w:vAlign w:val="center"/>
          </w:tcPr>
          <w:p>
            <w:pPr>
              <w:spacing w:line="360" w:lineRule="auto"/>
              <w:ind w:firstLine="420" w:firstLineChars="200"/>
              <w:rPr>
                <w:rFonts w:ascii="宋体" w:hAnsi="宋体" w:cs="宋体"/>
                <w:color w:val="auto"/>
                <w:szCs w:val="21"/>
                <w:highlight w:val="none"/>
              </w:rPr>
            </w:pPr>
          </w:p>
        </w:tc>
        <w:tc>
          <w:tcPr>
            <w:tcW w:w="709" w:type="dxa"/>
            <w:vAlign w:val="center"/>
          </w:tcPr>
          <w:p>
            <w:pPr>
              <w:spacing w:line="360" w:lineRule="auto"/>
              <w:ind w:firstLine="420" w:firstLineChars="200"/>
              <w:rPr>
                <w:rFonts w:ascii="宋体" w:hAnsi="宋体" w:cs="宋体"/>
                <w:color w:val="auto"/>
                <w:szCs w:val="21"/>
                <w:highlight w:val="none"/>
              </w:rPr>
            </w:pPr>
          </w:p>
        </w:tc>
        <w:tc>
          <w:tcPr>
            <w:tcW w:w="709" w:type="dxa"/>
            <w:vAlign w:val="center"/>
          </w:tcPr>
          <w:p>
            <w:pPr>
              <w:spacing w:line="360" w:lineRule="auto"/>
              <w:ind w:firstLine="420" w:firstLineChars="200"/>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s="宋体"/>
                <w:color w:val="auto"/>
                <w:szCs w:val="21"/>
                <w:highlight w:val="none"/>
              </w:rPr>
            </w:pPr>
          </w:p>
        </w:tc>
        <w:tc>
          <w:tcPr>
            <w:tcW w:w="900" w:type="dxa"/>
            <w:vAlign w:val="center"/>
          </w:tcPr>
          <w:p>
            <w:pPr>
              <w:spacing w:line="360" w:lineRule="auto"/>
              <w:ind w:firstLine="420" w:firstLineChars="200"/>
              <w:rPr>
                <w:rFonts w:ascii="宋体" w:hAnsi="宋体" w:cs="宋体"/>
                <w:color w:val="auto"/>
                <w:szCs w:val="21"/>
                <w:highlight w:val="none"/>
              </w:rPr>
            </w:pPr>
          </w:p>
        </w:tc>
        <w:tc>
          <w:tcPr>
            <w:tcW w:w="1319" w:type="dxa"/>
            <w:vAlign w:val="center"/>
          </w:tcPr>
          <w:p>
            <w:pPr>
              <w:spacing w:line="360" w:lineRule="auto"/>
              <w:ind w:firstLine="420" w:firstLineChars="200"/>
              <w:rPr>
                <w:rFonts w:ascii="宋体" w:hAnsi="宋体" w:cs="宋体"/>
                <w:color w:val="auto"/>
                <w:szCs w:val="21"/>
                <w:highlight w:val="none"/>
              </w:rPr>
            </w:pPr>
          </w:p>
        </w:tc>
        <w:tc>
          <w:tcPr>
            <w:tcW w:w="682" w:type="dxa"/>
            <w:vAlign w:val="center"/>
          </w:tcPr>
          <w:p>
            <w:pPr>
              <w:spacing w:line="360" w:lineRule="auto"/>
              <w:ind w:firstLine="420" w:firstLineChars="200"/>
              <w:rPr>
                <w:rFonts w:ascii="宋体" w:hAnsi="宋体" w:cs="宋体"/>
                <w:color w:val="auto"/>
                <w:szCs w:val="21"/>
                <w:highlight w:val="none"/>
              </w:rPr>
            </w:pPr>
          </w:p>
        </w:tc>
        <w:tc>
          <w:tcPr>
            <w:tcW w:w="709" w:type="dxa"/>
            <w:vAlign w:val="center"/>
          </w:tcPr>
          <w:p>
            <w:pPr>
              <w:spacing w:line="360" w:lineRule="auto"/>
              <w:ind w:firstLine="420" w:firstLineChars="200"/>
              <w:rPr>
                <w:rFonts w:ascii="宋体" w:hAnsi="宋体" w:cs="宋体"/>
                <w:color w:val="auto"/>
                <w:szCs w:val="21"/>
                <w:highlight w:val="none"/>
              </w:rPr>
            </w:pPr>
          </w:p>
        </w:tc>
        <w:tc>
          <w:tcPr>
            <w:tcW w:w="877" w:type="dxa"/>
            <w:vAlign w:val="center"/>
          </w:tcPr>
          <w:p>
            <w:pPr>
              <w:spacing w:line="360" w:lineRule="auto"/>
              <w:ind w:firstLine="420" w:firstLineChars="200"/>
              <w:rPr>
                <w:rFonts w:ascii="宋体" w:hAnsi="宋体" w:cs="宋体"/>
                <w:color w:val="auto"/>
                <w:szCs w:val="21"/>
                <w:highlight w:val="none"/>
              </w:rPr>
            </w:pPr>
          </w:p>
        </w:tc>
        <w:tc>
          <w:tcPr>
            <w:tcW w:w="800" w:type="dxa"/>
            <w:vAlign w:val="center"/>
          </w:tcPr>
          <w:p>
            <w:pPr>
              <w:spacing w:line="360" w:lineRule="auto"/>
              <w:ind w:firstLine="420" w:firstLineChars="200"/>
              <w:rPr>
                <w:rFonts w:ascii="宋体" w:hAnsi="宋体" w:cs="宋体"/>
                <w:color w:val="auto"/>
                <w:szCs w:val="21"/>
                <w:highlight w:val="none"/>
              </w:rPr>
            </w:pPr>
          </w:p>
        </w:tc>
        <w:tc>
          <w:tcPr>
            <w:tcW w:w="850" w:type="dxa"/>
            <w:vAlign w:val="center"/>
          </w:tcPr>
          <w:p>
            <w:pPr>
              <w:spacing w:line="360" w:lineRule="auto"/>
              <w:ind w:firstLine="420" w:firstLineChars="200"/>
              <w:rPr>
                <w:rFonts w:ascii="宋体" w:hAnsi="宋体" w:cs="宋体"/>
                <w:color w:val="auto"/>
                <w:szCs w:val="21"/>
                <w:highlight w:val="none"/>
              </w:rPr>
            </w:pPr>
          </w:p>
        </w:tc>
        <w:tc>
          <w:tcPr>
            <w:tcW w:w="709" w:type="dxa"/>
            <w:vAlign w:val="center"/>
          </w:tcPr>
          <w:p>
            <w:pPr>
              <w:spacing w:line="360" w:lineRule="auto"/>
              <w:ind w:firstLine="420" w:firstLineChars="200"/>
              <w:rPr>
                <w:rFonts w:ascii="宋体" w:hAnsi="宋体" w:cs="宋体"/>
                <w:color w:val="auto"/>
                <w:szCs w:val="21"/>
                <w:highlight w:val="none"/>
              </w:rPr>
            </w:pPr>
          </w:p>
        </w:tc>
        <w:tc>
          <w:tcPr>
            <w:tcW w:w="709" w:type="dxa"/>
            <w:vAlign w:val="center"/>
          </w:tcPr>
          <w:p>
            <w:pPr>
              <w:spacing w:line="360" w:lineRule="auto"/>
              <w:ind w:firstLine="420" w:firstLineChars="200"/>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s="宋体"/>
                <w:color w:val="auto"/>
                <w:szCs w:val="21"/>
                <w:highlight w:val="none"/>
              </w:rPr>
            </w:pPr>
          </w:p>
        </w:tc>
        <w:tc>
          <w:tcPr>
            <w:tcW w:w="900" w:type="dxa"/>
            <w:vAlign w:val="center"/>
          </w:tcPr>
          <w:p>
            <w:pPr>
              <w:spacing w:line="360" w:lineRule="auto"/>
              <w:ind w:firstLine="420" w:firstLineChars="200"/>
              <w:rPr>
                <w:rFonts w:ascii="宋体" w:hAnsi="宋体" w:cs="宋体"/>
                <w:color w:val="auto"/>
                <w:szCs w:val="21"/>
                <w:highlight w:val="none"/>
              </w:rPr>
            </w:pPr>
          </w:p>
        </w:tc>
        <w:tc>
          <w:tcPr>
            <w:tcW w:w="1319" w:type="dxa"/>
            <w:vAlign w:val="center"/>
          </w:tcPr>
          <w:p>
            <w:pPr>
              <w:spacing w:line="360" w:lineRule="auto"/>
              <w:ind w:firstLine="420" w:firstLineChars="200"/>
              <w:rPr>
                <w:rFonts w:ascii="宋体" w:hAnsi="宋体" w:cs="宋体"/>
                <w:color w:val="auto"/>
                <w:szCs w:val="21"/>
                <w:highlight w:val="none"/>
              </w:rPr>
            </w:pPr>
          </w:p>
        </w:tc>
        <w:tc>
          <w:tcPr>
            <w:tcW w:w="682" w:type="dxa"/>
            <w:vAlign w:val="center"/>
          </w:tcPr>
          <w:p>
            <w:pPr>
              <w:spacing w:line="360" w:lineRule="auto"/>
              <w:ind w:firstLine="420" w:firstLineChars="200"/>
              <w:rPr>
                <w:rFonts w:ascii="宋体" w:hAnsi="宋体" w:cs="宋体"/>
                <w:color w:val="auto"/>
                <w:szCs w:val="21"/>
                <w:highlight w:val="none"/>
              </w:rPr>
            </w:pPr>
          </w:p>
        </w:tc>
        <w:tc>
          <w:tcPr>
            <w:tcW w:w="709" w:type="dxa"/>
            <w:vAlign w:val="center"/>
          </w:tcPr>
          <w:p>
            <w:pPr>
              <w:spacing w:line="360" w:lineRule="auto"/>
              <w:ind w:firstLine="420" w:firstLineChars="200"/>
              <w:rPr>
                <w:rFonts w:ascii="宋体" w:hAnsi="宋体" w:cs="宋体"/>
                <w:color w:val="auto"/>
                <w:szCs w:val="21"/>
                <w:highlight w:val="none"/>
              </w:rPr>
            </w:pPr>
          </w:p>
        </w:tc>
        <w:tc>
          <w:tcPr>
            <w:tcW w:w="877" w:type="dxa"/>
            <w:vAlign w:val="center"/>
          </w:tcPr>
          <w:p>
            <w:pPr>
              <w:spacing w:line="360" w:lineRule="auto"/>
              <w:ind w:firstLine="420" w:firstLineChars="200"/>
              <w:rPr>
                <w:rFonts w:ascii="宋体" w:hAnsi="宋体" w:cs="宋体"/>
                <w:color w:val="auto"/>
                <w:szCs w:val="21"/>
                <w:highlight w:val="none"/>
              </w:rPr>
            </w:pPr>
          </w:p>
        </w:tc>
        <w:tc>
          <w:tcPr>
            <w:tcW w:w="800" w:type="dxa"/>
            <w:vAlign w:val="center"/>
          </w:tcPr>
          <w:p>
            <w:pPr>
              <w:spacing w:line="360" w:lineRule="auto"/>
              <w:ind w:firstLine="420" w:firstLineChars="200"/>
              <w:rPr>
                <w:rFonts w:ascii="宋体" w:hAnsi="宋体" w:cs="宋体"/>
                <w:color w:val="auto"/>
                <w:szCs w:val="21"/>
                <w:highlight w:val="none"/>
              </w:rPr>
            </w:pPr>
          </w:p>
        </w:tc>
        <w:tc>
          <w:tcPr>
            <w:tcW w:w="850" w:type="dxa"/>
            <w:vAlign w:val="center"/>
          </w:tcPr>
          <w:p>
            <w:pPr>
              <w:spacing w:line="360" w:lineRule="auto"/>
              <w:ind w:firstLine="420" w:firstLineChars="200"/>
              <w:rPr>
                <w:rFonts w:ascii="宋体" w:hAnsi="宋体" w:cs="宋体"/>
                <w:color w:val="auto"/>
                <w:szCs w:val="21"/>
                <w:highlight w:val="none"/>
              </w:rPr>
            </w:pPr>
          </w:p>
        </w:tc>
        <w:tc>
          <w:tcPr>
            <w:tcW w:w="709" w:type="dxa"/>
            <w:vAlign w:val="center"/>
          </w:tcPr>
          <w:p>
            <w:pPr>
              <w:spacing w:line="360" w:lineRule="auto"/>
              <w:ind w:firstLine="420" w:firstLineChars="200"/>
              <w:rPr>
                <w:rFonts w:ascii="宋体" w:hAnsi="宋体" w:cs="宋体"/>
                <w:color w:val="auto"/>
                <w:szCs w:val="21"/>
                <w:highlight w:val="none"/>
              </w:rPr>
            </w:pPr>
          </w:p>
        </w:tc>
        <w:tc>
          <w:tcPr>
            <w:tcW w:w="709" w:type="dxa"/>
            <w:vAlign w:val="center"/>
          </w:tcPr>
          <w:p>
            <w:pPr>
              <w:spacing w:line="360" w:lineRule="auto"/>
              <w:ind w:firstLine="420" w:firstLineChars="200"/>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s="宋体"/>
                <w:color w:val="auto"/>
                <w:sz w:val="32"/>
                <w:highlight w:val="none"/>
              </w:rPr>
            </w:pPr>
          </w:p>
        </w:tc>
        <w:tc>
          <w:tcPr>
            <w:tcW w:w="900" w:type="dxa"/>
            <w:vAlign w:val="center"/>
          </w:tcPr>
          <w:p>
            <w:pPr>
              <w:spacing w:line="360" w:lineRule="auto"/>
              <w:ind w:firstLine="640" w:firstLineChars="200"/>
              <w:rPr>
                <w:rFonts w:ascii="宋体" w:hAnsi="宋体" w:cs="宋体"/>
                <w:color w:val="auto"/>
                <w:sz w:val="32"/>
                <w:highlight w:val="none"/>
              </w:rPr>
            </w:pPr>
          </w:p>
        </w:tc>
        <w:tc>
          <w:tcPr>
            <w:tcW w:w="1319" w:type="dxa"/>
            <w:vAlign w:val="center"/>
          </w:tcPr>
          <w:p>
            <w:pPr>
              <w:spacing w:line="360" w:lineRule="auto"/>
              <w:ind w:firstLine="640" w:firstLineChars="200"/>
              <w:rPr>
                <w:rFonts w:ascii="宋体" w:hAnsi="宋体" w:cs="宋体"/>
                <w:color w:val="auto"/>
                <w:sz w:val="32"/>
                <w:highlight w:val="none"/>
              </w:rPr>
            </w:pPr>
          </w:p>
        </w:tc>
        <w:tc>
          <w:tcPr>
            <w:tcW w:w="682"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877" w:type="dxa"/>
            <w:vAlign w:val="center"/>
          </w:tcPr>
          <w:p>
            <w:pPr>
              <w:spacing w:line="360" w:lineRule="auto"/>
              <w:ind w:firstLine="640" w:firstLineChars="200"/>
              <w:rPr>
                <w:rFonts w:ascii="宋体" w:hAnsi="宋体" w:cs="宋体"/>
                <w:color w:val="auto"/>
                <w:sz w:val="32"/>
                <w:highlight w:val="none"/>
              </w:rPr>
            </w:pPr>
          </w:p>
        </w:tc>
        <w:tc>
          <w:tcPr>
            <w:tcW w:w="800" w:type="dxa"/>
            <w:vAlign w:val="center"/>
          </w:tcPr>
          <w:p>
            <w:pPr>
              <w:spacing w:line="360" w:lineRule="auto"/>
              <w:ind w:firstLine="640" w:firstLineChars="200"/>
              <w:rPr>
                <w:rFonts w:ascii="宋体" w:hAnsi="宋体" w:cs="宋体"/>
                <w:color w:val="auto"/>
                <w:sz w:val="32"/>
                <w:highlight w:val="none"/>
              </w:rPr>
            </w:pPr>
          </w:p>
        </w:tc>
        <w:tc>
          <w:tcPr>
            <w:tcW w:w="850"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c>
          <w:tcPr>
            <w:tcW w:w="709" w:type="dxa"/>
            <w:vAlign w:val="center"/>
          </w:tcPr>
          <w:p>
            <w:pPr>
              <w:spacing w:line="360" w:lineRule="auto"/>
              <w:ind w:firstLine="640" w:firstLineChars="200"/>
              <w:rPr>
                <w:rFonts w:ascii="宋体" w:hAnsi="宋体" w:cs="宋体"/>
                <w:color w:val="auto"/>
                <w:sz w:val="32"/>
                <w:highlight w:val="none"/>
              </w:rPr>
            </w:pPr>
          </w:p>
        </w:tc>
      </w:tr>
    </w:tbl>
    <w:p>
      <w:pPr>
        <w:spacing w:line="360" w:lineRule="auto"/>
        <w:ind w:firstLine="643" w:firstLineChars="200"/>
        <w:rPr>
          <w:rFonts w:ascii="宋体" w:hAnsi="宋体" w:cs="宋体"/>
          <w:b/>
          <w:color w:val="auto"/>
          <w:sz w:val="32"/>
          <w:highlight w:val="none"/>
        </w:rPr>
      </w:pPr>
    </w:p>
    <w:p>
      <w:pPr>
        <w:rPr>
          <w:rFonts w:ascii="宋体" w:hAnsi="宋体" w:cs="宋体"/>
          <w:color w:val="auto"/>
          <w:sz w:val="28"/>
          <w:szCs w:val="28"/>
          <w:highlight w:val="none"/>
        </w:rPr>
      </w:pPr>
      <w:r>
        <w:rPr>
          <w:rFonts w:hint="eastAsia" w:ascii="宋体" w:hAnsi="宋体" w:cs="宋体"/>
          <w:color w:val="auto"/>
          <w:sz w:val="28"/>
          <w:szCs w:val="28"/>
          <w:highlight w:val="none"/>
        </w:rPr>
        <w:br w:type="page"/>
      </w:r>
    </w:p>
    <w:p>
      <w:pPr>
        <w:spacing w:line="360" w:lineRule="auto"/>
        <w:rPr>
          <w:rFonts w:ascii="宋体" w:hAnsi="宋体" w:cs="宋体"/>
          <w:color w:val="auto"/>
          <w:sz w:val="28"/>
          <w:szCs w:val="28"/>
          <w:highlight w:val="none"/>
        </w:rPr>
      </w:pPr>
      <w:r>
        <w:rPr>
          <w:rFonts w:hint="eastAsia" w:ascii="宋体" w:hAnsi="宋体" w:cs="宋体"/>
          <w:color w:val="auto"/>
          <w:sz w:val="28"/>
          <w:szCs w:val="28"/>
          <w:highlight w:val="none"/>
        </w:rPr>
        <w:t>附件2：</w:t>
      </w:r>
    </w:p>
    <w:p>
      <w:pPr>
        <w:spacing w:line="360" w:lineRule="auto"/>
        <w:jc w:val="center"/>
        <w:rPr>
          <w:rFonts w:ascii="宋体" w:hAnsi="宋体" w:cs="宋体"/>
          <w:color w:val="auto"/>
          <w:sz w:val="28"/>
          <w:szCs w:val="28"/>
          <w:highlight w:val="none"/>
        </w:rPr>
      </w:pPr>
      <w:r>
        <w:rPr>
          <w:rFonts w:hint="eastAsia" w:ascii="宋体" w:hAnsi="宋体" w:cs="宋体"/>
          <w:color w:val="auto"/>
          <w:sz w:val="28"/>
          <w:szCs w:val="28"/>
          <w:highlight w:val="none"/>
        </w:rPr>
        <w:t>主要材料设备一览表</w:t>
      </w:r>
    </w:p>
    <w:tbl>
      <w:tblPr>
        <w:tblStyle w:val="4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46"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材料</w:t>
            </w:r>
          </w:p>
          <w:p>
            <w:pPr>
              <w:jc w:val="center"/>
              <w:rPr>
                <w:rFonts w:ascii="宋体" w:hAnsi="宋体" w:cs="宋体"/>
                <w:color w:val="auto"/>
                <w:szCs w:val="21"/>
                <w:highlight w:val="none"/>
              </w:rPr>
            </w:pPr>
            <w:r>
              <w:rPr>
                <w:rFonts w:hint="eastAsia" w:ascii="宋体" w:hAnsi="宋体" w:cs="宋体"/>
                <w:color w:val="auto"/>
                <w:szCs w:val="21"/>
                <w:highlight w:val="none"/>
              </w:rPr>
              <w:t>设备</w:t>
            </w:r>
          </w:p>
          <w:p>
            <w:pPr>
              <w:jc w:val="center"/>
              <w:rPr>
                <w:rFonts w:ascii="宋体" w:hAnsi="宋体" w:cs="宋体"/>
                <w:color w:val="auto"/>
                <w:szCs w:val="21"/>
                <w:highlight w:val="none"/>
              </w:rPr>
            </w:pPr>
            <w:r>
              <w:rPr>
                <w:rFonts w:hint="eastAsia" w:ascii="宋体" w:hAnsi="宋体" w:cs="宋体"/>
                <w:color w:val="auto"/>
                <w:szCs w:val="21"/>
                <w:highlight w:val="none"/>
              </w:rPr>
              <w:t>品种</w:t>
            </w:r>
          </w:p>
        </w:tc>
        <w:tc>
          <w:tcPr>
            <w:tcW w:w="851"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规格</w:t>
            </w:r>
          </w:p>
          <w:p>
            <w:pPr>
              <w:jc w:val="center"/>
              <w:rPr>
                <w:rFonts w:ascii="宋体" w:hAnsi="宋体" w:cs="宋体"/>
                <w:color w:val="auto"/>
                <w:szCs w:val="21"/>
                <w:highlight w:val="none"/>
              </w:rPr>
            </w:pPr>
            <w:r>
              <w:rPr>
                <w:rFonts w:hint="eastAsia" w:ascii="宋体" w:hAnsi="宋体" w:cs="宋体"/>
                <w:color w:val="auto"/>
                <w:szCs w:val="21"/>
                <w:highlight w:val="none"/>
              </w:rPr>
              <w:t>型号</w:t>
            </w:r>
          </w:p>
        </w:tc>
        <w:tc>
          <w:tcPr>
            <w:tcW w:w="708"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单位</w:t>
            </w:r>
          </w:p>
        </w:tc>
        <w:tc>
          <w:tcPr>
            <w:tcW w:w="810"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851"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单价</w:t>
            </w:r>
          </w:p>
        </w:tc>
        <w:tc>
          <w:tcPr>
            <w:tcW w:w="736"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质量等级</w:t>
            </w:r>
          </w:p>
        </w:tc>
        <w:tc>
          <w:tcPr>
            <w:tcW w:w="910"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供应</w:t>
            </w:r>
          </w:p>
          <w:p>
            <w:pPr>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1088"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送达</w:t>
            </w:r>
          </w:p>
          <w:p>
            <w:pPr>
              <w:jc w:val="center"/>
              <w:rPr>
                <w:rFonts w:ascii="宋体" w:hAnsi="宋体" w:cs="宋体"/>
                <w:color w:val="auto"/>
                <w:szCs w:val="21"/>
                <w:highlight w:val="none"/>
              </w:rPr>
            </w:pPr>
            <w:r>
              <w:rPr>
                <w:rFonts w:hint="eastAsia" w:ascii="宋体" w:hAnsi="宋体" w:cs="宋体"/>
                <w:color w:val="auto"/>
                <w:szCs w:val="21"/>
                <w:highlight w:val="none"/>
              </w:rPr>
              <w:t>地点</w:t>
            </w:r>
          </w:p>
        </w:tc>
        <w:tc>
          <w:tcPr>
            <w:tcW w:w="878" w:type="dxa"/>
            <w:vAlign w:val="center"/>
          </w:tcPr>
          <w:p>
            <w:pPr>
              <w:jc w:val="center"/>
              <w:rPr>
                <w:rFonts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ascii="宋体" w:hAnsi="宋体" w:cs="宋体"/>
                <w:color w:val="auto"/>
                <w:sz w:val="40"/>
                <w:szCs w:val="32"/>
                <w:highlight w:val="none"/>
              </w:rPr>
            </w:pPr>
          </w:p>
        </w:tc>
        <w:tc>
          <w:tcPr>
            <w:tcW w:w="1446"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08" w:type="dxa"/>
            <w:vAlign w:val="center"/>
          </w:tcPr>
          <w:p>
            <w:pPr>
              <w:spacing w:line="360" w:lineRule="auto"/>
              <w:ind w:firstLine="800" w:firstLineChars="200"/>
              <w:rPr>
                <w:rFonts w:ascii="宋体" w:hAnsi="宋体" w:cs="宋体"/>
                <w:color w:val="auto"/>
                <w:sz w:val="40"/>
                <w:szCs w:val="32"/>
                <w:highlight w:val="none"/>
              </w:rPr>
            </w:pPr>
          </w:p>
        </w:tc>
        <w:tc>
          <w:tcPr>
            <w:tcW w:w="810" w:type="dxa"/>
            <w:vAlign w:val="center"/>
          </w:tcPr>
          <w:p>
            <w:pPr>
              <w:spacing w:line="360" w:lineRule="auto"/>
              <w:ind w:firstLine="800" w:firstLineChars="200"/>
              <w:rPr>
                <w:rFonts w:ascii="宋体" w:hAnsi="宋体" w:cs="宋体"/>
                <w:color w:val="auto"/>
                <w:sz w:val="40"/>
                <w:szCs w:val="32"/>
                <w:highlight w:val="none"/>
              </w:rPr>
            </w:pPr>
          </w:p>
        </w:tc>
        <w:tc>
          <w:tcPr>
            <w:tcW w:w="851" w:type="dxa"/>
            <w:vAlign w:val="center"/>
          </w:tcPr>
          <w:p>
            <w:pPr>
              <w:spacing w:line="360" w:lineRule="auto"/>
              <w:ind w:firstLine="800" w:firstLineChars="200"/>
              <w:rPr>
                <w:rFonts w:ascii="宋体" w:hAnsi="宋体" w:cs="宋体"/>
                <w:color w:val="auto"/>
                <w:sz w:val="40"/>
                <w:szCs w:val="32"/>
                <w:highlight w:val="none"/>
              </w:rPr>
            </w:pPr>
          </w:p>
        </w:tc>
        <w:tc>
          <w:tcPr>
            <w:tcW w:w="736" w:type="dxa"/>
            <w:vAlign w:val="center"/>
          </w:tcPr>
          <w:p>
            <w:pPr>
              <w:spacing w:line="360" w:lineRule="auto"/>
              <w:ind w:firstLine="800" w:firstLineChars="200"/>
              <w:rPr>
                <w:rFonts w:ascii="宋体" w:hAnsi="宋体" w:cs="宋体"/>
                <w:color w:val="auto"/>
                <w:sz w:val="40"/>
                <w:szCs w:val="32"/>
                <w:highlight w:val="none"/>
              </w:rPr>
            </w:pPr>
          </w:p>
        </w:tc>
        <w:tc>
          <w:tcPr>
            <w:tcW w:w="910" w:type="dxa"/>
            <w:vAlign w:val="center"/>
          </w:tcPr>
          <w:p>
            <w:pPr>
              <w:spacing w:line="360" w:lineRule="auto"/>
              <w:ind w:firstLine="800" w:firstLineChars="200"/>
              <w:rPr>
                <w:rFonts w:ascii="宋体" w:hAnsi="宋体" w:cs="宋体"/>
                <w:color w:val="auto"/>
                <w:sz w:val="40"/>
                <w:szCs w:val="32"/>
                <w:highlight w:val="none"/>
              </w:rPr>
            </w:pPr>
          </w:p>
        </w:tc>
        <w:tc>
          <w:tcPr>
            <w:tcW w:w="1088" w:type="dxa"/>
            <w:vAlign w:val="center"/>
          </w:tcPr>
          <w:p>
            <w:pPr>
              <w:spacing w:line="360" w:lineRule="auto"/>
              <w:ind w:firstLine="800" w:firstLineChars="200"/>
              <w:rPr>
                <w:rFonts w:ascii="宋体" w:hAnsi="宋体" w:cs="宋体"/>
                <w:color w:val="auto"/>
                <w:sz w:val="40"/>
                <w:szCs w:val="32"/>
                <w:highlight w:val="none"/>
              </w:rPr>
            </w:pPr>
          </w:p>
        </w:tc>
        <w:tc>
          <w:tcPr>
            <w:tcW w:w="878" w:type="dxa"/>
            <w:vAlign w:val="center"/>
          </w:tcPr>
          <w:p>
            <w:pPr>
              <w:spacing w:line="360" w:lineRule="auto"/>
              <w:ind w:firstLine="800" w:firstLineChars="200"/>
              <w:rPr>
                <w:rFonts w:ascii="宋体" w:hAnsi="宋体" w:cs="宋体"/>
                <w:color w:val="auto"/>
                <w:sz w:val="40"/>
                <w:szCs w:val="32"/>
                <w:highlight w:val="none"/>
              </w:rPr>
            </w:pPr>
          </w:p>
        </w:tc>
      </w:tr>
    </w:tbl>
    <w:p>
      <w:pPr>
        <w:spacing w:line="360" w:lineRule="auto"/>
        <w:rPr>
          <w:rFonts w:ascii="宋体" w:hAnsi="宋体" w:cs="宋体"/>
          <w:color w:val="auto"/>
          <w:sz w:val="28"/>
          <w:szCs w:val="28"/>
          <w:highlight w:val="none"/>
        </w:rPr>
      </w:pPr>
      <w:r>
        <w:rPr>
          <w:rFonts w:hint="eastAsia" w:ascii="宋体" w:hAnsi="宋体" w:cs="宋体"/>
          <w:color w:val="auto"/>
          <w:sz w:val="28"/>
          <w:szCs w:val="28"/>
          <w:highlight w:val="none"/>
        </w:rPr>
        <w:t>附件3：</w:t>
      </w:r>
    </w:p>
    <w:p>
      <w:pPr>
        <w:spacing w:line="360" w:lineRule="auto"/>
        <w:rPr>
          <w:rFonts w:ascii="宋体" w:hAnsi="宋体" w:cs="宋体"/>
          <w:b/>
          <w:bCs/>
          <w:color w:val="auto"/>
          <w:sz w:val="32"/>
          <w:highlight w:val="none"/>
        </w:rPr>
      </w:pPr>
    </w:p>
    <w:p>
      <w:pPr>
        <w:spacing w:line="360" w:lineRule="auto"/>
        <w:jc w:val="center"/>
        <w:rPr>
          <w:rFonts w:ascii="宋体" w:hAnsi="宋体" w:cs="宋体"/>
          <w:bCs/>
          <w:color w:val="auto"/>
          <w:sz w:val="36"/>
          <w:szCs w:val="36"/>
          <w:highlight w:val="none"/>
        </w:rPr>
      </w:pPr>
      <w:r>
        <w:rPr>
          <w:rFonts w:hint="eastAsia" w:ascii="宋体" w:hAnsi="宋体" w:cs="宋体"/>
          <w:bCs/>
          <w:color w:val="auto"/>
          <w:sz w:val="36"/>
          <w:szCs w:val="36"/>
          <w:highlight w:val="none"/>
        </w:rPr>
        <w:t>工程质量保修书</w:t>
      </w:r>
    </w:p>
    <w:p>
      <w:pPr>
        <w:spacing w:line="360" w:lineRule="auto"/>
        <w:ind w:firstLine="361" w:firstLineChars="200"/>
        <w:rPr>
          <w:rFonts w:ascii="宋体" w:hAnsi="宋体" w:cs="宋体"/>
          <w:b/>
          <w:bCs/>
          <w:color w:val="auto"/>
          <w:sz w:val="18"/>
          <w:szCs w:val="18"/>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发包人（全称）：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承包人（全称）：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pPr>
        <w:ind w:firstLine="422" w:firstLineChars="200"/>
        <w:rPr>
          <w:rFonts w:ascii="宋体" w:hAnsi="宋体" w:cs="宋体"/>
          <w:b/>
          <w:color w:val="auto"/>
          <w:szCs w:val="21"/>
          <w:highlight w:val="none"/>
        </w:rPr>
      </w:pPr>
      <w:r>
        <w:rPr>
          <w:rFonts w:hint="eastAsia" w:ascii="宋体" w:hAnsi="宋体" w:cs="宋体"/>
          <w:b/>
          <w:color w:val="auto"/>
          <w:szCs w:val="21"/>
          <w:highlight w:val="none"/>
        </w:rPr>
        <w:t>一、工程质量保修范围和内容</w:t>
      </w:r>
    </w:p>
    <w:p>
      <w:pPr>
        <w:spacing w:line="44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22" w:firstLineChars="200"/>
        <w:rPr>
          <w:rFonts w:ascii="宋体" w:hAnsi="宋体" w:cs="宋体"/>
          <w:b/>
          <w:color w:val="auto"/>
          <w:szCs w:val="21"/>
          <w:highlight w:val="none"/>
        </w:rPr>
      </w:pPr>
      <w:r>
        <w:rPr>
          <w:rFonts w:hint="eastAsia" w:ascii="宋体" w:hAnsi="宋体" w:cs="宋体"/>
          <w:b/>
          <w:color w:val="auto"/>
          <w:szCs w:val="21"/>
          <w:highlight w:val="none"/>
        </w:rPr>
        <w:t>二、质量保修期</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质量保修期从工程实际竣工之日算起。分单项竣工验收的工程，按单项工程分别计算质量保修期。</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质量保修期自竣工验收合格之日起计算。</w:t>
      </w:r>
    </w:p>
    <w:p>
      <w:pPr>
        <w:ind w:firstLine="422" w:firstLineChars="200"/>
        <w:rPr>
          <w:rFonts w:ascii="宋体" w:hAnsi="宋体" w:cs="宋体"/>
          <w:b/>
          <w:color w:val="auto"/>
          <w:szCs w:val="21"/>
          <w:highlight w:val="none"/>
        </w:rPr>
      </w:pPr>
      <w:r>
        <w:rPr>
          <w:rFonts w:hint="eastAsia" w:ascii="宋体" w:hAnsi="宋体" w:cs="宋体"/>
          <w:b/>
          <w:color w:val="auto"/>
          <w:szCs w:val="21"/>
          <w:highlight w:val="none"/>
        </w:rPr>
        <w:t>三、质量保修责任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3、在保修期内，无论发包方是否进入、占用或使用本工程，承包方均应继续承担合同中规定的责任及义务，直到合同终止。</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5、监理单位在工程质量保修期内的工作</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①、执行监理合同的约定，监督、检查承包方的工作，发现承包方未履行保修义务，除书面通知承包方，还应书面上报发包方。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②、审批承包方编制的工程质量缺陷修整方案。</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③、承包方完成工程质量缺陷的修整后，组织有关部门进行验收，并将结果书面上报发包方。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6、质量保修完成后，由发包人组织验收。</w:t>
      </w:r>
    </w:p>
    <w:p>
      <w:pPr>
        <w:ind w:firstLine="422" w:firstLineChars="200"/>
        <w:rPr>
          <w:rFonts w:ascii="宋体" w:hAnsi="宋体" w:cs="宋体"/>
          <w:b/>
          <w:color w:val="auto"/>
          <w:szCs w:val="21"/>
          <w:highlight w:val="none"/>
        </w:rPr>
      </w:pPr>
      <w:r>
        <w:rPr>
          <w:rFonts w:hint="eastAsia" w:ascii="宋体" w:hAnsi="宋体" w:cs="宋体"/>
          <w:b/>
          <w:color w:val="auto"/>
          <w:szCs w:val="21"/>
          <w:highlight w:val="none"/>
        </w:rPr>
        <w:t>四、保修费用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保修费用由造成质量缺陷的责任方承担。</w:t>
      </w:r>
    </w:p>
    <w:p>
      <w:pPr>
        <w:ind w:firstLine="422" w:firstLineChars="200"/>
        <w:rPr>
          <w:rFonts w:ascii="宋体" w:hAnsi="宋体" w:cs="宋体"/>
          <w:b/>
          <w:color w:val="auto"/>
          <w:szCs w:val="21"/>
          <w:highlight w:val="none"/>
        </w:rPr>
      </w:pPr>
      <w:r>
        <w:rPr>
          <w:rFonts w:hint="eastAsia" w:ascii="宋体" w:hAnsi="宋体" w:cs="宋体"/>
          <w:b/>
          <w:color w:val="auto"/>
          <w:szCs w:val="21"/>
          <w:highlight w:val="none"/>
        </w:rPr>
        <w:t>五、其他</w:t>
      </w:r>
    </w:p>
    <w:p>
      <w:pPr>
        <w:spacing w:line="44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双方约定的其他工程质量保修事项：</w:t>
      </w:r>
      <w:r>
        <w:rPr>
          <w:rFonts w:hint="eastAsia" w:ascii="宋体" w:hAnsi="宋体" w:cs="宋体"/>
          <w:color w:val="auto"/>
          <w:szCs w:val="21"/>
          <w:highlight w:val="none"/>
          <w:u w:val="single"/>
        </w:rPr>
        <w:t>若承包方不能按期约定期限内履行保修责任，发包方有权自行维修，所产生的费用从质量保证金中扣除。</w:t>
      </w:r>
    </w:p>
    <w:p>
      <w:pPr>
        <w:spacing w:line="44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本工程质量保修书，由施工合同发包人、承包人双方在竣工验收前共同签署，作为施工合同附件，其有效期限至保修期满。</w:t>
      </w: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发包人（公章）：                       承包人（公章）：</w:t>
      </w: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法定代表人或                           法定代表人或</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委托代理人（签字）：                    委托代理人（签字）：</w:t>
      </w:r>
    </w:p>
    <w:p>
      <w:pPr>
        <w:spacing w:line="360" w:lineRule="auto"/>
        <w:ind w:firstLine="420" w:firstLineChars="200"/>
        <w:rPr>
          <w:rFonts w:ascii="宋体" w:hAnsi="宋体" w:cs="宋体"/>
          <w:color w:val="auto"/>
          <w:szCs w:val="21"/>
          <w:highlight w:val="none"/>
        </w:rPr>
      </w:pPr>
    </w:p>
    <w:p>
      <w:pPr>
        <w:spacing w:line="360" w:lineRule="auto"/>
        <w:ind w:firstLine="1785" w:firstLineChars="850"/>
        <w:rPr>
          <w:rFonts w:ascii="宋体" w:hAnsi="宋体" w:cs="宋体"/>
          <w:color w:val="auto"/>
          <w:highlight w:val="none"/>
        </w:rPr>
      </w:pPr>
      <w:r>
        <w:rPr>
          <w:rFonts w:hint="eastAsia" w:ascii="宋体" w:hAnsi="宋体" w:cs="宋体"/>
          <w:color w:val="auto"/>
          <w:szCs w:val="21"/>
          <w:highlight w:val="none"/>
        </w:rPr>
        <w:t>年   月   日                         年   月   日</w:t>
      </w:r>
    </w:p>
    <w:p>
      <w:pPr>
        <w:ind w:firstLine="420" w:firstLineChars="200"/>
        <w:rPr>
          <w:rFonts w:ascii="宋体" w:hAnsi="宋体" w:cs="宋体"/>
          <w:color w:val="auto"/>
          <w:highlight w:val="none"/>
        </w:rPr>
      </w:pPr>
    </w:p>
    <w:p>
      <w:pPr>
        <w:ind w:firstLine="643" w:firstLineChars="200"/>
        <w:rPr>
          <w:rFonts w:ascii="宋体" w:hAnsi="宋体" w:cs="宋体"/>
          <w:b/>
          <w:color w:val="auto"/>
          <w:kern w:val="44"/>
          <w:sz w:val="32"/>
          <w:szCs w:val="44"/>
          <w:highlight w:val="none"/>
        </w:rPr>
      </w:pPr>
    </w:p>
    <w:p>
      <w:pPr>
        <w:pStyle w:val="56"/>
        <w:ind w:firstLine="321"/>
        <w:rPr>
          <w:rFonts w:ascii="宋体" w:hAnsi="宋体" w:cs="宋体"/>
          <w:b/>
          <w:color w:val="auto"/>
          <w:kern w:val="44"/>
          <w:sz w:val="32"/>
          <w:szCs w:val="44"/>
          <w:highlight w:val="none"/>
        </w:rPr>
      </w:pPr>
    </w:p>
    <w:p>
      <w:pPr>
        <w:pStyle w:val="56"/>
        <w:ind w:firstLine="321"/>
        <w:rPr>
          <w:rFonts w:ascii="宋体" w:hAnsi="宋体" w:cs="宋体"/>
          <w:b/>
          <w:color w:val="auto"/>
          <w:kern w:val="44"/>
          <w:sz w:val="32"/>
          <w:szCs w:val="44"/>
          <w:highlight w:val="none"/>
        </w:rPr>
      </w:pPr>
    </w:p>
    <w:p>
      <w:pPr>
        <w:ind w:firstLine="643" w:firstLineChars="200"/>
        <w:rPr>
          <w:rFonts w:ascii="宋体" w:hAnsi="宋体" w:cs="宋体"/>
          <w:b/>
          <w:color w:val="auto"/>
          <w:kern w:val="44"/>
          <w:sz w:val="32"/>
          <w:szCs w:val="44"/>
          <w:highlight w:val="none"/>
        </w:rPr>
      </w:pPr>
    </w:p>
    <w:p>
      <w:pPr>
        <w:ind w:firstLine="643" w:firstLineChars="200"/>
        <w:rPr>
          <w:rFonts w:ascii="宋体" w:hAnsi="宋体" w:cs="宋体"/>
          <w:b/>
          <w:color w:val="auto"/>
          <w:kern w:val="44"/>
          <w:sz w:val="32"/>
          <w:szCs w:val="44"/>
          <w:highlight w:val="none"/>
        </w:rPr>
      </w:pPr>
    </w:p>
    <w:p>
      <w:pPr>
        <w:ind w:firstLine="643" w:firstLineChars="200"/>
        <w:rPr>
          <w:rFonts w:ascii="宋体" w:hAnsi="宋体" w:cs="宋体"/>
          <w:b/>
          <w:color w:val="auto"/>
          <w:kern w:val="44"/>
          <w:sz w:val="32"/>
          <w:szCs w:val="44"/>
          <w:highlight w:val="none"/>
        </w:rPr>
      </w:pPr>
    </w:p>
    <w:p>
      <w:pPr>
        <w:ind w:firstLine="643" w:firstLineChars="200"/>
        <w:rPr>
          <w:rFonts w:ascii="宋体" w:hAnsi="宋体" w:cs="宋体"/>
          <w:b/>
          <w:color w:val="auto"/>
          <w:kern w:val="44"/>
          <w:sz w:val="32"/>
          <w:szCs w:val="44"/>
          <w:highlight w:val="none"/>
        </w:rPr>
      </w:pPr>
    </w:p>
    <w:p>
      <w:pPr>
        <w:rPr>
          <w:rFonts w:ascii="宋体" w:hAnsi="宋体" w:cs="宋体"/>
          <w:color w:val="auto"/>
          <w:highlight w:val="none"/>
        </w:rPr>
      </w:pPr>
    </w:p>
    <w:p>
      <w:pPr>
        <w:rPr>
          <w:rFonts w:ascii="宋体" w:hAnsi="宋体" w:cs="宋体"/>
          <w:color w:val="auto"/>
          <w:highlight w:val="none"/>
        </w:rPr>
      </w:pPr>
    </w:p>
    <w:p>
      <w:pPr>
        <w:rPr>
          <w:rFonts w:ascii="宋体" w:hAnsi="宋体" w:cs="宋体"/>
          <w:color w:val="auto"/>
          <w:highlight w:val="none"/>
        </w:rPr>
      </w:pPr>
    </w:p>
    <w:p>
      <w:pPr>
        <w:rPr>
          <w:rFonts w:ascii="宋体" w:hAnsi="宋体" w:cs="宋体"/>
          <w:color w:val="auto"/>
          <w:highlight w:val="none"/>
        </w:rPr>
      </w:pPr>
    </w:p>
    <w:p>
      <w:pPr>
        <w:pStyle w:val="3"/>
        <w:jc w:val="center"/>
        <w:rPr>
          <w:rFonts w:ascii="宋体" w:hAnsi="宋体" w:cs="宋体"/>
          <w:color w:val="auto"/>
          <w:sz w:val="36"/>
          <w:szCs w:val="36"/>
          <w:highlight w:val="none"/>
        </w:rPr>
      </w:pPr>
      <w:bookmarkStart w:id="59" w:name="_Toc27226"/>
      <w:bookmarkStart w:id="60" w:name="_Toc11393"/>
      <w:r>
        <w:rPr>
          <w:rFonts w:hint="eastAsia" w:ascii="宋体" w:hAnsi="宋体" w:cs="宋体"/>
          <w:color w:val="auto"/>
          <w:sz w:val="36"/>
          <w:szCs w:val="36"/>
          <w:highlight w:val="none"/>
        </w:rPr>
        <w:t>第五章 工程量清单</w:t>
      </w:r>
      <w:bookmarkEnd w:id="59"/>
      <w:bookmarkEnd w:id="60"/>
      <w:r>
        <w:rPr>
          <w:rFonts w:hint="eastAsia" w:ascii="宋体" w:hAnsi="宋体" w:cs="宋体"/>
          <w:color w:val="auto"/>
          <w:sz w:val="36"/>
          <w:szCs w:val="36"/>
          <w:highlight w:val="none"/>
        </w:rPr>
        <w:t>（见电子招标文件附件）</w:t>
      </w: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pStyle w:val="3"/>
        <w:jc w:val="center"/>
        <w:rPr>
          <w:rFonts w:ascii="宋体" w:hAnsi="宋体" w:cs="宋体"/>
          <w:color w:val="auto"/>
          <w:sz w:val="36"/>
          <w:szCs w:val="36"/>
          <w:highlight w:val="none"/>
        </w:rPr>
      </w:pPr>
      <w:bookmarkStart w:id="61" w:name="_Toc14385"/>
      <w:bookmarkStart w:id="62" w:name="_Toc30512"/>
      <w:r>
        <w:rPr>
          <w:rFonts w:hint="eastAsia" w:ascii="宋体" w:hAnsi="宋体" w:cs="宋体"/>
          <w:color w:val="auto"/>
          <w:sz w:val="36"/>
          <w:szCs w:val="36"/>
          <w:highlight w:val="none"/>
        </w:rPr>
        <w:t>第六章 图纸</w:t>
      </w:r>
      <w:bookmarkEnd w:id="61"/>
      <w:bookmarkEnd w:id="62"/>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center"/>
        <w:rPr>
          <w:rFonts w:ascii="宋体" w:hAnsi="宋体" w:cs="宋体"/>
          <w:color w:val="auto"/>
          <w:kern w:val="0"/>
          <w:sz w:val="32"/>
          <w:szCs w:val="32"/>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pStyle w:val="3"/>
        <w:jc w:val="center"/>
        <w:rPr>
          <w:rFonts w:ascii="宋体" w:hAnsi="宋体" w:cs="宋体"/>
          <w:color w:val="auto"/>
          <w:sz w:val="36"/>
          <w:szCs w:val="36"/>
          <w:highlight w:val="none"/>
        </w:rPr>
      </w:pPr>
      <w:bookmarkStart w:id="63" w:name="_Toc14891"/>
      <w:bookmarkStart w:id="64" w:name="_Toc16856"/>
      <w:r>
        <w:rPr>
          <w:rFonts w:hint="eastAsia" w:ascii="宋体" w:hAnsi="宋体" w:cs="宋体"/>
          <w:color w:val="auto"/>
          <w:sz w:val="36"/>
          <w:szCs w:val="36"/>
          <w:highlight w:val="none"/>
        </w:rPr>
        <w:t>第七章 技术标准</w:t>
      </w:r>
      <w:bookmarkEnd w:id="63"/>
      <w:bookmarkEnd w:id="64"/>
    </w:p>
    <w:p>
      <w:pPr>
        <w:autoSpaceDE w:val="0"/>
        <w:autoSpaceDN w:val="0"/>
        <w:adjustRightInd w:val="0"/>
        <w:spacing w:line="440" w:lineRule="exact"/>
        <w:ind w:firstLine="700" w:firstLineChars="250"/>
        <w:rPr>
          <w:rFonts w:ascii="宋体" w:hAnsi="宋体" w:cs="宋体"/>
          <w:color w:val="auto"/>
          <w:kern w:val="0"/>
          <w:sz w:val="28"/>
          <w:szCs w:val="28"/>
          <w:highlight w:val="none"/>
        </w:rPr>
      </w:pPr>
      <w:r>
        <w:rPr>
          <w:rFonts w:hint="eastAsia" w:ascii="宋体" w:hAnsi="宋体" w:cs="宋体"/>
          <w:color w:val="auto"/>
          <w:kern w:val="0"/>
          <w:sz w:val="28"/>
          <w:szCs w:val="28"/>
          <w:highlight w:val="none"/>
        </w:rPr>
        <w:t>一、依据设计施工图纸和技术文件要求，本工程项目的材料、设备、施工必须达到以下现行中华人民共和国及省、市、行业的一切有关法规、规范的要求，如下述标准及规范要求有出入则以较严格者为准。</w:t>
      </w: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b/>
          <w:color w:val="auto"/>
          <w:kern w:val="44"/>
          <w:sz w:val="32"/>
          <w:szCs w:val="44"/>
          <w:highlight w:val="none"/>
        </w:rPr>
      </w:pPr>
    </w:p>
    <w:p>
      <w:pPr>
        <w:rPr>
          <w:rFonts w:ascii="宋体" w:hAnsi="宋体" w:cs="宋体"/>
          <w:color w:val="auto"/>
          <w:highlight w:val="none"/>
        </w:rPr>
      </w:pPr>
      <w:bookmarkStart w:id="65" w:name="_Toc22294"/>
      <w:r>
        <w:rPr>
          <w:rFonts w:hint="eastAsia" w:ascii="宋体" w:hAnsi="宋体" w:cs="宋体"/>
          <w:color w:val="auto"/>
          <w:highlight w:val="none"/>
        </w:rPr>
        <w:br w:type="page"/>
      </w:r>
    </w:p>
    <w:p>
      <w:pPr>
        <w:pStyle w:val="3"/>
        <w:jc w:val="center"/>
        <w:rPr>
          <w:rFonts w:ascii="宋体" w:hAnsi="宋体" w:cs="宋体"/>
          <w:color w:val="auto"/>
          <w:highlight w:val="none"/>
        </w:rPr>
      </w:pPr>
      <w:r>
        <w:rPr>
          <w:rFonts w:hint="eastAsia" w:ascii="宋体" w:hAnsi="宋体" w:cs="宋体"/>
          <w:color w:val="auto"/>
          <w:highlight w:val="none"/>
        </w:rPr>
        <w:t>第八章 投标文件格式</w:t>
      </w:r>
      <w:bookmarkEnd w:id="65"/>
    </w:p>
    <w:p>
      <w:pPr>
        <w:autoSpaceDE w:val="0"/>
        <w:autoSpaceDN w:val="0"/>
        <w:adjustRightInd w:val="0"/>
        <w:spacing w:line="360" w:lineRule="auto"/>
        <w:ind w:firstLine="2530" w:firstLineChars="900"/>
        <w:jc w:val="right"/>
        <w:rPr>
          <w:rFonts w:ascii="宋体" w:hAnsi="宋体" w:cs="宋体"/>
          <w:b/>
          <w:color w:val="auto"/>
          <w:kern w:val="0"/>
          <w:sz w:val="28"/>
          <w:szCs w:val="28"/>
          <w:highlight w:val="none"/>
        </w:rPr>
      </w:pPr>
    </w:p>
    <w:p>
      <w:pPr>
        <w:autoSpaceDE w:val="0"/>
        <w:autoSpaceDN w:val="0"/>
        <w:adjustRightInd w:val="0"/>
        <w:jc w:val="center"/>
        <w:rPr>
          <w:rFonts w:ascii="宋体" w:hAnsi="宋体" w:cs="宋体"/>
          <w:color w:val="auto"/>
          <w:kern w:val="0"/>
          <w:sz w:val="28"/>
          <w:szCs w:val="28"/>
          <w:highlight w:val="none"/>
        </w:rPr>
      </w:pPr>
      <w:r>
        <w:rPr>
          <w:rFonts w:hint="eastAsia" w:ascii="宋体" w:hAnsi="宋体" w:cs="宋体"/>
          <w:color w:val="auto"/>
          <w:sz w:val="31"/>
          <w:szCs w:val="31"/>
          <w:highlight w:val="none"/>
        </w:rPr>
        <w:t>（项目名称）</w:t>
      </w:r>
    </w:p>
    <w:p>
      <w:pPr>
        <w:autoSpaceDE w:val="0"/>
        <w:autoSpaceDN w:val="0"/>
        <w:adjustRightInd w:val="0"/>
        <w:spacing w:line="360" w:lineRule="auto"/>
        <w:jc w:val="center"/>
        <w:rPr>
          <w:rFonts w:ascii="宋体" w:hAnsi="宋体" w:cs="宋体"/>
          <w:b/>
          <w:color w:val="auto"/>
          <w:sz w:val="32"/>
          <w:szCs w:val="32"/>
          <w:highlight w:val="none"/>
          <w:u w:val="singl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jc w:val="center"/>
        <w:rPr>
          <w:rFonts w:ascii="宋体" w:hAnsi="宋体" w:cs="宋体"/>
          <w:b/>
          <w:color w:val="auto"/>
          <w:spacing w:val="60"/>
          <w:kern w:val="0"/>
          <w:sz w:val="72"/>
          <w:szCs w:val="72"/>
          <w:highlight w:val="none"/>
        </w:rPr>
      </w:pPr>
      <w:r>
        <w:rPr>
          <w:rFonts w:hint="eastAsia" w:ascii="宋体" w:hAnsi="宋体" w:cs="宋体"/>
          <w:b/>
          <w:color w:val="auto"/>
          <w:spacing w:val="60"/>
          <w:kern w:val="0"/>
          <w:sz w:val="72"/>
          <w:szCs w:val="72"/>
          <w:highlight w:val="none"/>
        </w:rPr>
        <w:t>投标文件</w:t>
      </w:r>
    </w:p>
    <w:p>
      <w:pPr>
        <w:autoSpaceDE w:val="0"/>
        <w:autoSpaceDN w:val="0"/>
        <w:adjustRightInd w:val="0"/>
        <w:ind w:firstLine="1400" w:firstLineChars="500"/>
        <w:rPr>
          <w:rFonts w:ascii="宋体" w:hAnsi="宋体" w:cs="宋体"/>
          <w:color w:val="auto"/>
          <w:sz w:val="28"/>
          <w:szCs w:val="28"/>
          <w:highlight w:val="none"/>
        </w:rPr>
      </w:pPr>
    </w:p>
    <w:p>
      <w:pPr>
        <w:autoSpaceDE w:val="0"/>
        <w:autoSpaceDN w:val="0"/>
        <w:adjustRightInd w:val="0"/>
        <w:spacing w:line="360" w:lineRule="auto"/>
        <w:rPr>
          <w:rFonts w:ascii="宋体" w:hAnsi="宋体" w:cs="宋体"/>
          <w:color w:val="auto"/>
          <w:kern w:val="0"/>
          <w:sz w:val="44"/>
          <w:szCs w:val="44"/>
          <w:highlight w:val="none"/>
        </w:rPr>
      </w:pPr>
    </w:p>
    <w:p>
      <w:pPr>
        <w:autoSpaceDE w:val="0"/>
        <w:autoSpaceDN w:val="0"/>
        <w:adjustRightInd w:val="0"/>
        <w:spacing w:line="360" w:lineRule="auto"/>
        <w:rPr>
          <w:rFonts w:ascii="宋体" w:hAnsi="宋体" w:cs="宋体"/>
          <w:color w:val="auto"/>
          <w:kern w:val="0"/>
          <w:sz w:val="44"/>
          <w:szCs w:val="44"/>
          <w:highlight w:val="none"/>
        </w:rPr>
      </w:pPr>
    </w:p>
    <w:p>
      <w:pPr>
        <w:autoSpaceDE w:val="0"/>
        <w:autoSpaceDN w:val="0"/>
        <w:adjustRightInd w:val="0"/>
        <w:spacing w:line="360" w:lineRule="auto"/>
        <w:rPr>
          <w:rFonts w:ascii="宋体" w:hAnsi="宋体" w:cs="宋体"/>
          <w:color w:val="auto"/>
          <w:kern w:val="0"/>
          <w:sz w:val="44"/>
          <w:szCs w:val="44"/>
          <w:highlight w:val="none"/>
        </w:rPr>
      </w:pPr>
    </w:p>
    <w:p>
      <w:pPr>
        <w:autoSpaceDE w:val="0"/>
        <w:autoSpaceDN w:val="0"/>
        <w:adjustRightInd w:val="0"/>
        <w:spacing w:line="360" w:lineRule="auto"/>
        <w:rPr>
          <w:rFonts w:ascii="宋体" w:hAnsi="宋体" w:cs="宋体"/>
          <w:color w:val="auto"/>
          <w:kern w:val="0"/>
          <w:sz w:val="44"/>
          <w:szCs w:val="44"/>
          <w:highlight w:val="none"/>
        </w:rPr>
      </w:pPr>
    </w:p>
    <w:p>
      <w:pPr>
        <w:autoSpaceDE w:val="0"/>
        <w:autoSpaceDN w:val="0"/>
        <w:adjustRightInd w:val="0"/>
        <w:spacing w:line="360" w:lineRule="auto"/>
        <w:rPr>
          <w:rFonts w:ascii="宋体" w:hAnsi="宋体" w:cs="宋体"/>
          <w:color w:val="auto"/>
          <w:kern w:val="0"/>
          <w:sz w:val="44"/>
          <w:szCs w:val="44"/>
          <w:highlight w:val="none"/>
        </w:rPr>
      </w:pPr>
    </w:p>
    <w:p>
      <w:pPr>
        <w:pStyle w:val="13"/>
        <w:spacing w:line="360" w:lineRule="auto"/>
        <w:ind w:firstLine="300" w:firstLineChars="100"/>
        <w:jc w:val="both"/>
        <w:rPr>
          <w:rFonts w:hAnsi="宋体"/>
          <w:color w:val="auto"/>
          <w:sz w:val="30"/>
          <w:szCs w:val="30"/>
          <w:highlight w:val="none"/>
          <w:u w:val="single"/>
        </w:rPr>
      </w:pPr>
      <w:r>
        <w:rPr>
          <w:rFonts w:hint="eastAsia" w:hAnsi="宋体"/>
          <w:color w:val="auto"/>
          <w:sz w:val="30"/>
          <w:szCs w:val="30"/>
          <w:highlight w:val="none"/>
        </w:rPr>
        <w:t>投标人：（盖单位公章）</w:t>
      </w:r>
    </w:p>
    <w:p>
      <w:pPr>
        <w:pStyle w:val="13"/>
        <w:spacing w:line="360" w:lineRule="auto"/>
        <w:ind w:firstLine="300" w:firstLineChars="100"/>
        <w:rPr>
          <w:rFonts w:hAnsi="宋体"/>
          <w:color w:val="auto"/>
          <w:sz w:val="30"/>
          <w:szCs w:val="30"/>
          <w:highlight w:val="none"/>
          <w:u w:val="single"/>
        </w:rPr>
      </w:pPr>
      <w:r>
        <w:rPr>
          <w:rFonts w:hint="eastAsia" w:hAnsi="宋体"/>
          <w:color w:val="auto"/>
          <w:sz w:val="30"/>
          <w:szCs w:val="30"/>
          <w:highlight w:val="none"/>
        </w:rPr>
        <w:t>法定代表人或其委托代理人：（签字或盖章）</w:t>
      </w:r>
    </w:p>
    <w:p>
      <w:pPr>
        <w:pStyle w:val="13"/>
        <w:spacing w:line="360" w:lineRule="auto"/>
        <w:jc w:val="center"/>
        <w:rPr>
          <w:rFonts w:hAnsi="宋体"/>
          <w:b/>
          <w:color w:val="auto"/>
          <w:sz w:val="32"/>
          <w:szCs w:val="32"/>
          <w:highlight w:val="none"/>
        </w:rPr>
      </w:pPr>
      <w:r>
        <w:rPr>
          <w:rFonts w:hint="eastAsia" w:hAnsi="宋体"/>
          <w:color w:val="auto"/>
          <w:sz w:val="30"/>
          <w:szCs w:val="30"/>
          <w:highlight w:val="none"/>
        </w:rPr>
        <w:t>___________年___________月___________ 日</w:t>
      </w:r>
    </w:p>
    <w:p>
      <w:pPr>
        <w:autoSpaceDE w:val="0"/>
        <w:autoSpaceDN w:val="0"/>
        <w:adjustRightInd w:val="0"/>
        <w:spacing w:line="360" w:lineRule="auto"/>
        <w:jc w:val="center"/>
        <w:rPr>
          <w:rFonts w:ascii="宋体" w:hAnsi="宋体" w:cs="宋体"/>
          <w:b/>
          <w:color w:val="auto"/>
          <w:kern w:val="0"/>
          <w:sz w:val="44"/>
          <w:szCs w:val="44"/>
          <w:highlight w:val="none"/>
        </w:rPr>
      </w:pPr>
    </w:p>
    <w:p>
      <w:pPr>
        <w:pStyle w:val="56"/>
        <w:ind w:firstLine="442"/>
        <w:rPr>
          <w:rFonts w:ascii="宋体" w:hAnsi="宋体" w:cs="宋体"/>
          <w:b/>
          <w:color w:val="auto"/>
          <w:kern w:val="0"/>
          <w:sz w:val="44"/>
          <w:szCs w:val="44"/>
          <w:highlight w:val="none"/>
        </w:rPr>
      </w:pPr>
    </w:p>
    <w:p>
      <w:pPr>
        <w:keepNext/>
        <w:keepLines/>
        <w:jc w:val="center"/>
        <w:rPr>
          <w:rFonts w:ascii="宋体" w:hAnsi="宋体" w:cs="宋体"/>
          <w:b/>
          <w:bCs/>
          <w:color w:val="auto"/>
          <w:sz w:val="32"/>
          <w:highlight w:val="none"/>
        </w:rPr>
      </w:pPr>
      <w:bookmarkStart w:id="66" w:name="_Toc19948"/>
      <w:bookmarkStart w:id="67" w:name="_Toc8692"/>
      <w:r>
        <w:rPr>
          <w:rFonts w:hint="eastAsia" w:ascii="宋体" w:hAnsi="宋体" w:cs="宋体"/>
          <w:b/>
          <w:bCs/>
          <w:color w:val="auto"/>
          <w:sz w:val="32"/>
          <w:highlight w:val="none"/>
        </w:rPr>
        <w:t>目 录</w:t>
      </w:r>
      <w:bookmarkEnd w:id="66"/>
      <w:bookmarkEnd w:id="67"/>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一、投标函及投标函附录</w:t>
      </w:r>
      <w:r>
        <w:rPr>
          <w:rFonts w:hint="eastAsia" w:ascii="宋体" w:hAnsi="宋体" w:cs="宋体"/>
          <w:color w:val="auto"/>
          <w:kern w:val="0"/>
          <w:sz w:val="28"/>
          <w:szCs w:val="28"/>
          <w:highlight w:val="none"/>
        </w:rPr>
        <w:tab/>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二、法定代表人身份证明</w:t>
      </w:r>
      <w:r>
        <w:rPr>
          <w:rFonts w:hint="eastAsia" w:ascii="宋体" w:hAnsi="宋体" w:cs="宋体"/>
          <w:color w:val="auto"/>
          <w:kern w:val="0"/>
          <w:sz w:val="28"/>
          <w:szCs w:val="28"/>
          <w:highlight w:val="none"/>
        </w:rPr>
        <w:tab/>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三、授权委托书</w:t>
      </w:r>
      <w:r>
        <w:rPr>
          <w:rFonts w:hint="eastAsia" w:ascii="宋体" w:hAnsi="宋体" w:cs="宋体"/>
          <w:color w:val="auto"/>
          <w:kern w:val="0"/>
          <w:sz w:val="28"/>
          <w:szCs w:val="28"/>
          <w:highlight w:val="none"/>
        </w:rPr>
        <w:tab/>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四、工程量清单</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五、施工组织设计</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六、项目管理机构</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七、项目经理无在建工程承诺</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八、资格审查资料</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九、中小企业声明函（工程、服务）</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十、其它投标人认为有必要加入的材料</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十一、周口市政府采购合同融资政策告知函</w:t>
      </w:r>
    </w:p>
    <w:p>
      <w:pPr>
        <w:pStyle w:val="56"/>
        <w:ind w:firstLine="210"/>
        <w:rPr>
          <w:rFonts w:ascii="宋体" w:hAnsi="宋体" w:cs="宋体"/>
          <w:color w:val="auto"/>
          <w:highlight w:val="none"/>
        </w:rPr>
      </w:pP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ab/>
      </w:r>
    </w:p>
    <w:p>
      <w:pPr>
        <w:autoSpaceDE w:val="0"/>
        <w:autoSpaceDN w:val="0"/>
        <w:adjustRightInd w:val="0"/>
        <w:spacing w:line="360" w:lineRule="auto"/>
        <w:ind w:firstLine="3598" w:firstLineChars="1285"/>
        <w:rPr>
          <w:rFonts w:ascii="宋体" w:hAnsi="宋体" w:cs="宋体"/>
          <w:color w:val="auto"/>
          <w:kern w:val="0"/>
          <w:sz w:val="28"/>
          <w:szCs w:val="28"/>
          <w:highlight w:val="none"/>
        </w:rPr>
      </w:pPr>
    </w:p>
    <w:p>
      <w:pPr>
        <w:autoSpaceDE w:val="0"/>
        <w:autoSpaceDN w:val="0"/>
        <w:adjustRightInd w:val="0"/>
        <w:spacing w:line="360" w:lineRule="auto"/>
        <w:ind w:firstLine="3598" w:firstLineChars="1285"/>
        <w:rPr>
          <w:rFonts w:ascii="宋体" w:hAnsi="宋体" w:cs="宋体"/>
          <w:color w:val="auto"/>
          <w:kern w:val="0"/>
          <w:sz w:val="28"/>
          <w:szCs w:val="28"/>
          <w:highlight w:val="none"/>
        </w:rPr>
      </w:pPr>
    </w:p>
    <w:p>
      <w:pPr>
        <w:autoSpaceDE w:val="0"/>
        <w:autoSpaceDN w:val="0"/>
        <w:adjustRightInd w:val="0"/>
        <w:spacing w:line="360" w:lineRule="auto"/>
        <w:ind w:firstLine="3598" w:firstLineChars="1285"/>
        <w:rPr>
          <w:rFonts w:ascii="宋体" w:hAnsi="宋体" w:cs="宋体"/>
          <w:color w:val="auto"/>
          <w:kern w:val="0"/>
          <w:sz w:val="28"/>
          <w:szCs w:val="28"/>
          <w:highlight w:val="none"/>
        </w:rPr>
      </w:pPr>
    </w:p>
    <w:p>
      <w:pPr>
        <w:autoSpaceDE w:val="0"/>
        <w:autoSpaceDN w:val="0"/>
        <w:adjustRightInd w:val="0"/>
        <w:spacing w:line="360" w:lineRule="auto"/>
        <w:rPr>
          <w:rFonts w:ascii="宋体" w:hAnsi="宋体" w:cs="宋体"/>
          <w:color w:val="auto"/>
          <w:kern w:val="0"/>
          <w:sz w:val="28"/>
          <w:szCs w:val="28"/>
          <w:highlight w:val="none"/>
        </w:rPr>
      </w:pPr>
    </w:p>
    <w:p>
      <w:pPr>
        <w:pStyle w:val="56"/>
        <w:ind w:firstLine="280"/>
        <w:rPr>
          <w:rFonts w:ascii="宋体" w:hAnsi="宋体" w:cs="宋体"/>
          <w:color w:val="auto"/>
          <w:kern w:val="0"/>
          <w:sz w:val="28"/>
          <w:szCs w:val="28"/>
          <w:highlight w:val="none"/>
        </w:rPr>
      </w:pPr>
    </w:p>
    <w:p>
      <w:pPr>
        <w:pStyle w:val="56"/>
        <w:ind w:firstLine="280"/>
        <w:rPr>
          <w:rFonts w:ascii="宋体" w:hAnsi="宋体" w:cs="宋体"/>
          <w:color w:val="auto"/>
          <w:kern w:val="0"/>
          <w:sz w:val="28"/>
          <w:szCs w:val="28"/>
          <w:highlight w:val="none"/>
        </w:rPr>
      </w:pPr>
    </w:p>
    <w:p>
      <w:pPr>
        <w:pStyle w:val="56"/>
        <w:ind w:firstLine="280"/>
        <w:rPr>
          <w:rFonts w:ascii="宋体" w:hAnsi="宋体" w:cs="宋体"/>
          <w:color w:val="auto"/>
          <w:kern w:val="0"/>
          <w:sz w:val="28"/>
          <w:szCs w:val="28"/>
          <w:highlight w:val="none"/>
        </w:rPr>
      </w:pPr>
    </w:p>
    <w:p>
      <w:pPr>
        <w:pStyle w:val="56"/>
        <w:ind w:firstLine="280"/>
        <w:rPr>
          <w:rFonts w:ascii="宋体" w:hAnsi="宋体" w:cs="宋体"/>
          <w:color w:val="auto"/>
          <w:kern w:val="0"/>
          <w:sz w:val="28"/>
          <w:szCs w:val="28"/>
          <w:highlight w:val="none"/>
        </w:rPr>
      </w:pPr>
    </w:p>
    <w:p>
      <w:pPr>
        <w:autoSpaceDE w:val="0"/>
        <w:autoSpaceDN w:val="0"/>
        <w:adjustRightInd w:val="0"/>
        <w:spacing w:line="360" w:lineRule="auto"/>
        <w:ind w:firstLine="3598" w:firstLineChars="1285"/>
        <w:rPr>
          <w:rFonts w:ascii="宋体" w:hAnsi="宋体" w:cs="宋体"/>
          <w:color w:val="auto"/>
          <w:kern w:val="0"/>
          <w:sz w:val="28"/>
          <w:szCs w:val="28"/>
          <w:highlight w:val="none"/>
        </w:rPr>
      </w:pPr>
    </w:p>
    <w:p>
      <w:pPr>
        <w:rPr>
          <w:rFonts w:ascii="宋体" w:hAnsi="宋体" w:cs="宋体"/>
          <w:color w:val="auto"/>
          <w:sz w:val="32"/>
          <w:highlight w:val="none"/>
        </w:rPr>
      </w:pPr>
      <w:bookmarkStart w:id="68" w:name="_Toc8940"/>
      <w:bookmarkStart w:id="69" w:name="_Toc19209"/>
      <w:r>
        <w:rPr>
          <w:rFonts w:hint="eastAsia" w:ascii="宋体" w:hAnsi="宋体" w:cs="宋体"/>
          <w:color w:val="auto"/>
          <w:sz w:val="32"/>
          <w:highlight w:val="none"/>
        </w:rPr>
        <w:br w:type="page"/>
      </w:r>
    </w:p>
    <w:p>
      <w:pPr>
        <w:pStyle w:val="4"/>
        <w:jc w:val="center"/>
        <w:rPr>
          <w:rFonts w:ascii="宋体" w:hAnsi="宋体" w:cs="宋体"/>
          <w:color w:val="auto"/>
          <w:sz w:val="32"/>
          <w:highlight w:val="none"/>
        </w:rPr>
      </w:pPr>
      <w:r>
        <w:rPr>
          <w:rFonts w:hint="eastAsia" w:ascii="宋体" w:hAnsi="宋体" w:cs="宋体"/>
          <w:color w:val="auto"/>
          <w:sz w:val="32"/>
          <w:highlight w:val="none"/>
        </w:rPr>
        <w:t>一、投标函及投标函附录</w:t>
      </w:r>
      <w:bookmarkEnd w:id="68"/>
      <w:bookmarkEnd w:id="69"/>
    </w:p>
    <w:p>
      <w:pPr>
        <w:numPr>
          <w:ilvl w:val="0"/>
          <w:numId w:val="2"/>
        </w:numPr>
        <w:autoSpaceDE w:val="0"/>
        <w:autoSpaceDN w:val="0"/>
        <w:adjustRightInd w:val="0"/>
        <w:spacing w:line="360" w:lineRule="exact"/>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投 标 函</w:t>
      </w:r>
    </w:p>
    <w:p>
      <w:pPr>
        <w:autoSpaceDE w:val="0"/>
        <w:autoSpaceDN w:val="0"/>
        <w:adjustRightInd w:val="0"/>
        <w:spacing w:line="360" w:lineRule="exact"/>
        <w:jc w:val="left"/>
        <w:rPr>
          <w:rFonts w:ascii="宋体" w:hAnsi="宋体" w:cs="宋体"/>
          <w:color w:val="auto"/>
          <w:kern w:val="0"/>
          <w:sz w:val="24"/>
          <w:highlight w:val="none"/>
        </w:rPr>
      </w:pPr>
    </w:p>
    <w:p>
      <w:pPr>
        <w:autoSpaceDE w:val="0"/>
        <w:autoSpaceDN w:val="0"/>
        <w:adjustRightInd w:val="0"/>
        <w:spacing w:line="360" w:lineRule="exact"/>
        <w:jc w:val="left"/>
        <w:rPr>
          <w:rFonts w:ascii="宋体" w:hAnsi="宋体" w:cs="宋体"/>
          <w:color w:val="auto"/>
          <w:kern w:val="0"/>
          <w:sz w:val="24"/>
          <w:highlight w:val="none"/>
        </w:rPr>
      </w:pPr>
      <w:r>
        <w:rPr>
          <w:rFonts w:hint="eastAsia" w:ascii="宋体" w:hAnsi="宋体" w:cs="宋体"/>
          <w:color w:val="auto"/>
          <w:sz w:val="24"/>
          <w:highlight w:val="none"/>
        </w:rPr>
        <w:t>（采购人或采购代理机构）</w:t>
      </w:r>
      <w:r>
        <w:rPr>
          <w:rFonts w:hint="eastAsia" w:ascii="宋体" w:hAnsi="宋体" w:cs="宋体"/>
          <w:color w:val="auto"/>
          <w:kern w:val="0"/>
          <w:sz w:val="24"/>
          <w:highlight w:val="none"/>
        </w:rPr>
        <w:t>：</w:t>
      </w:r>
    </w:p>
    <w:p>
      <w:pPr>
        <w:autoSpaceDE w:val="0"/>
        <w:autoSpaceDN w:val="0"/>
        <w:adjustRightInd w:val="0"/>
        <w:spacing w:line="360" w:lineRule="exact"/>
        <w:jc w:val="left"/>
        <w:rPr>
          <w:rFonts w:ascii="宋体" w:hAnsi="宋体" w:cs="宋体"/>
          <w:color w:val="auto"/>
          <w:kern w:val="0"/>
          <w:sz w:val="24"/>
          <w:highlight w:val="none"/>
        </w:rPr>
      </w:pPr>
    </w:p>
    <w:p>
      <w:pPr>
        <w:autoSpaceDE w:val="0"/>
        <w:autoSpaceDN w:val="0"/>
        <w:adjustRightInd w:val="0"/>
        <w:spacing w:line="420" w:lineRule="exact"/>
        <w:ind w:firstLine="616" w:firstLineChars="257"/>
        <w:jc w:val="left"/>
        <w:rPr>
          <w:rFonts w:ascii="宋体" w:hAnsi="宋体" w:cs="宋体"/>
          <w:color w:val="auto"/>
          <w:kern w:val="0"/>
          <w:sz w:val="24"/>
          <w:highlight w:val="none"/>
        </w:rPr>
      </w:pPr>
      <w:r>
        <w:rPr>
          <w:rFonts w:hint="eastAsia" w:ascii="宋体" w:hAnsi="宋体" w:cs="宋体"/>
          <w:color w:val="auto"/>
          <w:kern w:val="0"/>
          <w:sz w:val="24"/>
          <w:highlight w:val="none"/>
        </w:rPr>
        <w:t>1．我方已仔细研究了</w:t>
      </w:r>
      <w:r>
        <w:rPr>
          <w:rFonts w:hint="eastAsia" w:ascii="宋体" w:hAnsi="宋体" w:cs="宋体"/>
          <w:color w:val="auto"/>
          <w:kern w:val="0"/>
          <w:sz w:val="24"/>
          <w:highlight w:val="none"/>
          <w:u w:val="single"/>
        </w:rPr>
        <w:t xml:space="preserve">      项目招</w:t>
      </w:r>
      <w:r>
        <w:rPr>
          <w:rFonts w:hint="eastAsia" w:ascii="宋体" w:hAnsi="宋体" w:cs="宋体"/>
          <w:color w:val="auto"/>
          <w:kern w:val="0"/>
          <w:sz w:val="24"/>
          <w:highlight w:val="none"/>
        </w:rPr>
        <w:t>标文件的全部内容，愿意以人民币（大写）</w:t>
      </w:r>
      <w:r>
        <w:rPr>
          <w:rFonts w:hint="eastAsia" w:ascii="宋体" w:hAnsi="宋体" w:cs="宋体"/>
          <w:color w:val="auto"/>
          <w:kern w:val="0"/>
          <w:sz w:val="24"/>
          <w:highlight w:val="none"/>
          <w:u w:val="single"/>
        </w:rPr>
        <w:t xml:space="preserve">        元    （¥）</w:t>
      </w:r>
      <w:r>
        <w:rPr>
          <w:rFonts w:hint="eastAsia" w:ascii="宋体" w:hAnsi="宋体" w:cs="宋体"/>
          <w:color w:val="auto"/>
          <w:kern w:val="0"/>
          <w:sz w:val="24"/>
          <w:highlight w:val="none"/>
        </w:rPr>
        <w:t>的投标总报价，工期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日历天，按合同约定实施和完成承包工程，修补工程中的任何缺陷，工程质量达到。</w:t>
      </w:r>
    </w:p>
    <w:p>
      <w:pPr>
        <w:autoSpaceDE w:val="0"/>
        <w:autoSpaceDN w:val="0"/>
        <w:adjustRightInd w:val="0"/>
        <w:spacing w:line="420" w:lineRule="exact"/>
        <w:ind w:firstLine="616" w:firstLineChars="257"/>
        <w:jc w:val="left"/>
        <w:rPr>
          <w:rFonts w:ascii="宋体" w:hAnsi="宋体" w:cs="宋体"/>
          <w:color w:val="auto"/>
          <w:kern w:val="0"/>
          <w:sz w:val="24"/>
          <w:highlight w:val="none"/>
        </w:rPr>
      </w:pPr>
      <w:r>
        <w:rPr>
          <w:rFonts w:hint="eastAsia" w:ascii="宋体" w:hAnsi="宋体" w:cs="宋体"/>
          <w:color w:val="auto"/>
          <w:kern w:val="0"/>
          <w:sz w:val="24"/>
          <w:highlight w:val="none"/>
        </w:rPr>
        <w:t>2．我方承诺在投标有效期内不修改、撤销投标文件。</w:t>
      </w:r>
    </w:p>
    <w:p>
      <w:pPr>
        <w:autoSpaceDE w:val="0"/>
        <w:autoSpaceDN w:val="0"/>
        <w:adjustRightInd w:val="0"/>
        <w:spacing w:line="420" w:lineRule="exact"/>
        <w:ind w:firstLine="616" w:firstLineChars="257"/>
        <w:jc w:val="left"/>
        <w:rPr>
          <w:rFonts w:ascii="宋体" w:hAnsi="宋体" w:cs="宋体"/>
          <w:color w:val="auto"/>
          <w:kern w:val="0"/>
          <w:sz w:val="24"/>
          <w:highlight w:val="none"/>
        </w:rPr>
      </w:pPr>
      <w:r>
        <w:rPr>
          <w:rFonts w:hint="eastAsia" w:ascii="宋体" w:hAnsi="宋体" w:cs="宋体"/>
          <w:color w:val="auto"/>
          <w:kern w:val="0"/>
          <w:sz w:val="24"/>
          <w:highlight w:val="none"/>
        </w:rPr>
        <w:t>3．如我方中标：</w:t>
      </w:r>
    </w:p>
    <w:p>
      <w:pPr>
        <w:autoSpaceDE w:val="0"/>
        <w:autoSpaceDN w:val="0"/>
        <w:adjustRightInd w:val="0"/>
        <w:spacing w:line="42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（1）我方承诺在收到中标通知书后，在中标通知书规定的期限内与你方签订合同。</w:t>
      </w:r>
    </w:p>
    <w:p>
      <w:pPr>
        <w:autoSpaceDE w:val="0"/>
        <w:autoSpaceDN w:val="0"/>
        <w:adjustRightInd w:val="0"/>
        <w:spacing w:line="42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（2）随同本投标函递交的投标函附录属于合同文件的组成部分。</w:t>
      </w:r>
    </w:p>
    <w:p>
      <w:pPr>
        <w:autoSpaceDE w:val="0"/>
        <w:autoSpaceDN w:val="0"/>
        <w:adjustRightInd w:val="0"/>
        <w:spacing w:line="42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（3）我方承诺按照招标文件规定向你方递交履约担保。</w:t>
      </w:r>
    </w:p>
    <w:p>
      <w:pPr>
        <w:autoSpaceDE w:val="0"/>
        <w:autoSpaceDN w:val="0"/>
        <w:adjustRightInd w:val="0"/>
        <w:spacing w:line="42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（4）我方承诺在合同约定的期限内完成并移交全部合同工程。</w:t>
      </w:r>
    </w:p>
    <w:p>
      <w:pPr>
        <w:autoSpaceDE w:val="0"/>
        <w:autoSpaceDN w:val="0"/>
        <w:adjustRightInd w:val="0"/>
        <w:spacing w:line="420" w:lineRule="exact"/>
        <w:ind w:firstLine="616" w:firstLineChars="257"/>
        <w:jc w:val="left"/>
        <w:rPr>
          <w:rFonts w:ascii="宋体" w:hAnsi="宋体" w:cs="宋体"/>
          <w:color w:val="auto"/>
          <w:kern w:val="0"/>
          <w:sz w:val="24"/>
          <w:highlight w:val="none"/>
        </w:rPr>
      </w:pPr>
      <w:r>
        <w:rPr>
          <w:rFonts w:hint="eastAsia" w:ascii="宋体" w:hAnsi="宋体" w:cs="宋体"/>
          <w:color w:val="auto"/>
          <w:kern w:val="0"/>
          <w:sz w:val="24"/>
          <w:highlight w:val="none"/>
        </w:rPr>
        <w:t>4．我方在此声明，所递交的投标文件及有关资料内容完整、真实和准确，且不存在第二章“投标人须知”第1.4.3 项规定的任何一种情形。</w:t>
      </w:r>
    </w:p>
    <w:p>
      <w:pPr>
        <w:autoSpaceDE w:val="0"/>
        <w:autoSpaceDN w:val="0"/>
        <w:adjustRightInd w:val="0"/>
        <w:spacing w:line="420" w:lineRule="exact"/>
        <w:ind w:firstLine="616" w:firstLineChars="257"/>
        <w:jc w:val="left"/>
        <w:rPr>
          <w:rFonts w:ascii="宋体" w:hAnsi="宋体" w:cs="宋体"/>
          <w:color w:val="auto"/>
          <w:kern w:val="0"/>
          <w:sz w:val="24"/>
          <w:highlight w:val="none"/>
        </w:rPr>
      </w:pPr>
      <w:r>
        <w:rPr>
          <w:rFonts w:hint="eastAsia" w:ascii="宋体" w:hAnsi="宋体" w:cs="宋体"/>
          <w:color w:val="auto"/>
          <w:kern w:val="0"/>
          <w:sz w:val="24"/>
          <w:highlight w:val="none"/>
        </w:rPr>
        <w:t>5．我方承诺投标文件完全响应招标文件中的技术标准和要求。</w:t>
      </w:r>
    </w:p>
    <w:p>
      <w:pPr>
        <w:autoSpaceDE w:val="0"/>
        <w:autoSpaceDN w:val="0"/>
        <w:adjustRightInd w:val="0"/>
        <w:spacing w:line="420" w:lineRule="exact"/>
        <w:ind w:firstLine="616" w:firstLineChars="257"/>
        <w:jc w:val="left"/>
        <w:rPr>
          <w:rFonts w:ascii="宋体" w:hAnsi="宋体" w:cs="宋体"/>
          <w:color w:val="auto"/>
          <w:kern w:val="0"/>
          <w:sz w:val="24"/>
          <w:highlight w:val="none"/>
        </w:rPr>
      </w:pPr>
      <w:r>
        <w:rPr>
          <w:rFonts w:hint="eastAsia" w:ascii="宋体" w:hAnsi="宋体" w:cs="宋体"/>
          <w:color w:val="auto"/>
          <w:kern w:val="0"/>
          <w:sz w:val="24"/>
          <w:highlight w:val="none"/>
        </w:rPr>
        <w:t>6.如我方中标，中标后我方将按着有关收费标准支付招标代理费及其他相关费用 （其他补充说明）。</w:t>
      </w:r>
    </w:p>
    <w:p>
      <w:pPr>
        <w:autoSpaceDE w:val="0"/>
        <w:autoSpaceDN w:val="0"/>
        <w:adjustRightInd w:val="0"/>
        <w:spacing w:line="360" w:lineRule="exact"/>
        <w:ind w:firstLine="616" w:firstLineChars="257"/>
        <w:jc w:val="left"/>
        <w:rPr>
          <w:rFonts w:ascii="宋体" w:hAnsi="宋体" w:cs="宋体"/>
          <w:color w:val="auto"/>
          <w:kern w:val="0"/>
          <w:sz w:val="24"/>
          <w:highlight w:val="none"/>
        </w:rPr>
      </w:pPr>
    </w:p>
    <w:p>
      <w:pPr>
        <w:autoSpaceDE w:val="0"/>
        <w:autoSpaceDN w:val="0"/>
        <w:adjustRightInd w:val="0"/>
        <w:spacing w:line="3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投 标 人：（盖单位公章）</w:t>
      </w:r>
    </w:p>
    <w:p>
      <w:pPr>
        <w:autoSpaceDE w:val="0"/>
        <w:autoSpaceDN w:val="0"/>
        <w:adjustRightInd w:val="0"/>
        <w:spacing w:line="3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法定代表人或其委托代理人：（签字）</w:t>
      </w:r>
    </w:p>
    <w:p>
      <w:pPr>
        <w:autoSpaceDE w:val="0"/>
        <w:autoSpaceDN w:val="0"/>
        <w:adjustRightInd w:val="0"/>
        <w:spacing w:line="3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地址：</w:t>
      </w:r>
    </w:p>
    <w:p>
      <w:pPr>
        <w:autoSpaceDE w:val="0"/>
        <w:autoSpaceDN w:val="0"/>
        <w:adjustRightInd w:val="0"/>
        <w:spacing w:line="3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网址：</w:t>
      </w:r>
    </w:p>
    <w:p>
      <w:pPr>
        <w:autoSpaceDE w:val="0"/>
        <w:autoSpaceDN w:val="0"/>
        <w:adjustRightInd w:val="0"/>
        <w:spacing w:line="3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电话：</w:t>
      </w:r>
    </w:p>
    <w:p>
      <w:pPr>
        <w:autoSpaceDE w:val="0"/>
        <w:autoSpaceDN w:val="0"/>
        <w:adjustRightInd w:val="0"/>
        <w:spacing w:line="3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传真：</w:t>
      </w:r>
    </w:p>
    <w:p>
      <w:pPr>
        <w:autoSpaceDE w:val="0"/>
        <w:autoSpaceDN w:val="0"/>
        <w:adjustRightInd w:val="0"/>
        <w:spacing w:line="360" w:lineRule="exact"/>
        <w:jc w:val="left"/>
        <w:rPr>
          <w:rFonts w:ascii="宋体" w:hAnsi="宋体" w:cs="宋体"/>
          <w:color w:val="auto"/>
          <w:kern w:val="0"/>
          <w:sz w:val="24"/>
          <w:highlight w:val="none"/>
          <w:u w:val="single"/>
        </w:rPr>
      </w:pPr>
      <w:r>
        <w:rPr>
          <w:rFonts w:hint="eastAsia" w:ascii="宋体" w:hAnsi="宋体" w:cs="宋体"/>
          <w:color w:val="auto"/>
          <w:kern w:val="0"/>
          <w:sz w:val="24"/>
          <w:highlight w:val="none"/>
        </w:rPr>
        <w:t>邮政编码：</w:t>
      </w:r>
    </w:p>
    <w:p>
      <w:pPr>
        <w:autoSpaceDE w:val="0"/>
        <w:autoSpaceDN w:val="0"/>
        <w:adjustRightInd w:val="0"/>
        <w:spacing w:line="360" w:lineRule="exact"/>
        <w:ind w:firstLine="2880" w:firstLineChars="1200"/>
        <w:jc w:val="left"/>
        <w:rPr>
          <w:rFonts w:ascii="宋体" w:hAnsi="宋体" w:cs="宋体"/>
          <w:color w:val="auto"/>
          <w:kern w:val="0"/>
          <w:sz w:val="24"/>
          <w:highlight w:val="none"/>
        </w:rPr>
      </w:pPr>
      <w:r>
        <w:rPr>
          <w:rFonts w:hint="eastAsia" w:ascii="宋体" w:hAnsi="宋体" w:cs="宋体"/>
          <w:color w:val="auto"/>
          <w:kern w:val="0"/>
          <w:sz w:val="24"/>
          <w:highlight w:val="none"/>
        </w:rPr>
        <w:t>年月日</w:t>
      </w:r>
    </w:p>
    <w:p>
      <w:pPr>
        <w:autoSpaceDE w:val="0"/>
        <w:autoSpaceDN w:val="0"/>
        <w:adjustRightInd w:val="0"/>
        <w:spacing w:line="360" w:lineRule="exact"/>
        <w:ind w:firstLine="3360" w:firstLineChars="1200"/>
        <w:jc w:val="left"/>
        <w:rPr>
          <w:rFonts w:ascii="宋体" w:hAnsi="宋体" w:cs="宋体"/>
          <w:color w:val="auto"/>
          <w:kern w:val="0"/>
          <w:sz w:val="28"/>
          <w:szCs w:val="28"/>
          <w:highlight w:val="none"/>
        </w:rPr>
      </w:pPr>
    </w:p>
    <w:p>
      <w:pPr>
        <w:autoSpaceDE w:val="0"/>
        <w:autoSpaceDN w:val="0"/>
        <w:adjustRightInd w:val="0"/>
        <w:spacing w:line="360" w:lineRule="exact"/>
        <w:ind w:firstLine="3360" w:firstLineChars="1200"/>
        <w:jc w:val="left"/>
        <w:rPr>
          <w:rFonts w:ascii="宋体" w:hAnsi="宋体" w:cs="宋体"/>
          <w:color w:val="auto"/>
          <w:kern w:val="0"/>
          <w:sz w:val="28"/>
          <w:szCs w:val="28"/>
          <w:highlight w:val="none"/>
        </w:rPr>
      </w:pPr>
    </w:p>
    <w:p>
      <w:pPr>
        <w:autoSpaceDE w:val="0"/>
        <w:autoSpaceDN w:val="0"/>
        <w:adjustRightInd w:val="0"/>
        <w:spacing w:line="360" w:lineRule="exact"/>
        <w:ind w:firstLine="3360" w:firstLineChars="1200"/>
        <w:jc w:val="left"/>
        <w:rPr>
          <w:rFonts w:ascii="宋体" w:hAnsi="宋体" w:cs="宋体"/>
          <w:color w:val="auto"/>
          <w:kern w:val="0"/>
          <w:sz w:val="28"/>
          <w:szCs w:val="28"/>
          <w:highlight w:val="none"/>
        </w:rPr>
      </w:pPr>
    </w:p>
    <w:p>
      <w:pPr>
        <w:rPr>
          <w:rFonts w:ascii="宋体" w:hAnsi="宋体" w:cs="宋体"/>
          <w:color w:val="auto"/>
          <w:kern w:val="0"/>
          <w:sz w:val="28"/>
          <w:szCs w:val="28"/>
          <w:highlight w:val="none"/>
        </w:rPr>
      </w:pPr>
      <w:r>
        <w:rPr>
          <w:rFonts w:hint="eastAsia" w:ascii="宋体" w:hAnsi="宋体" w:cs="宋体"/>
          <w:color w:val="auto"/>
          <w:kern w:val="0"/>
          <w:sz w:val="28"/>
          <w:szCs w:val="28"/>
          <w:highlight w:val="none"/>
        </w:rPr>
        <w:br w:type="page"/>
      </w:r>
    </w:p>
    <w:p>
      <w:pPr>
        <w:numPr>
          <w:ilvl w:val="0"/>
          <w:numId w:val="2"/>
        </w:numPr>
        <w:autoSpaceDE w:val="0"/>
        <w:autoSpaceDN w:val="0"/>
        <w:adjustRightInd w:val="0"/>
        <w:spacing w:line="360" w:lineRule="auto"/>
        <w:jc w:val="center"/>
        <w:rPr>
          <w:rFonts w:ascii="宋体" w:hAnsi="宋体" w:cs="宋体"/>
          <w:color w:val="auto"/>
          <w:kern w:val="0"/>
          <w:sz w:val="30"/>
          <w:szCs w:val="30"/>
          <w:highlight w:val="none"/>
        </w:rPr>
      </w:pPr>
      <w:r>
        <w:rPr>
          <w:rFonts w:hint="eastAsia" w:ascii="宋体" w:hAnsi="宋体" w:cs="宋体"/>
          <w:color w:val="auto"/>
          <w:kern w:val="0"/>
          <w:sz w:val="30"/>
          <w:szCs w:val="30"/>
          <w:highlight w:val="none"/>
        </w:rPr>
        <w:t>投标函附录</w:t>
      </w:r>
    </w:p>
    <w:tbl>
      <w:tblPr>
        <w:tblStyle w:val="47"/>
        <w:tblpPr w:leftFromText="181" w:rightFromText="181" w:vertAnchor="text" w:horzAnchor="margin" w:tblpXSpec="center" w:tblpY="88"/>
        <w:tblOverlap w:val="never"/>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658"/>
        <w:gridCol w:w="1501"/>
        <w:gridCol w:w="1488"/>
        <w:gridCol w:w="1104"/>
        <w:gridCol w:w="293"/>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工程名称</w:t>
            </w:r>
          </w:p>
        </w:tc>
        <w:tc>
          <w:tcPr>
            <w:tcW w:w="5751" w:type="dxa"/>
            <w:gridSpan w:val="4"/>
            <w:vAlign w:val="center"/>
          </w:tcPr>
          <w:p>
            <w:pPr>
              <w:jc w:val="center"/>
              <w:rPr>
                <w:rFonts w:ascii="宋体" w:hAnsi="宋体" w:cs="宋体"/>
                <w:color w:val="auto"/>
                <w:sz w:val="28"/>
                <w:szCs w:val="28"/>
                <w:highlight w:val="none"/>
              </w:rPr>
            </w:pPr>
          </w:p>
        </w:tc>
        <w:tc>
          <w:tcPr>
            <w:tcW w:w="1516" w:type="dxa"/>
            <w:gridSpan w:val="2"/>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投标人</w:t>
            </w:r>
          </w:p>
        </w:tc>
        <w:tc>
          <w:tcPr>
            <w:tcW w:w="7267" w:type="dxa"/>
            <w:gridSpan w:val="6"/>
            <w:vAlign w:val="center"/>
          </w:tcPr>
          <w:p>
            <w:pPr>
              <w:jc w:val="center"/>
              <w:rPr>
                <w:rFonts w:ascii="宋体" w:hAnsi="宋体" w:cs="宋体"/>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项目经理</w:t>
            </w:r>
          </w:p>
        </w:tc>
        <w:tc>
          <w:tcPr>
            <w:tcW w:w="1658" w:type="dxa"/>
            <w:vAlign w:val="center"/>
          </w:tcPr>
          <w:p>
            <w:pPr>
              <w:jc w:val="center"/>
              <w:rPr>
                <w:rFonts w:ascii="宋体" w:hAnsi="宋体" w:cs="宋体"/>
                <w:color w:val="auto"/>
                <w:sz w:val="28"/>
                <w:szCs w:val="28"/>
                <w:highlight w:val="none"/>
              </w:rPr>
            </w:pPr>
          </w:p>
        </w:tc>
        <w:tc>
          <w:tcPr>
            <w:tcW w:w="1501" w:type="dxa"/>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级别</w:t>
            </w:r>
          </w:p>
        </w:tc>
        <w:tc>
          <w:tcPr>
            <w:tcW w:w="1488" w:type="dxa"/>
            <w:vAlign w:val="center"/>
          </w:tcPr>
          <w:p>
            <w:pPr>
              <w:ind w:firstLine="280" w:firstLineChars="100"/>
              <w:jc w:val="center"/>
              <w:rPr>
                <w:rFonts w:ascii="宋体" w:hAnsi="宋体" w:cs="宋体"/>
                <w:color w:val="auto"/>
                <w:sz w:val="28"/>
                <w:szCs w:val="28"/>
                <w:highlight w:val="none"/>
              </w:rPr>
            </w:pPr>
          </w:p>
        </w:tc>
        <w:tc>
          <w:tcPr>
            <w:tcW w:w="1397" w:type="dxa"/>
            <w:gridSpan w:val="2"/>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证书编号</w:t>
            </w:r>
          </w:p>
        </w:tc>
        <w:tc>
          <w:tcPr>
            <w:tcW w:w="1223" w:type="dxa"/>
            <w:vAlign w:val="center"/>
          </w:tcPr>
          <w:p>
            <w:pPr>
              <w:rPr>
                <w:rFonts w:ascii="宋体" w:hAnsi="宋体" w:cs="宋体"/>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投标报价（元）</w:t>
            </w:r>
          </w:p>
        </w:tc>
        <w:tc>
          <w:tcPr>
            <w:tcW w:w="5609" w:type="dxa"/>
            <w:gridSpan w:val="5"/>
            <w:vAlign w:val="center"/>
          </w:tcPr>
          <w:p>
            <w:pPr>
              <w:rPr>
                <w:rFonts w:ascii="宋体" w:hAnsi="宋体" w:cs="宋体"/>
                <w:color w:val="auto"/>
                <w:sz w:val="28"/>
                <w:szCs w:val="28"/>
                <w:highlight w:val="none"/>
              </w:rPr>
            </w:pPr>
            <w:r>
              <w:rPr>
                <w:rFonts w:hint="eastAsia" w:ascii="宋体" w:hAnsi="宋体" w:cs="宋体"/>
                <w:color w:val="auto"/>
                <w:sz w:val="28"/>
                <w:szCs w:val="28"/>
                <w:highlight w:val="none"/>
              </w:rPr>
              <w:t xml:space="preserve">大写： </w:t>
            </w:r>
          </w:p>
          <w:p>
            <w:pPr>
              <w:rPr>
                <w:rFonts w:ascii="宋体" w:hAnsi="宋体" w:cs="宋体"/>
                <w:color w:val="auto"/>
                <w:sz w:val="28"/>
                <w:szCs w:val="28"/>
                <w:highlight w:val="none"/>
              </w:rPr>
            </w:pPr>
            <w:r>
              <w:rPr>
                <w:rFonts w:hint="eastAsia" w:ascii="宋体" w:hAnsi="宋体" w:cs="宋体"/>
                <w:color w:val="auto"/>
                <w:sz w:val="28"/>
                <w:szCs w:val="28"/>
                <w:highlight w:val="none"/>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xml:space="preserve">投标质量 </w:t>
            </w:r>
          </w:p>
        </w:tc>
        <w:tc>
          <w:tcPr>
            <w:tcW w:w="5609" w:type="dxa"/>
            <w:gridSpan w:val="5"/>
            <w:vAlign w:val="center"/>
          </w:tcPr>
          <w:p>
            <w:pPr>
              <w:jc w:val="center"/>
              <w:rPr>
                <w:rFonts w:ascii="宋体" w:hAnsi="宋体" w:cs="宋体"/>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工期（日历天）</w:t>
            </w:r>
          </w:p>
        </w:tc>
        <w:tc>
          <w:tcPr>
            <w:tcW w:w="5609" w:type="dxa"/>
            <w:gridSpan w:val="5"/>
            <w:vAlign w:val="center"/>
          </w:tcPr>
          <w:p>
            <w:pPr>
              <w:jc w:val="center"/>
              <w:rPr>
                <w:rFonts w:ascii="宋体" w:hAnsi="宋体" w:cs="宋体"/>
                <w:color w:val="auto"/>
                <w:sz w:val="28"/>
                <w:szCs w:val="28"/>
                <w:highlight w:val="none"/>
              </w:rPr>
            </w:pPr>
          </w:p>
        </w:tc>
      </w:tr>
    </w:tbl>
    <w:p>
      <w:pPr>
        <w:autoSpaceDE w:val="0"/>
        <w:autoSpaceDN w:val="0"/>
        <w:adjustRightInd w:val="0"/>
        <w:spacing w:line="360" w:lineRule="auto"/>
        <w:ind w:firstLine="3598" w:firstLineChars="1285"/>
        <w:jc w:val="right"/>
        <w:rPr>
          <w:rFonts w:ascii="宋体" w:hAnsi="宋体" w:cs="宋体"/>
          <w:color w:val="auto"/>
          <w:kern w:val="0"/>
          <w:sz w:val="28"/>
          <w:szCs w:val="28"/>
          <w:highlight w:val="none"/>
        </w:rPr>
      </w:pPr>
    </w:p>
    <w:p>
      <w:pPr>
        <w:autoSpaceDE w:val="0"/>
        <w:autoSpaceDN w:val="0"/>
        <w:adjustRightInd w:val="0"/>
        <w:spacing w:line="360" w:lineRule="auto"/>
        <w:ind w:firstLine="3598" w:firstLineChars="1285"/>
        <w:jc w:val="right"/>
        <w:rPr>
          <w:rFonts w:ascii="宋体" w:hAnsi="宋体" w:cs="宋体"/>
          <w:color w:val="auto"/>
          <w:kern w:val="0"/>
          <w:sz w:val="28"/>
          <w:szCs w:val="28"/>
          <w:highlight w:val="none"/>
        </w:rPr>
      </w:pPr>
    </w:p>
    <w:p>
      <w:pPr>
        <w:autoSpaceDE w:val="0"/>
        <w:autoSpaceDN w:val="0"/>
        <w:adjustRightInd w:val="0"/>
        <w:spacing w:line="360" w:lineRule="auto"/>
        <w:ind w:firstLine="3598" w:firstLineChars="1285"/>
        <w:jc w:val="right"/>
        <w:rPr>
          <w:rFonts w:ascii="宋体" w:hAnsi="宋体" w:cs="宋体"/>
          <w:color w:val="auto"/>
          <w:kern w:val="0"/>
          <w:sz w:val="28"/>
          <w:szCs w:val="28"/>
          <w:highlight w:val="none"/>
        </w:rPr>
      </w:pPr>
    </w:p>
    <w:p>
      <w:pPr>
        <w:wordWrap w:val="0"/>
        <w:autoSpaceDE w:val="0"/>
        <w:autoSpaceDN w:val="0"/>
        <w:adjustRightInd w:val="0"/>
        <w:spacing w:line="360" w:lineRule="auto"/>
        <w:ind w:firstLine="3598" w:firstLineChars="1285"/>
        <w:jc w:val="right"/>
        <w:rPr>
          <w:rFonts w:ascii="宋体" w:hAnsi="宋体" w:cs="宋体"/>
          <w:color w:val="auto"/>
          <w:kern w:val="0"/>
          <w:sz w:val="28"/>
          <w:szCs w:val="28"/>
          <w:highlight w:val="none"/>
        </w:rPr>
      </w:pPr>
      <w:r>
        <w:rPr>
          <w:rFonts w:hint="eastAsia" w:ascii="宋体" w:hAnsi="宋体" w:cs="宋体"/>
          <w:color w:val="auto"/>
          <w:kern w:val="0"/>
          <w:sz w:val="28"/>
          <w:szCs w:val="28"/>
          <w:highlight w:val="none"/>
        </w:rPr>
        <w:t>投标人：（盖单位公章）</w:t>
      </w:r>
    </w:p>
    <w:p>
      <w:pPr>
        <w:wordWrap w:val="0"/>
        <w:autoSpaceDE w:val="0"/>
        <w:autoSpaceDN w:val="0"/>
        <w:adjustRightInd w:val="0"/>
        <w:spacing w:line="360" w:lineRule="auto"/>
        <w:ind w:firstLine="3598" w:firstLineChars="1285"/>
        <w:jc w:val="right"/>
        <w:rPr>
          <w:rFonts w:ascii="宋体" w:hAnsi="宋体" w:cs="宋体"/>
          <w:color w:val="auto"/>
          <w:kern w:val="0"/>
          <w:sz w:val="28"/>
          <w:szCs w:val="28"/>
          <w:highlight w:val="none"/>
          <w:u w:val="single"/>
        </w:rPr>
      </w:pPr>
    </w:p>
    <w:p>
      <w:pPr>
        <w:wordWrap w:val="0"/>
        <w:autoSpaceDE w:val="0"/>
        <w:autoSpaceDN w:val="0"/>
        <w:adjustRightInd w:val="0"/>
        <w:spacing w:line="360" w:lineRule="auto"/>
        <w:ind w:firstLine="3598" w:firstLineChars="1285"/>
        <w:jc w:val="right"/>
        <w:rPr>
          <w:rFonts w:ascii="宋体" w:hAnsi="宋体" w:cs="宋体"/>
          <w:color w:val="auto"/>
          <w:kern w:val="0"/>
          <w:sz w:val="28"/>
          <w:szCs w:val="28"/>
          <w:highlight w:val="none"/>
        </w:rPr>
      </w:pPr>
      <w:r>
        <w:rPr>
          <w:rFonts w:hint="eastAsia" w:ascii="宋体" w:hAnsi="宋体" w:cs="宋体"/>
          <w:color w:val="auto"/>
          <w:kern w:val="0"/>
          <w:sz w:val="28"/>
          <w:szCs w:val="28"/>
          <w:highlight w:val="none"/>
        </w:rPr>
        <w:t>年 月   日</w:t>
      </w:r>
    </w:p>
    <w:p>
      <w:pPr>
        <w:autoSpaceDE w:val="0"/>
        <w:autoSpaceDN w:val="0"/>
        <w:adjustRightInd w:val="0"/>
        <w:spacing w:line="360" w:lineRule="auto"/>
        <w:jc w:val="center"/>
        <w:rPr>
          <w:rFonts w:ascii="宋体" w:hAnsi="宋体" w:cs="宋体"/>
          <w:b/>
          <w:color w:val="auto"/>
          <w:kern w:val="0"/>
          <w:sz w:val="28"/>
          <w:szCs w:val="28"/>
          <w:highlight w:val="none"/>
        </w:rPr>
      </w:pPr>
    </w:p>
    <w:p>
      <w:pPr>
        <w:autoSpaceDE w:val="0"/>
        <w:autoSpaceDN w:val="0"/>
        <w:adjustRightInd w:val="0"/>
        <w:spacing w:line="360" w:lineRule="auto"/>
        <w:jc w:val="center"/>
        <w:rPr>
          <w:rFonts w:ascii="宋体" w:hAnsi="宋体" w:cs="宋体"/>
          <w:b/>
          <w:color w:val="auto"/>
          <w:kern w:val="0"/>
          <w:sz w:val="28"/>
          <w:szCs w:val="28"/>
          <w:highlight w:val="none"/>
        </w:rPr>
      </w:pPr>
    </w:p>
    <w:p>
      <w:pPr>
        <w:autoSpaceDE w:val="0"/>
        <w:autoSpaceDN w:val="0"/>
        <w:adjustRightInd w:val="0"/>
        <w:spacing w:line="360" w:lineRule="auto"/>
        <w:jc w:val="center"/>
        <w:rPr>
          <w:rFonts w:ascii="宋体" w:hAnsi="宋体" w:cs="宋体"/>
          <w:b/>
          <w:color w:val="auto"/>
          <w:kern w:val="0"/>
          <w:sz w:val="28"/>
          <w:szCs w:val="28"/>
          <w:highlight w:val="none"/>
        </w:rPr>
      </w:pPr>
    </w:p>
    <w:p>
      <w:pPr>
        <w:autoSpaceDE w:val="0"/>
        <w:autoSpaceDN w:val="0"/>
        <w:adjustRightInd w:val="0"/>
        <w:spacing w:line="360" w:lineRule="auto"/>
        <w:rPr>
          <w:rFonts w:ascii="宋体" w:hAnsi="宋体" w:cs="宋体"/>
          <w:b/>
          <w:color w:val="auto"/>
          <w:kern w:val="0"/>
          <w:sz w:val="28"/>
          <w:szCs w:val="28"/>
          <w:highlight w:val="none"/>
        </w:rPr>
      </w:pPr>
    </w:p>
    <w:p>
      <w:pPr>
        <w:autoSpaceDE w:val="0"/>
        <w:autoSpaceDN w:val="0"/>
        <w:adjustRightInd w:val="0"/>
        <w:spacing w:line="360" w:lineRule="auto"/>
        <w:rPr>
          <w:rFonts w:ascii="宋体" w:hAnsi="宋体" w:cs="宋体"/>
          <w:b/>
          <w:color w:val="auto"/>
          <w:kern w:val="0"/>
          <w:sz w:val="28"/>
          <w:szCs w:val="28"/>
          <w:highlight w:val="none"/>
        </w:rPr>
      </w:pPr>
    </w:p>
    <w:p>
      <w:pPr>
        <w:pStyle w:val="4"/>
        <w:jc w:val="center"/>
        <w:rPr>
          <w:rFonts w:ascii="宋体" w:hAnsi="宋体" w:cs="宋体"/>
          <w:color w:val="auto"/>
          <w:sz w:val="32"/>
          <w:highlight w:val="none"/>
        </w:rPr>
      </w:pPr>
      <w:bookmarkStart w:id="70" w:name="_Toc24295"/>
      <w:bookmarkStart w:id="71" w:name="_Toc26619"/>
      <w:r>
        <w:rPr>
          <w:rFonts w:hint="eastAsia" w:ascii="宋体" w:hAnsi="宋体" w:cs="宋体"/>
          <w:color w:val="auto"/>
          <w:sz w:val="32"/>
          <w:highlight w:val="none"/>
        </w:rPr>
        <w:t>二、法定代表人身份证明</w:t>
      </w:r>
      <w:bookmarkEnd w:id="70"/>
      <w:bookmarkEnd w:id="71"/>
    </w:p>
    <w:p>
      <w:pPr>
        <w:autoSpaceDE w:val="0"/>
        <w:autoSpaceDN w:val="0"/>
        <w:adjustRightInd w:val="0"/>
        <w:spacing w:line="360" w:lineRule="auto"/>
        <w:jc w:val="center"/>
        <w:rPr>
          <w:rFonts w:ascii="宋体" w:hAnsi="宋体" w:cs="宋体"/>
          <w:color w:val="auto"/>
          <w:kern w:val="0"/>
          <w:sz w:val="28"/>
          <w:szCs w:val="28"/>
          <w:highlight w:val="none"/>
        </w:rPr>
      </w:pPr>
    </w:p>
    <w:p>
      <w:pPr>
        <w:autoSpaceDE w:val="0"/>
        <w:autoSpaceDN w:val="0"/>
        <w:adjustRightInd w:val="0"/>
        <w:spacing w:line="360" w:lineRule="auto"/>
        <w:jc w:val="center"/>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投标人名称：</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单位性质：</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地址：</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成立时间：年月日</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经营期限：</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姓名：性别：年龄：职务：</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系（投标人名称）的法定代表人。</w:t>
      </w: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特此证明。</w:t>
      </w: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p>
    <w:p>
      <w:pPr>
        <w:autoSpaceDE w:val="0"/>
        <w:autoSpaceDN w:val="0"/>
        <w:adjustRightInd w:val="0"/>
        <w:spacing w:line="360" w:lineRule="auto"/>
        <w:jc w:val="right"/>
        <w:rPr>
          <w:rFonts w:ascii="宋体" w:hAnsi="宋体" w:cs="宋体"/>
          <w:color w:val="auto"/>
          <w:kern w:val="0"/>
          <w:sz w:val="28"/>
          <w:szCs w:val="28"/>
          <w:highlight w:val="none"/>
        </w:rPr>
      </w:pPr>
      <w:r>
        <w:rPr>
          <w:rFonts w:hint="eastAsia" w:ascii="宋体" w:hAnsi="宋体" w:cs="宋体"/>
          <w:color w:val="auto"/>
          <w:kern w:val="0"/>
          <w:sz w:val="28"/>
          <w:szCs w:val="28"/>
          <w:highlight w:val="none"/>
        </w:rPr>
        <w:t>投标人：（盖单位公章）</w:t>
      </w:r>
    </w:p>
    <w:p>
      <w:pPr>
        <w:wordWrap w:val="0"/>
        <w:autoSpaceDE w:val="0"/>
        <w:autoSpaceDN w:val="0"/>
        <w:adjustRightInd w:val="0"/>
        <w:spacing w:line="360" w:lineRule="auto"/>
        <w:jc w:val="right"/>
        <w:rPr>
          <w:rFonts w:ascii="宋体" w:hAnsi="宋体" w:cs="宋体"/>
          <w:color w:val="auto"/>
          <w:kern w:val="0"/>
          <w:sz w:val="28"/>
          <w:szCs w:val="28"/>
          <w:highlight w:val="none"/>
        </w:rPr>
      </w:pPr>
      <w:r>
        <w:rPr>
          <w:rFonts w:hint="eastAsia" w:ascii="宋体" w:hAnsi="宋体" w:cs="宋体"/>
          <w:color w:val="auto"/>
          <w:kern w:val="0"/>
          <w:sz w:val="28"/>
          <w:szCs w:val="28"/>
          <w:highlight w:val="none"/>
        </w:rPr>
        <w:t>年月日</w:t>
      </w: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pStyle w:val="4"/>
        <w:jc w:val="center"/>
        <w:rPr>
          <w:rFonts w:ascii="宋体" w:hAnsi="宋体" w:cs="宋体"/>
          <w:color w:val="auto"/>
          <w:sz w:val="32"/>
          <w:highlight w:val="none"/>
        </w:rPr>
      </w:pPr>
      <w:bookmarkStart w:id="72" w:name="_Toc28258"/>
      <w:bookmarkStart w:id="73" w:name="_Toc15069"/>
      <w:r>
        <w:rPr>
          <w:rFonts w:hint="eastAsia" w:ascii="宋体" w:hAnsi="宋体" w:cs="宋体"/>
          <w:color w:val="auto"/>
          <w:sz w:val="32"/>
          <w:highlight w:val="none"/>
        </w:rPr>
        <w:t>三、授权委托书</w:t>
      </w:r>
      <w:bookmarkEnd w:id="72"/>
      <w:bookmarkEnd w:id="73"/>
    </w:p>
    <w:p>
      <w:pPr>
        <w:autoSpaceDE w:val="0"/>
        <w:autoSpaceDN w:val="0"/>
        <w:adjustRightInd w:val="0"/>
        <w:spacing w:line="360" w:lineRule="auto"/>
        <w:jc w:val="center"/>
        <w:rPr>
          <w:rFonts w:ascii="宋体" w:hAnsi="宋体" w:cs="宋体"/>
          <w:color w:val="auto"/>
          <w:kern w:val="0"/>
          <w:sz w:val="28"/>
          <w:szCs w:val="28"/>
          <w:highlight w:val="none"/>
        </w:rPr>
      </w:pP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委托期限：。</w:t>
      </w: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代理人无转委托权。</w:t>
      </w: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附：法定代表人身份证明</w:t>
      </w: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投标人：（盖单位公章）</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法定代表人： （签字或盖章）</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身份证号码：</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委托代理人： （签字或盖章）</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身份证号码：</w:t>
      </w:r>
    </w:p>
    <w:p>
      <w:pPr>
        <w:autoSpaceDE w:val="0"/>
        <w:autoSpaceDN w:val="0"/>
        <w:adjustRightInd w:val="0"/>
        <w:spacing w:line="360" w:lineRule="auto"/>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年月 日</w:t>
      </w: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center"/>
        <w:outlineLvl w:val="2"/>
        <w:rPr>
          <w:rFonts w:ascii="宋体" w:hAnsi="宋体" w:cs="宋体"/>
          <w:b/>
          <w:bCs/>
          <w:color w:val="auto"/>
          <w:kern w:val="0"/>
          <w:sz w:val="28"/>
          <w:szCs w:val="28"/>
          <w:highlight w:val="none"/>
        </w:rPr>
      </w:pPr>
      <w:r>
        <w:rPr>
          <w:rFonts w:hint="eastAsia" w:ascii="宋体" w:hAnsi="宋体" w:cs="宋体"/>
          <w:b/>
          <w:bCs/>
          <w:color w:val="auto"/>
          <w:sz w:val="32"/>
          <w:highlight w:val="none"/>
        </w:rPr>
        <w:t>四、</w:t>
      </w:r>
      <w:r>
        <w:rPr>
          <w:rFonts w:hint="eastAsia" w:ascii="宋体" w:hAnsi="宋体" w:cs="宋体"/>
          <w:b/>
          <w:bCs/>
          <w:color w:val="auto"/>
          <w:sz w:val="32"/>
          <w:szCs w:val="32"/>
          <w:highlight w:val="none"/>
        </w:rPr>
        <w:t>工程量清单</w:t>
      </w:r>
    </w:p>
    <w:p>
      <w:pPr>
        <w:autoSpaceDE w:val="0"/>
        <w:autoSpaceDN w:val="0"/>
        <w:adjustRightInd w:val="0"/>
        <w:spacing w:line="360" w:lineRule="auto"/>
        <w:jc w:val="center"/>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rPr>
          <w:rFonts w:ascii="宋体" w:hAnsi="宋体" w:cs="宋体"/>
          <w:color w:val="auto"/>
          <w:sz w:val="32"/>
          <w:highlight w:val="none"/>
        </w:rPr>
      </w:pPr>
      <w:bookmarkStart w:id="74" w:name="_Toc22686"/>
      <w:bookmarkStart w:id="75" w:name="_Toc11833"/>
      <w:r>
        <w:rPr>
          <w:rFonts w:hint="eastAsia" w:ascii="宋体" w:hAnsi="宋体" w:cs="宋体"/>
          <w:color w:val="auto"/>
          <w:sz w:val="32"/>
          <w:highlight w:val="none"/>
        </w:rPr>
        <w:br w:type="page"/>
      </w:r>
    </w:p>
    <w:bookmarkEnd w:id="74"/>
    <w:bookmarkEnd w:id="75"/>
    <w:p>
      <w:pPr>
        <w:pStyle w:val="4"/>
        <w:jc w:val="center"/>
        <w:rPr>
          <w:rFonts w:ascii="宋体" w:hAnsi="宋体" w:cs="宋体"/>
          <w:color w:val="auto"/>
          <w:sz w:val="32"/>
          <w:highlight w:val="none"/>
        </w:rPr>
      </w:pPr>
      <w:r>
        <w:rPr>
          <w:rFonts w:hint="eastAsia" w:ascii="宋体" w:hAnsi="宋体" w:cs="宋体"/>
          <w:color w:val="auto"/>
          <w:sz w:val="32"/>
          <w:highlight w:val="none"/>
        </w:rPr>
        <w:t>五、施工组织设计</w:t>
      </w:r>
    </w:p>
    <w:p>
      <w:pPr>
        <w:autoSpaceDE w:val="0"/>
        <w:autoSpaceDN w:val="0"/>
        <w:adjustRightInd w:val="0"/>
        <w:spacing w:line="360" w:lineRule="auto"/>
        <w:ind w:firstLine="719" w:firstLineChars="257"/>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1. 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autoSpaceDE w:val="0"/>
        <w:autoSpaceDN w:val="0"/>
        <w:adjustRightInd w:val="0"/>
        <w:spacing w:line="360" w:lineRule="auto"/>
        <w:ind w:firstLine="719" w:firstLineChars="257"/>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2. 施工组织设计除采用文字表述外可附下列图表，图表及格式要求附后。</w:t>
      </w:r>
    </w:p>
    <w:p>
      <w:pPr>
        <w:autoSpaceDE w:val="0"/>
        <w:autoSpaceDN w:val="0"/>
        <w:adjustRightInd w:val="0"/>
        <w:spacing w:line="360" w:lineRule="auto"/>
        <w:ind w:firstLine="1198" w:firstLineChars="428"/>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附表一 拟投入本项目的主要施工设备表</w:t>
      </w:r>
    </w:p>
    <w:p>
      <w:pPr>
        <w:autoSpaceDE w:val="0"/>
        <w:autoSpaceDN w:val="0"/>
        <w:adjustRightInd w:val="0"/>
        <w:spacing w:line="360" w:lineRule="auto"/>
        <w:ind w:firstLine="1198" w:firstLineChars="428"/>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附表二 拟配备本项目的试验和检测仪器设备表</w:t>
      </w:r>
    </w:p>
    <w:p>
      <w:pPr>
        <w:autoSpaceDE w:val="0"/>
        <w:autoSpaceDN w:val="0"/>
        <w:adjustRightInd w:val="0"/>
        <w:spacing w:line="360" w:lineRule="auto"/>
        <w:ind w:firstLine="1198" w:firstLineChars="428"/>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附表三 劳动力计划表</w:t>
      </w:r>
    </w:p>
    <w:p>
      <w:pPr>
        <w:autoSpaceDE w:val="0"/>
        <w:autoSpaceDN w:val="0"/>
        <w:adjustRightInd w:val="0"/>
        <w:spacing w:line="360" w:lineRule="auto"/>
        <w:ind w:firstLine="1198" w:firstLineChars="428"/>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附表四 计划开、竣工日期和施工进度网络图</w:t>
      </w:r>
    </w:p>
    <w:p>
      <w:pPr>
        <w:autoSpaceDE w:val="0"/>
        <w:autoSpaceDN w:val="0"/>
        <w:adjustRightInd w:val="0"/>
        <w:spacing w:line="360" w:lineRule="auto"/>
        <w:ind w:firstLine="1198" w:firstLineChars="428"/>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附表五 施工总平面图</w:t>
      </w:r>
    </w:p>
    <w:p>
      <w:pPr>
        <w:autoSpaceDE w:val="0"/>
        <w:autoSpaceDN w:val="0"/>
        <w:adjustRightInd w:val="0"/>
        <w:spacing w:line="360" w:lineRule="auto"/>
        <w:ind w:firstLine="1198" w:firstLineChars="428"/>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附表六 临时用地表</w:t>
      </w: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center"/>
        <w:rPr>
          <w:rFonts w:ascii="宋体" w:hAnsi="宋体" w:cs="宋体"/>
          <w:color w:val="auto"/>
          <w:kern w:val="0"/>
          <w:sz w:val="30"/>
          <w:szCs w:val="30"/>
          <w:highlight w:val="none"/>
        </w:rPr>
      </w:pPr>
    </w:p>
    <w:p>
      <w:pPr>
        <w:autoSpaceDE w:val="0"/>
        <w:autoSpaceDN w:val="0"/>
        <w:adjustRightInd w:val="0"/>
        <w:spacing w:line="360" w:lineRule="auto"/>
        <w:jc w:val="center"/>
        <w:rPr>
          <w:rFonts w:ascii="宋体" w:hAnsi="宋体" w:cs="宋体"/>
          <w:color w:val="auto"/>
          <w:kern w:val="0"/>
          <w:sz w:val="30"/>
          <w:szCs w:val="30"/>
          <w:highlight w:val="none"/>
        </w:rPr>
      </w:pPr>
      <w:r>
        <w:rPr>
          <w:rFonts w:hint="eastAsia" w:ascii="宋体" w:hAnsi="宋体" w:cs="宋体"/>
          <w:color w:val="auto"/>
          <w:kern w:val="0"/>
          <w:sz w:val="30"/>
          <w:szCs w:val="30"/>
          <w:highlight w:val="none"/>
        </w:rPr>
        <w:t>附表一：拟投入本项目的主要施工设备表</w:t>
      </w:r>
    </w:p>
    <w:p>
      <w:pPr>
        <w:autoSpaceDE w:val="0"/>
        <w:autoSpaceDN w:val="0"/>
        <w:adjustRightInd w:val="0"/>
        <w:spacing w:line="360" w:lineRule="auto"/>
        <w:jc w:val="left"/>
        <w:rPr>
          <w:rFonts w:ascii="宋体" w:hAnsi="宋体" w:cs="宋体"/>
          <w:color w:val="auto"/>
          <w:kern w:val="0"/>
          <w:sz w:val="28"/>
          <w:szCs w:val="28"/>
          <w:highlight w:val="none"/>
        </w:rPr>
      </w:pP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211"/>
        <w:gridCol w:w="931"/>
        <w:gridCol w:w="931"/>
        <w:gridCol w:w="932"/>
        <w:gridCol w:w="932"/>
        <w:gridCol w:w="1201"/>
        <w:gridCol w:w="662"/>
        <w:gridCol w:w="932"/>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设备名称</w:t>
            </w: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型号</w:t>
            </w:r>
          </w:p>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规格</w:t>
            </w: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数量</w:t>
            </w: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国别</w:t>
            </w:r>
          </w:p>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产地</w:t>
            </w: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制造</w:t>
            </w:r>
          </w:p>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年份</w:t>
            </w: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额定功率</w:t>
            </w:r>
          </w:p>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w:t>
            </w:r>
            <w:r>
              <w:rPr>
                <w:rFonts w:hint="eastAsia" w:ascii="宋体" w:hAnsi="宋体" w:cs="宋体"/>
                <w:b/>
                <w:color w:val="auto"/>
                <w:kern w:val="0"/>
                <w:sz w:val="24"/>
                <w:highlight w:val="none"/>
              </w:rPr>
              <w:t>KW</w:t>
            </w:r>
            <w:r>
              <w:rPr>
                <w:rFonts w:hint="eastAsia" w:ascii="宋体" w:hAnsi="宋体" w:cs="宋体"/>
                <w:color w:val="auto"/>
                <w:kern w:val="0"/>
                <w:sz w:val="24"/>
                <w:highlight w:val="none"/>
              </w:rPr>
              <w:t>）</w:t>
            </w: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生产</w:t>
            </w:r>
          </w:p>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能力</w:t>
            </w: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用于施</w:t>
            </w:r>
          </w:p>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工部位</w:t>
            </w: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1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1201"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66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c>
          <w:tcPr>
            <w:tcW w:w="932" w:type="dxa"/>
            <w:vAlign w:val="center"/>
          </w:tcPr>
          <w:p>
            <w:pPr>
              <w:autoSpaceDE w:val="0"/>
              <w:autoSpaceDN w:val="0"/>
              <w:adjustRightInd w:val="0"/>
              <w:spacing w:line="360" w:lineRule="auto"/>
              <w:jc w:val="center"/>
              <w:rPr>
                <w:rFonts w:ascii="宋体" w:hAnsi="宋体" w:cs="宋体"/>
                <w:color w:val="auto"/>
                <w:kern w:val="0"/>
                <w:sz w:val="24"/>
                <w:highlight w:val="none"/>
              </w:rPr>
            </w:pPr>
          </w:p>
        </w:tc>
      </w:tr>
    </w:tbl>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center"/>
        <w:rPr>
          <w:rFonts w:ascii="宋体" w:hAnsi="宋体" w:cs="宋体"/>
          <w:color w:val="auto"/>
          <w:kern w:val="0"/>
          <w:sz w:val="30"/>
          <w:szCs w:val="30"/>
          <w:highlight w:val="none"/>
        </w:rPr>
      </w:pPr>
      <w:r>
        <w:rPr>
          <w:rFonts w:hint="eastAsia" w:ascii="宋体" w:hAnsi="宋体" w:cs="宋体"/>
          <w:color w:val="auto"/>
          <w:kern w:val="0"/>
          <w:sz w:val="30"/>
          <w:szCs w:val="30"/>
          <w:highlight w:val="none"/>
        </w:rPr>
        <w:t>附表二：拟配备本项目的试验和检测仪器设备表</w:t>
      </w:r>
    </w:p>
    <w:p>
      <w:pPr>
        <w:autoSpaceDE w:val="0"/>
        <w:autoSpaceDN w:val="0"/>
        <w:adjustRightInd w:val="0"/>
        <w:spacing w:line="360" w:lineRule="auto"/>
        <w:jc w:val="center"/>
        <w:rPr>
          <w:rFonts w:ascii="宋体" w:hAnsi="宋体" w:cs="宋体"/>
          <w:color w:val="auto"/>
          <w:kern w:val="0"/>
          <w:sz w:val="30"/>
          <w:szCs w:val="30"/>
          <w:highlight w:val="none"/>
        </w:rPr>
      </w:pPr>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27"/>
        <w:gridCol w:w="1026"/>
        <w:gridCol w:w="1026"/>
        <w:gridCol w:w="1025"/>
        <w:gridCol w:w="884"/>
        <w:gridCol w:w="1166"/>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序号</w:t>
            </w:r>
          </w:p>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仪器设备名称</w:t>
            </w: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型号</w:t>
            </w:r>
          </w:p>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规格</w:t>
            </w: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数量</w:t>
            </w: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国别</w:t>
            </w:r>
          </w:p>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产地</w:t>
            </w: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制造</w:t>
            </w:r>
          </w:p>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年份</w:t>
            </w: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已使用台时数</w:t>
            </w: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用途</w:t>
            </w: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7"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8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26"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bl>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center"/>
        <w:rPr>
          <w:rFonts w:ascii="宋体" w:hAnsi="宋体" w:cs="宋体"/>
          <w:color w:val="auto"/>
          <w:kern w:val="0"/>
          <w:sz w:val="30"/>
          <w:szCs w:val="30"/>
          <w:highlight w:val="none"/>
        </w:rPr>
      </w:pPr>
      <w:r>
        <w:rPr>
          <w:rFonts w:hint="eastAsia" w:ascii="宋体" w:hAnsi="宋体" w:cs="宋体"/>
          <w:color w:val="auto"/>
          <w:kern w:val="0"/>
          <w:sz w:val="30"/>
          <w:szCs w:val="30"/>
          <w:highlight w:val="none"/>
        </w:rPr>
        <w:t>附表三：劳动力计划表</w:t>
      </w:r>
    </w:p>
    <w:p>
      <w:pPr>
        <w:autoSpaceDE w:val="0"/>
        <w:autoSpaceDN w:val="0"/>
        <w:adjustRightInd w:val="0"/>
        <w:spacing w:line="360" w:lineRule="auto"/>
        <w:jc w:val="right"/>
        <w:rPr>
          <w:rFonts w:ascii="宋体" w:hAnsi="宋体" w:cs="宋体"/>
          <w:color w:val="auto"/>
          <w:kern w:val="0"/>
          <w:sz w:val="28"/>
          <w:szCs w:val="28"/>
          <w:highlight w:val="none"/>
        </w:rPr>
      </w:pPr>
      <w:r>
        <w:rPr>
          <w:rFonts w:hint="eastAsia" w:ascii="宋体" w:hAnsi="宋体" w:cs="宋体"/>
          <w:color w:val="auto"/>
          <w:kern w:val="0"/>
          <w:sz w:val="28"/>
          <w:szCs w:val="28"/>
          <w:highlight w:val="none"/>
        </w:rPr>
        <w:t>单位：人</w:t>
      </w:r>
    </w:p>
    <w:tbl>
      <w:tblPr>
        <w:tblStyle w:val="47"/>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164"/>
        <w:gridCol w:w="1165"/>
        <w:gridCol w:w="1165"/>
        <w:gridCol w:w="1165"/>
        <w:gridCol w:w="1165"/>
        <w:gridCol w:w="1165"/>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工种</w:t>
            </w:r>
          </w:p>
        </w:tc>
        <w:tc>
          <w:tcPr>
            <w:tcW w:w="8157" w:type="dxa"/>
            <w:gridSpan w:val="7"/>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bl>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center"/>
        <w:rPr>
          <w:rFonts w:ascii="宋体" w:hAnsi="宋体" w:cs="宋体"/>
          <w:color w:val="auto"/>
          <w:kern w:val="0"/>
          <w:sz w:val="30"/>
          <w:szCs w:val="30"/>
          <w:highlight w:val="none"/>
        </w:rPr>
      </w:pPr>
      <w:r>
        <w:rPr>
          <w:rFonts w:hint="eastAsia" w:ascii="宋体" w:hAnsi="宋体" w:cs="宋体"/>
          <w:color w:val="auto"/>
          <w:kern w:val="0"/>
          <w:sz w:val="30"/>
          <w:szCs w:val="30"/>
          <w:highlight w:val="none"/>
        </w:rPr>
        <w:t>附表四：计划开、竣工日期和施工进度网络图</w:t>
      </w: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ind w:firstLine="957" w:firstLineChars="342"/>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1. 投标人应递交施工进度网络图或施工进度表，说明按招标文件要求的计划工期进行施工的各个关键日期。</w:t>
      </w:r>
    </w:p>
    <w:p>
      <w:pPr>
        <w:autoSpaceDE w:val="0"/>
        <w:autoSpaceDN w:val="0"/>
        <w:adjustRightInd w:val="0"/>
        <w:spacing w:line="360" w:lineRule="auto"/>
        <w:ind w:firstLine="957" w:firstLineChars="342"/>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2. 施工进度表可采用网络图（或横道图）表示。</w:t>
      </w: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center"/>
        <w:rPr>
          <w:rFonts w:ascii="宋体" w:hAnsi="宋体" w:cs="宋体"/>
          <w:color w:val="auto"/>
          <w:kern w:val="0"/>
          <w:sz w:val="30"/>
          <w:szCs w:val="30"/>
          <w:highlight w:val="none"/>
        </w:rPr>
      </w:pPr>
      <w:r>
        <w:rPr>
          <w:rFonts w:hint="eastAsia" w:ascii="宋体" w:hAnsi="宋体" w:cs="宋体"/>
          <w:color w:val="auto"/>
          <w:kern w:val="0"/>
          <w:sz w:val="30"/>
          <w:szCs w:val="30"/>
          <w:highlight w:val="none"/>
        </w:rPr>
        <w:t>附表五：施工总平面图</w:t>
      </w:r>
    </w:p>
    <w:p>
      <w:pPr>
        <w:autoSpaceDE w:val="0"/>
        <w:autoSpaceDN w:val="0"/>
        <w:adjustRightInd w:val="0"/>
        <w:spacing w:line="360" w:lineRule="auto"/>
        <w:jc w:val="center"/>
        <w:rPr>
          <w:rFonts w:ascii="宋体" w:hAnsi="宋体" w:cs="宋体"/>
          <w:color w:val="auto"/>
          <w:kern w:val="0"/>
          <w:sz w:val="28"/>
          <w:szCs w:val="28"/>
          <w:highlight w:val="none"/>
        </w:rPr>
      </w:pPr>
    </w:p>
    <w:p>
      <w:pPr>
        <w:autoSpaceDE w:val="0"/>
        <w:autoSpaceDN w:val="0"/>
        <w:adjustRightInd w:val="0"/>
        <w:spacing w:line="360" w:lineRule="auto"/>
        <w:ind w:firstLine="840" w:firstLineChars="3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投标人应递交一份施工总平面图，绘出现场临时设施布置图表并附文字说明，说明临时设施、加工车间、现场办公、设备及仓储、供电、供水、卫生、生活、道路、消防等设施的情况和布置。</w:t>
      </w: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30"/>
          <w:szCs w:val="30"/>
          <w:highlight w:val="none"/>
        </w:rPr>
        <w:t>附表六：临时用地表</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2328"/>
        <w:gridCol w:w="2329"/>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用 途</w:t>
            </w: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面 积（平方米）</w:t>
            </w: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位 置</w:t>
            </w: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bl>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pStyle w:val="4"/>
        <w:jc w:val="center"/>
        <w:rPr>
          <w:rFonts w:ascii="宋体" w:hAnsi="宋体" w:cs="宋体"/>
          <w:color w:val="auto"/>
          <w:sz w:val="32"/>
          <w:highlight w:val="none"/>
        </w:rPr>
      </w:pPr>
      <w:bookmarkStart w:id="76" w:name="_Toc30398"/>
      <w:bookmarkStart w:id="77" w:name="_Toc11030"/>
      <w:r>
        <w:rPr>
          <w:rFonts w:hint="eastAsia" w:ascii="宋体" w:hAnsi="宋体" w:cs="宋体"/>
          <w:color w:val="auto"/>
          <w:sz w:val="32"/>
          <w:highlight w:val="none"/>
        </w:rPr>
        <w:t>六、项目管理机构</w:t>
      </w:r>
      <w:bookmarkEnd w:id="76"/>
      <w:bookmarkEnd w:id="77"/>
    </w:p>
    <w:p>
      <w:pPr>
        <w:numPr>
          <w:ilvl w:val="0"/>
          <w:numId w:val="3"/>
        </w:num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30"/>
          <w:szCs w:val="30"/>
          <w:highlight w:val="none"/>
        </w:rPr>
        <w:t>项目管理机构组成表</w:t>
      </w: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034"/>
        <w:gridCol w:w="1035"/>
        <w:gridCol w:w="1225"/>
        <w:gridCol w:w="845"/>
        <w:gridCol w:w="1035"/>
        <w:gridCol w:w="1035"/>
        <w:gridCol w:w="116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034" w:type="dxa"/>
            <w:vMerge w:val="restart"/>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职务</w:t>
            </w:r>
          </w:p>
        </w:tc>
        <w:tc>
          <w:tcPr>
            <w:tcW w:w="1034" w:type="dxa"/>
            <w:vMerge w:val="restart"/>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姓名</w:t>
            </w:r>
          </w:p>
        </w:tc>
        <w:tc>
          <w:tcPr>
            <w:tcW w:w="1035" w:type="dxa"/>
            <w:vMerge w:val="restart"/>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职称</w:t>
            </w:r>
          </w:p>
        </w:tc>
        <w:tc>
          <w:tcPr>
            <w:tcW w:w="5309" w:type="dxa"/>
            <w:gridSpan w:val="5"/>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执业或职业资格证明</w:t>
            </w: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034" w:type="dxa"/>
            <w:vMerge w:val="continue"/>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Merge w:val="continue"/>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Merge w:val="continue"/>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证书名称</w:t>
            </w: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级别</w:t>
            </w: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证号</w:t>
            </w: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专业</w:t>
            </w: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养老保险</w:t>
            </w: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4"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22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84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03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169"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901"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bl>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autoSpaceDE w:val="0"/>
        <w:autoSpaceDN w:val="0"/>
        <w:adjustRightInd w:val="0"/>
        <w:spacing w:line="360" w:lineRule="auto"/>
        <w:jc w:val="left"/>
        <w:rPr>
          <w:rFonts w:ascii="宋体" w:hAnsi="宋体" w:cs="宋体"/>
          <w:color w:val="auto"/>
          <w:kern w:val="0"/>
          <w:sz w:val="28"/>
          <w:szCs w:val="28"/>
          <w:highlight w:val="none"/>
        </w:rPr>
      </w:pPr>
    </w:p>
    <w:p>
      <w:pPr>
        <w:rPr>
          <w:rFonts w:ascii="宋体" w:hAnsi="宋体" w:cs="宋体"/>
          <w:color w:val="auto"/>
          <w:kern w:val="0"/>
          <w:sz w:val="30"/>
          <w:szCs w:val="30"/>
          <w:highlight w:val="none"/>
        </w:rPr>
      </w:pPr>
      <w:r>
        <w:rPr>
          <w:rFonts w:hint="eastAsia" w:ascii="宋体" w:hAnsi="宋体" w:cs="宋体"/>
          <w:color w:val="auto"/>
          <w:kern w:val="0"/>
          <w:sz w:val="30"/>
          <w:szCs w:val="30"/>
          <w:highlight w:val="none"/>
        </w:rPr>
        <w:br w:type="page"/>
      </w:r>
    </w:p>
    <w:p>
      <w:pPr>
        <w:autoSpaceDE w:val="0"/>
        <w:autoSpaceDN w:val="0"/>
        <w:adjustRightInd w:val="0"/>
        <w:spacing w:line="360" w:lineRule="auto"/>
        <w:jc w:val="center"/>
        <w:rPr>
          <w:rFonts w:ascii="宋体" w:hAnsi="宋体" w:cs="宋体"/>
          <w:color w:val="auto"/>
          <w:kern w:val="0"/>
          <w:sz w:val="30"/>
          <w:szCs w:val="30"/>
          <w:highlight w:val="none"/>
        </w:rPr>
      </w:pPr>
      <w:r>
        <w:rPr>
          <w:rFonts w:hint="eastAsia" w:ascii="宋体" w:hAnsi="宋体" w:cs="宋体"/>
          <w:color w:val="auto"/>
          <w:kern w:val="0"/>
          <w:sz w:val="30"/>
          <w:szCs w:val="30"/>
          <w:highlight w:val="none"/>
        </w:rPr>
        <w:t>（二）主要人员简历表</w:t>
      </w:r>
    </w:p>
    <w:p>
      <w:pPr>
        <w:autoSpaceDE w:val="0"/>
        <w:autoSpaceDN w:val="0"/>
        <w:adjustRightInd w:val="0"/>
        <w:spacing w:line="360" w:lineRule="auto"/>
        <w:ind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姓 名</w:t>
            </w:r>
          </w:p>
        </w:tc>
        <w:tc>
          <w:tcPr>
            <w:tcW w:w="1551"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55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年 龄</w:t>
            </w:r>
          </w:p>
        </w:tc>
        <w:tc>
          <w:tcPr>
            <w:tcW w:w="1552"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843"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学 历</w:t>
            </w:r>
          </w:p>
        </w:tc>
        <w:tc>
          <w:tcPr>
            <w:tcW w:w="126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职 称</w:t>
            </w:r>
          </w:p>
        </w:tc>
        <w:tc>
          <w:tcPr>
            <w:tcW w:w="1551"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555"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职 务</w:t>
            </w:r>
          </w:p>
        </w:tc>
        <w:tc>
          <w:tcPr>
            <w:tcW w:w="1552"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1843"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拟在本合同任职</w:t>
            </w:r>
          </w:p>
        </w:tc>
        <w:tc>
          <w:tcPr>
            <w:tcW w:w="1263"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毕业学校</w:t>
            </w:r>
          </w:p>
        </w:tc>
        <w:tc>
          <w:tcPr>
            <w:tcW w:w="7764" w:type="dxa"/>
            <w:gridSpan w:val="7"/>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时 间</w:t>
            </w:r>
          </w:p>
        </w:tc>
        <w:tc>
          <w:tcPr>
            <w:tcW w:w="2329"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参加过的类似项目</w:t>
            </w:r>
          </w:p>
        </w:tc>
        <w:tc>
          <w:tcPr>
            <w:tcW w:w="2328"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担任职务</w:t>
            </w:r>
          </w:p>
        </w:tc>
        <w:tc>
          <w:tcPr>
            <w:tcW w:w="2330"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30"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30"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30"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30"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30"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30"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30"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9"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28"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c>
          <w:tcPr>
            <w:tcW w:w="2330" w:type="dxa"/>
            <w:gridSpan w:val="2"/>
            <w:vAlign w:val="center"/>
          </w:tcPr>
          <w:p>
            <w:pPr>
              <w:autoSpaceDE w:val="0"/>
              <w:autoSpaceDN w:val="0"/>
              <w:adjustRightInd w:val="0"/>
              <w:spacing w:line="360" w:lineRule="auto"/>
              <w:jc w:val="center"/>
              <w:rPr>
                <w:rFonts w:ascii="宋体" w:hAnsi="宋体" w:cs="宋体"/>
                <w:color w:val="auto"/>
                <w:kern w:val="0"/>
                <w:sz w:val="28"/>
                <w:szCs w:val="28"/>
                <w:highlight w:val="none"/>
              </w:rPr>
            </w:pPr>
          </w:p>
        </w:tc>
      </w:tr>
    </w:tbl>
    <w:p>
      <w:pPr>
        <w:autoSpaceDE w:val="0"/>
        <w:autoSpaceDN w:val="0"/>
        <w:adjustRightInd w:val="0"/>
        <w:spacing w:line="360" w:lineRule="auto"/>
        <w:jc w:val="left"/>
        <w:rPr>
          <w:rFonts w:ascii="宋体" w:hAnsi="宋体" w:cs="宋体"/>
          <w:color w:val="auto"/>
          <w:kern w:val="0"/>
          <w:sz w:val="28"/>
          <w:szCs w:val="28"/>
          <w:highlight w:val="none"/>
        </w:rPr>
      </w:pPr>
    </w:p>
    <w:p>
      <w:pPr>
        <w:rPr>
          <w:rFonts w:ascii="宋体" w:hAnsi="宋体" w:cs="宋体"/>
          <w:color w:val="auto"/>
          <w:sz w:val="32"/>
          <w:highlight w:val="none"/>
        </w:rPr>
      </w:pPr>
      <w:bookmarkStart w:id="78" w:name="_Toc18772"/>
      <w:bookmarkStart w:id="79" w:name="_Toc20705"/>
      <w:r>
        <w:rPr>
          <w:rFonts w:hint="eastAsia" w:ascii="宋体" w:hAnsi="宋体" w:cs="宋体"/>
          <w:color w:val="auto"/>
          <w:sz w:val="32"/>
          <w:highlight w:val="none"/>
        </w:rPr>
        <w:br w:type="page"/>
      </w:r>
    </w:p>
    <w:p>
      <w:pPr>
        <w:pStyle w:val="4"/>
        <w:numPr>
          <w:ilvl w:val="0"/>
          <w:numId w:val="4"/>
        </w:numPr>
        <w:jc w:val="center"/>
        <w:rPr>
          <w:rFonts w:ascii="宋体" w:hAnsi="宋体" w:cs="宋体"/>
          <w:color w:val="auto"/>
          <w:sz w:val="32"/>
          <w:highlight w:val="none"/>
        </w:rPr>
      </w:pPr>
      <w:r>
        <w:rPr>
          <w:rFonts w:hint="eastAsia" w:ascii="宋体" w:hAnsi="宋体" w:cs="宋体"/>
          <w:color w:val="auto"/>
          <w:sz w:val="32"/>
          <w:highlight w:val="none"/>
        </w:rPr>
        <w:t>项目经理无在建工程承诺</w:t>
      </w:r>
      <w:bookmarkEnd w:id="78"/>
      <w:bookmarkEnd w:id="79"/>
    </w:p>
    <w:p>
      <w:pPr>
        <w:jc w:val="center"/>
        <w:rPr>
          <w:color w:val="auto"/>
          <w:highlight w:val="none"/>
        </w:rPr>
      </w:pPr>
      <w:r>
        <w:rPr>
          <w:rFonts w:hint="eastAsia"/>
          <w:color w:val="auto"/>
          <w:highlight w:val="none"/>
        </w:rPr>
        <w:t>（格式自拟）</w:t>
      </w:r>
    </w:p>
    <w:p>
      <w:pPr>
        <w:rPr>
          <w:rFonts w:ascii="宋体" w:hAnsi="宋体" w:cs="宋体"/>
          <w:color w:val="auto"/>
          <w:sz w:val="32"/>
          <w:highlight w:val="none"/>
        </w:rPr>
      </w:pPr>
      <w:bookmarkStart w:id="80" w:name="_Toc29858"/>
      <w:bookmarkStart w:id="81" w:name="_Toc4453"/>
      <w:r>
        <w:rPr>
          <w:rFonts w:hint="eastAsia" w:ascii="宋体" w:hAnsi="宋体" w:cs="宋体"/>
          <w:color w:val="auto"/>
          <w:sz w:val="32"/>
          <w:highlight w:val="none"/>
        </w:rPr>
        <w:br w:type="page"/>
      </w:r>
    </w:p>
    <w:p>
      <w:pPr>
        <w:pStyle w:val="4"/>
        <w:jc w:val="center"/>
        <w:rPr>
          <w:rFonts w:ascii="宋体" w:hAnsi="宋体" w:cs="宋体"/>
          <w:color w:val="auto"/>
          <w:sz w:val="32"/>
          <w:highlight w:val="none"/>
        </w:rPr>
      </w:pPr>
      <w:r>
        <w:rPr>
          <w:rFonts w:hint="eastAsia" w:ascii="宋体" w:hAnsi="宋体" w:cs="宋体"/>
          <w:color w:val="auto"/>
          <w:sz w:val="32"/>
          <w:highlight w:val="none"/>
        </w:rPr>
        <w:t>八、资格审查资料</w:t>
      </w:r>
      <w:bookmarkEnd w:id="80"/>
      <w:bookmarkEnd w:id="81"/>
    </w:p>
    <w:p>
      <w:pPr>
        <w:keepNext/>
        <w:keepLines/>
        <w:spacing w:line="480" w:lineRule="exact"/>
        <w:jc w:val="center"/>
        <w:rPr>
          <w:rFonts w:ascii="宋体" w:hAnsi="宋体" w:cs="宋体"/>
          <w:color w:val="auto"/>
          <w:highlight w:val="none"/>
        </w:rPr>
      </w:pPr>
      <w:bookmarkStart w:id="82" w:name="_Toc493579168"/>
      <w:bookmarkStart w:id="83" w:name="_Toc517256829"/>
      <w:bookmarkStart w:id="84" w:name="_Toc2748"/>
      <w:bookmarkStart w:id="85" w:name="_Toc30366"/>
      <w:r>
        <w:rPr>
          <w:rFonts w:hint="eastAsia" w:ascii="宋体" w:hAnsi="宋体" w:cs="宋体"/>
          <w:color w:val="auto"/>
          <w:highlight w:val="none"/>
        </w:rPr>
        <w:t>（一）投标人基本情况表</w:t>
      </w:r>
      <w:bookmarkEnd w:id="82"/>
      <w:bookmarkEnd w:id="83"/>
      <w:bookmarkEnd w:id="84"/>
      <w:bookmarkEnd w:id="85"/>
    </w:p>
    <w:p>
      <w:pPr>
        <w:autoSpaceDE w:val="0"/>
        <w:autoSpaceDN w:val="0"/>
        <w:adjustRightInd w:val="0"/>
        <w:spacing w:line="420" w:lineRule="exact"/>
        <w:jc w:val="left"/>
        <w:rPr>
          <w:rFonts w:ascii="宋体" w:hAnsi="宋体" w:cs="宋体"/>
          <w:color w:val="auto"/>
          <w:kern w:val="0"/>
          <w:sz w:val="24"/>
          <w:highlight w:val="none"/>
        </w:rPr>
      </w:pP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07"/>
        <w:gridCol w:w="1330"/>
        <w:gridCol w:w="1331"/>
        <w:gridCol w:w="1106"/>
        <w:gridCol w:w="225"/>
        <w:gridCol w:w="1331"/>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投标人名称</w:t>
            </w:r>
          </w:p>
        </w:tc>
        <w:tc>
          <w:tcPr>
            <w:tcW w:w="7761" w:type="dxa"/>
            <w:gridSpan w:val="7"/>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注册地址</w:t>
            </w:r>
          </w:p>
        </w:tc>
        <w:tc>
          <w:tcPr>
            <w:tcW w:w="3768" w:type="dxa"/>
            <w:gridSpan w:val="3"/>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邮政编码</w:t>
            </w:r>
          </w:p>
        </w:tc>
        <w:tc>
          <w:tcPr>
            <w:tcW w:w="2662"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Merge w:val="restart"/>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联系方式</w:t>
            </w:r>
          </w:p>
        </w:tc>
        <w:tc>
          <w:tcPr>
            <w:tcW w:w="1107"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联系人</w:t>
            </w:r>
          </w:p>
        </w:tc>
        <w:tc>
          <w:tcPr>
            <w:tcW w:w="2661"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电话</w:t>
            </w:r>
          </w:p>
        </w:tc>
        <w:tc>
          <w:tcPr>
            <w:tcW w:w="2662"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1552" w:type="dxa"/>
            <w:vMerge w:val="continue"/>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107"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传 真</w:t>
            </w:r>
          </w:p>
        </w:tc>
        <w:tc>
          <w:tcPr>
            <w:tcW w:w="2661"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网址</w:t>
            </w:r>
          </w:p>
        </w:tc>
        <w:tc>
          <w:tcPr>
            <w:tcW w:w="2662"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组织结构</w:t>
            </w:r>
          </w:p>
        </w:tc>
        <w:tc>
          <w:tcPr>
            <w:tcW w:w="7761" w:type="dxa"/>
            <w:gridSpan w:val="7"/>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法定代表人</w:t>
            </w:r>
          </w:p>
        </w:tc>
        <w:tc>
          <w:tcPr>
            <w:tcW w:w="1107"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姓名</w:t>
            </w:r>
          </w:p>
        </w:tc>
        <w:tc>
          <w:tcPr>
            <w:tcW w:w="1330"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技术职称</w:t>
            </w:r>
          </w:p>
        </w:tc>
        <w:tc>
          <w:tcPr>
            <w:tcW w:w="1331"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电话</w:t>
            </w: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技术负责人</w:t>
            </w:r>
          </w:p>
        </w:tc>
        <w:tc>
          <w:tcPr>
            <w:tcW w:w="1107"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姓名</w:t>
            </w:r>
          </w:p>
        </w:tc>
        <w:tc>
          <w:tcPr>
            <w:tcW w:w="1330"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技术职称</w:t>
            </w:r>
          </w:p>
        </w:tc>
        <w:tc>
          <w:tcPr>
            <w:tcW w:w="1331"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电话</w:t>
            </w: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成立时间</w:t>
            </w:r>
          </w:p>
        </w:tc>
        <w:tc>
          <w:tcPr>
            <w:tcW w:w="3768" w:type="dxa"/>
            <w:gridSpan w:val="3"/>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3993" w:type="dxa"/>
            <w:gridSpan w:val="4"/>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企业资质等级</w:t>
            </w:r>
          </w:p>
        </w:tc>
        <w:tc>
          <w:tcPr>
            <w:tcW w:w="3768" w:type="dxa"/>
            <w:gridSpan w:val="3"/>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106" w:type="dxa"/>
            <w:vMerge w:val="restart"/>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其中</w:t>
            </w:r>
          </w:p>
        </w:tc>
        <w:tc>
          <w:tcPr>
            <w:tcW w:w="1556"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项目经理</w:t>
            </w: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营业执照号</w:t>
            </w:r>
          </w:p>
        </w:tc>
        <w:tc>
          <w:tcPr>
            <w:tcW w:w="3768" w:type="dxa"/>
            <w:gridSpan w:val="3"/>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106" w:type="dxa"/>
            <w:vMerge w:val="continue"/>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556"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高级职称人员</w:t>
            </w: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注册资金</w:t>
            </w:r>
          </w:p>
        </w:tc>
        <w:tc>
          <w:tcPr>
            <w:tcW w:w="1107"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0"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106" w:type="dxa"/>
            <w:vMerge w:val="continue"/>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556"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中级职称人员</w:t>
            </w: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开户银行</w:t>
            </w:r>
          </w:p>
        </w:tc>
        <w:tc>
          <w:tcPr>
            <w:tcW w:w="1107"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0"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106" w:type="dxa"/>
            <w:vMerge w:val="continue"/>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556"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初级职称人员</w:t>
            </w: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账号</w:t>
            </w:r>
          </w:p>
        </w:tc>
        <w:tc>
          <w:tcPr>
            <w:tcW w:w="1107"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0"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106" w:type="dxa"/>
            <w:vMerge w:val="continue"/>
            <w:vAlign w:val="center"/>
          </w:tcPr>
          <w:p>
            <w:pPr>
              <w:autoSpaceDE w:val="0"/>
              <w:autoSpaceDN w:val="0"/>
              <w:adjustRightInd w:val="0"/>
              <w:spacing w:line="420" w:lineRule="exact"/>
              <w:jc w:val="center"/>
              <w:rPr>
                <w:rFonts w:ascii="宋体" w:hAnsi="宋体" w:cs="宋体"/>
                <w:color w:val="auto"/>
                <w:kern w:val="0"/>
                <w:sz w:val="24"/>
                <w:highlight w:val="none"/>
              </w:rPr>
            </w:pPr>
          </w:p>
        </w:tc>
        <w:tc>
          <w:tcPr>
            <w:tcW w:w="1556" w:type="dxa"/>
            <w:gridSpan w:val="2"/>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技工</w:t>
            </w:r>
          </w:p>
        </w:tc>
        <w:tc>
          <w:tcPr>
            <w:tcW w:w="1331" w:type="dxa"/>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经营范围</w:t>
            </w:r>
          </w:p>
        </w:tc>
        <w:tc>
          <w:tcPr>
            <w:tcW w:w="7761" w:type="dxa"/>
            <w:gridSpan w:val="7"/>
            <w:vAlign w:val="center"/>
          </w:tcPr>
          <w:p>
            <w:pPr>
              <w:autoSpaceDE w:val="0"/>
              <w:autoSpaceDN w:val="0"/>
              <w:adjustRightInd w:val="0"/>
              <w:spacing w:line="420" w:lineRule="exact"/>
              <w:jc w:val="center"/>
              <w:rPr>
                <w:rFonts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552" w:type="dxa"/>
            <w:vAlign w:val="center"/>
          </w:tcPr>
          <w:p>
            <w:pPr>
              <w:autoSpaceDE w:val="0"/>
              <w:autoSpaceDN w:val="0"/>
              <w:adjustRightInd w:val="0"/>
              <w:spacing w:line="420" w:lineRule="exact"/>
              <w:jc w:val="center"/>
              <w:rPr>
                <w:rFonts w:ascii="宋体" w:hAnsi="宋体" w:cs="宋体"/>
                <w:color w:val="auto"/>
                <w:kern w:val="0"/>
                <w:sz w:val="24"/>
                <w:highlight w:val="none"/>
              </w:rPr>
            </w:pPr>
            <w:r>
              <w:rPr>
                <w:rFonts w:hint="eastAsia" w:ascii="宋体" w:hAnsi="宋体" w:cs="宋体"/>
                <w:color w:val="auto"/>
                <w:kern w:val="0"/>
                <w:szCs w:val="21"/>
                <w:highlight w:val="none"/>
              </w:rPr>
              <w:t>备注</w:t>
            </w:r>
          </w:p>
        </w:tc>
        <w:tc>
          <w:tcPr>
            <w:tcW w:w="7761" w:type="dxa"/>
            <w:gridSpan w:val="7"/>
            <w:vAlign w:val="center"/>
          </w:tcPr>
          <w:p>
            <w:pPr>
              <w:autoSpaceDE w:val="0"/>
              <w:autoSpaceDN w:val="0"/>
              <w:adjustRightInd w:val="0"/>
              <w:spacing w:line="420" w:lineRule="exact"/>
              <w:jc w:val="center"/>
              <w:rPr>
                <w:rFonts w:ascii="宋体" w:hAnsi="宋体" w:cs="宋体"/>
                <w:color w:val="auto"/>
                <w:kern w:val="0"/>
                <w:sz w:val="24"/>
                <w:highlight w:val="none"/>
              </w:rPr>
            </w:pPr>
          </w:p>
        </w:tc>
      </w:tr>
    </w:tbl>
    <w:p>
      <w:pPr>
        <w:autoSpaceDE w:val="0"/>
        <w:autoSpaceDN w:val="0"/>
        <w:adjustRightInd w:val="0"/>
        <w:spacing w:line="420" w:lineRule="exact"/>
        <w:jc w:val="left"/>
        <w:rPr>
          <w:rFonts w:ascii="宋体" w:hAnsi="宋体" w:cs="宋体"/>
          <w:color w:val="auto"/>
          <w:kern w:val="0"/>
          <w:sz w:val="18"/>
          <w:szCs w:val="18"/>
          <w:highlight w:val="none"/>
        </w:rPr>
      </w:pPr>
    </w:p>
    <w:p>
      <w:pPr>
        <w:autoSpaceDE w:val="0"/>
        <w:autoSpaceDN w:val="0"/>
        <w:adjustRightInd w:val="0"/>
        <w:spacing w:line="420" w:lineRule="exact"/>
        <w:jc w:val="left"/>
        <w:rPr>
          <w:rFonts w:ascii="宋体" w:hAnsi="宋体" w:cs="宋体"/>
          <w:color w:val="auto"/>
          <w:kern w:val="0"/>
          <w:sz w:val="24"/>
          <w:highlight w:val="none"/>
        </w:rPr>
      </w:pPr>
    </w:p>
    <w:p>
      <w:pPr>
        <w:keepNext/>
        <w:keepLines/>
        <w:spacing w:line="480" w:lineRule="exact"/>
        <w:jc w:val="center"/>
        <w:rPr>
          <w:rFonts w:ascii="宋体" w:hAnsi="宋体" w:cs="宋体"/>
          <w:color w:val="auto"/>
          <w:highlight w:val="none"/>
        </w:rPr>
      </w:pPr>
      <w:bookmarkStart w:id="86" w:name="_Toc15569"/>
      <w:bookmarkStart w:id="87" w:name="_Toc493579169"/>
      <w:bookmarkStart w:id="88" w:name="_Toc517256830"/>
      <w:bookmarkStart w:id="89" w:name="_Toc23897"/>
      <w:r>
        <w:rPr>
          <w:rFonts w:hint="eastAsia" w:ascii="宋体" w:hAnsi="宋体" w:cs="宋体"/>
          <w:color w:val="auto"/>
          <w:highlight w:val="none"/>
        </w:rPr>
        <w:t>（二）近年财务状况表</w:t>
      </w:r>
      <w:bookmarkEnd w:id="86"/>
      <w:bookmarkEnd w:id="87"/>
      <w:bookmarkEnd w:id="88"/>
      <w:bookmarkEnd w:id="89"/>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18"/>
          <w:szCs w:val="18"/>
          <w:highlight w:val="none"/>
        </w:rPr>
      </w:pPr>
    </w:p>
    <w:p>
      <w:pPr>
        <w:autoSpaceDE w:val="0"/>
        <w:autoSpaceDN w:val="0"/>
        <w:adjustRightInd w:val="0"/>
        <w:spacing w:line="420" w:lineRule="exact"/>
        <w:jc w:val="left"/>
        <w:rPr>
          <w:rFonts w:ascii="宋体" w:hAnsi="宋体" w:cs="宋体"/>
          <w:color w:val="auto"/>
          <w:kern w:val="0"/>
          <w:sz w:val="18"/>
          <w:szCs w:val="18"/>
          <w:highlight w:val="none"/>
        </w:rPr>
      </w:pPr>
    </w:p>
    <w:p>
      <w:pPr>
        <w:autoSpaceDE w:val="0"/>
        <w:autoSpaceDN w:val="0"/>
        <w:adjustRightInd w:val="0"/>
        <w:spacing w:line="420" w:lineRule="exact"/>
        <w:jc w:val="left"/>
        <w:rPr>
          <w:rFonts w:ascii="宋体" w:hAnsi="宋体" w:cs="宋体"/>
          <w:color w:val="auto"/>
          <w:kern w:val="0"/>
          <w:sz w:val="18"/>
          <w:szCs w:val="18"/>
          <w:highlight w:val="none"/>
        </w:rPr>
      </w:pPr>
    </w:p>
    <w:p>
      <w:pPr>
        <w:autoSpaceDE w:val="0"/>
        <w:autoSpaceDN w:val="0"/>
        <w:adjustRightInd w:val="0"/>
        <w:spacing w:line="420" w:lineRule="exact"/>
        <w:jc w:val="left"/>
        <w:rPr>
          <w:rFonts w:ascii="宋体" w:hAnsi="宋体" w:cs="宋体"/>
          <w:color w:val="auto"/>
          <w:kern w:val="0"/>
          <w:sz w:val="18"/>
          <w:szCs w:val="18"/>
          <w:highlight w:val="none"/>
        </w:rPr>
      </w:pPr>
    </w:p>
    <w:p>
      <w:pPr>
        <w:autoSpaceDE w:val="0"/>
        <w:autoSpaceDN w:val="0"/>
        <w:adjustRightInd w:val="0"/>
        <w:spacing w:line="420" w:lineRule="exact"/>
        <w:jc w:val="left"/>
        <w:rPr>
          <w:rFonts w:ascii="宋体" w:hAnsi="宋体" w:cs="宋体"/>
          <w:color w:val="auto"/>
          <w:kern w:val="0"/>
          <w:sz w:val="18"/>
          <w:szCs w:val="18"/>
          <w:highlight w:val="none"/>
        </w:rPr>
      </w:pPr>
    </w:p>
    <w:p>
      <w:pPr>
        <w:autoSpaceDE w:val="0"/>
        <w:autoSpaceDN w:val="0"/>
        <w:adjustRightInd w:val="0"/>
        <w:spacing w:line="420" w:lineRule="exact"/>
        <w:jc w:val="left"/>
        <w:rPr>
          <w:rFonts w:ascii="宋体" w:hAnsi="宋体" w:cs="宋体"/>
          <w:color w:val="auto"/>
          <w:kern w:val="0"/>
          <w:sz w:val="18"/>
          <w:szCs w:val="18"/>
          <w:highlight w:val="none"/>
        </w:rPr>
      </w:pPr>
    </w:p>
    <w:p>
      <w:pPr>
        <w:autoSpaceDE w:val="0"/>
        <w:autoSpaceDN w:val="0"/>
        <w:adjustRightInd w:val="0"/>
        <w:spacing w:line="420" w:lineRule="exact"/>
        <w:jc w:val="left"/>
        <w:rPr>
          <w:rFonts w:ascii="宋体" w:hAnsi="宋体" w:cs="宋体"/>
          <w:color w:val="auto"/>
          <w:kern w:val="0"/>
          <w:sz w:val="18"/>
          <w:szCs w:val="18"/>
          <w:highlight w:val="none"/>
        </w:rPr>
      </w:pPr>
    </w:p>
    <w:p>
      <w:pPr>
        <w:autoSpaceDE w:val="0"/>
        <w:autoSpaceDN w:val="0"/>
        <w:adjustRightInd w:val="0"/>
        <w:spacing w:line="420" w:lineRule="exact"/>
        <w:jc w:val="left"/>
        <w:rPr>
          <w:rFonts w:ascii="宋体" w:hAnsi="宋体" w:cs="宋体"/>
          <w:color w:val="auto"/>
          <w:kern w:val="0"/>
          <w:sz w:val="18"/>
          <w:szCs w:val="18"/>
          <w:highlight w:val="none"/>
        </w:rPr>
      </w:pPr>
    </w:p>
    <w:p>
      <w:pPr>
        <w:autoSpaceDE w:val="0"/>
        <w:autoSpaceDN w:val="0"/>
        <w:adjustRightInd w:val="0"/>
        <w:spacing w:line="420" w:lineRule="exact"/>
        <w:jc w:val="left"/>
        <w:rPr>
          <w:rFonts w:ascii="宋体" w:hAnsi="宋体" w:cs="宋体"/>
          <w:color w:val="auto"/>
          <w:kern w:val="0"/>
          <w:sz w:val="18"/>
          <w:szCs w:val="18"/>
          <w:highlight w:val="none"/>
        </w:rPr>
      </w:pPr>
    </w:p>
    <w:p>
      <w:pPr>
        <w:keepNext/>
        <w:keepLines/>
        <w:spacing w:line="480" w:lineRule="exact"/>
        <w:jc w:val="center"/>
        <w:rPr>
          <w:rFonts w:ascii="宋体" w:hAnsi="宋体" w:cs="宋体"/>
          <w:color w:val="auto"/>
          <w:highlight w:val="none"/>
        </w:rPr>
      </w:pPr>
      <w:bookmarkStart w:id="90" w:name="_Toc517256831"/>
      <w:bookmarkStart w:id="91" w:name="_Toc21529"/>
      <w:bookmarkStart w:id="92" w:name="_Toc493579170"/>
      <w:bookmarkStart w:id="93" w:name="_Toc1508"/>
      <w:r>
        <w:rPr>
          <w:rFonts w:hint="eastAsia" w:ascii="宋体" w:hAnsi="宋体" w:cs="宋体"/>
          <w:color w:val="auto"/>
          <w:highlight w:val="none"/>
        </w:rPr>
        <w:t>（三）近年完成的类似项目情况表</w:t>
      </w:r>
      <w:bookmarkEnd w:id="90"/>
      <w:bookmarkEnd w:id="91"/>
      <w:bookmarkEnd w:id="92"/>
      <w:bookmarkEnd w:id="93"/>
    </w:p>
    <w:p>
      <w:pPr>
        <w:autoSpaceDE w:val="0"/>
        <w:autoSpaceDN w:val="0"/>
        <w:adjustRightInd w:val="0"/>
        <w:spacing w:line="420" w:lineRule="exact"/>
        <w:jc w:val="left"/>
        <w:rPr>
          <w:rFonts w:ascii="宋体" w:hAnsi="宋体" w:cs="宋体"/>
          <w:color w:val="auto"/>
          <w:kern w:val="0"/>
          <w:sz w:val="24"/>
          <w:highlight w:val="none"/>
        </w:rPr>
      </w:pPr>
    </w:p>
    <w:tbl>
      <w:tblPr>
        <w:tblStyle w:val="47"/>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项目所在地</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发包人名称</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发包人地址</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发包人电话</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合同价格</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开工日期</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竣工日期</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承担的工作</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工程质量</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项目经理</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技术负责人</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总监理工程师及电话</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项目描述</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bl>
    <w:p>
      <w:pPr>
        <w:autoSpaceDE w:val="0"/>
        <w:autoSpaceDN w:val="0"/>
        <w:adjustRightInd w:val="0"/>
        <w:spacing w:line="420" w:lineRule="exact"/>
        <w:jc w:val="left"/>
        <w:rPr>
          <w:rFonts w:ascii="宋体" w:hAnsi="宋体" w:cs="宋体"/>
          <w:color w:val="auto"/>
          <w:kern w:val="0"/>
          <w:sz w:val="18"/>
          <w:szCs w:val="18"/>
          <w:highlight w:val="none"/>
        </w:rPr>
      </w:pPr>
    </w:p>
    <w:p>
      <w:pPr>
        <w:keepNext/>
        <w:keepLines/>
        <w:spacing w:line="480" w:lineRule="exact"/>
        <w:jc w:val="center"/>
        <w:rPr>
          <w:rFonts w:ascii="宋体" w:hAnsi="宋体" w:cs="宋体"/>
          <w:color w:val="auto"/>
          <w:highlight w:val="none"/>
        </w:rPr>
      </w:pPr>
      <w:bookmarkStart w:id="94" w:name="_Toc493579171"/>
      <w:bookmarkStart w:id="95" w:name="_Toc517256832"/>
      <w:bookmarkStart w:id="96" w:name="_Toc9626"/>
      <w:bookmarkStart w:id="97" w:name="_Toc22084"/>
      <w:r>
        <w:rPr>
          <w:rFonts w:hint="eastAsia" w:ascii="宋体" w:hAnsi="宋体" w:cs="宋体"/>
          <w:color w:val="auto"/>
          <w:highlight w:val="none"/>
        </w:rPr>
        <w:t>（四）正在施工的和新承接的项目情况表</w:t>
      </w:r>
      <w:bookmarkEnd w:id="94"/>
      <w:bookmarkEnd w:id="95"/>
      <w:bookmarkEnd w:id="96"/>
      <w:bookmarkEnd w:id="97"/>
    </w:p>
    <w:tbl>
      <w:tblPr>
        <w:tblStyle w:val="47"/>
        <w:tblpPr w:leftFromText="180" w:rightFromText="180" w:vertAnchor="text" w:horzAnchor="page" w:tblpX="1729" w:tblpY="219"/>
        <w:tblOverlap w:val="never"/>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项目所在地</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发包人名称</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发包人地址</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发包人电话</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签约合同价</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开工日期</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计划竣工日期</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承担的工作</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工程质量</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项目经理</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技术负责人</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总监理工程师及电话</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项目描述</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c>
          <w:tcPr>
            <w:tcW w:w="6261" w:type="dxa"/>
            <w:vAlign w:val="center"/>
          </w:tcPr>
          <w:p>
            <w:pPr>
              <w:autoSpaceDE w:val="0"/>
              <w:autoSpaceDN w:val="0"/>
              <w:adjustRightInd w:val="0"/>
              <w:spacing w:line="420" w:lineRule="exact"/>
              <w:jc w:val="center"/>
              <w:rPr>
                <w:rFonts w:ascii="宋体" w:hAnsi="宋体" w:cs="宋体"/>
                <w:color w:val="auto"/>
                <w:kern w:val="0"/>
                <w:szCs w:val="21"/>
                <w:highlight w:val="none"/>
              </w:rPr>
            </w:pPr>
          </w:p>
        </w:tc>
      </w:tr>
    </w:tbl>
    <w:p>
      <w:pPr>
        <w:autoSpaceDE w:val="0"/>
        <w:autoSpaceDN w:val="0"/>
        <w:adjustRightInd w:val="0"/>
        <w:spacing w:line="420" w:lineRule="exact"/>
        <w:jc w:val="left"/>
        <w:rPr>
          <w:rFonts w:ascii="宋体" w:hAnsi="宋体" w:cs="宋体"/>
          <w:color w:val="auto"/>
          <w:kern w:val="0"/>
          <w:szCs w:val="21"/>
          <w:highlight w:val="none"/>
        </w:rPr>
      </w:pPr>
    </w:p>
    <w:p>
      <w:pPr>
        <w:autoSpaceDE w:val="0"/>
        <w:autoSpaceDN w:val="0"/>
        <w:adjustRightInd w:val="0"/>
        <w:spacing w:line="420" w:lineRule="exact"/>
        <w:jc w:val="left"/>
        <w:rPr>
          <w:rFonts w:ascii="宋体" w:hAnsi="宋体" w:cs="宋体"/>
          <w:color w:val="auto"/>
          <w:kern w:val="0"/>
          <w:szCs w:val="21"/>
          <w:highlight w:val="none"/>
        </w:rPr>
      </w:pPr>
    </w:p>
    <w:p>
      <w:pPr>
        <w:autoSpaceDE w:val="0"/>
        <w:autoSpaceDN w:val="0"/>
        <w:adjustRightInd w:val="0"/>
        <w:spacing w:line="420" w:lineRule="exact"/>
        <w:jc w:val="left"/>
        <w:rPr>
          <w:rFonts w:ascii="宋体" w:hAnsi="宋体" w:cs="宋体"/>
          <w:color w:val="auto"/>
          <w:kern w:val="0"/>
          <w:sz w:val="24"/>
          <w:highlight w:val="none"/>
        </w:rPr>
      </w:pPr>
    </w:p>
    <w:p>
      <w:pPr>
        <w:keepNext/>
        <w:keepLines/>
        <w:spacing w:line="480" w:lineRule="exact"/>
        <w:jc w:val="center"/>
        <w:rPr>
          <w:rFonts w:ascii="宋体" w:hAnsi="宋体" w:cs="宋体"/>
          <w:color w:val="auto"/>
          <w:highlight w:val="none"/>
        </w:rPr>
      </w:pPr>
      <w:bookmarkStart w:id="98" w:name="_Toc9872"/>
      <w:bookmarkStart w:id="99" w:name="_Toc19257"/>
      <w:bookmarkStart w:id="100" w:name="_Toc517256833"/>
      <w:bookmarkStart w:id="101" w:name="_Toc493579172"/>
      <w:r>
        <w:rPr>
          <w:rFonts w:hint="eastAsia" w:ascii="宋体" w:hAnsi="宋体" w:cs="宋体"/>
          <w:color w:val="auto"/>
          <w:highlight w:val="none"/>
        </w:rPr>
        <w:t>（五）近年发生的诉讼及仲裁情况</w:t>
      </w:r>
      <w:bookmarkEnd w:id="98"/>
      <w:bookmarkEnd w:id="99"/>
      <w:bookmarkEnd w:id="100"/>
      <w:bookmarkEnd w:id="101"/>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autoSpaceDE w:val="0"/>
        <w:autoSpaceDN w:val="0"/>
        <w:adjustRightInd w:val="0"/>
        <w:spacing w:line="420" w:lineRule="exact"/>
        <w:jc w:val="left"/>
        <w:rPr>
          <w:rFonts w:ascii="宋体" w:hAnsi="宋体" w:cs="宋体"/>
          <w:color w:val="auto"/>
          <w:kern w:val="0"/>
          <w:sz w:val="24"/>
          <w:highlight w:val="none"/>
        </w:rPr>
      </w:pPr>
    </w:p>
    <w:p>
      <w:pPr>
        <w:pStyle w:val="4"/>
        <w:jc w:val="center"/>
        <w:rPr>
          <w:rFonts w:ascii="宋体" w:hAnsi="宋体" w:cs="宋体"/>
          <w:color w:val="auto"/>
          <w:sz w:val="28"/>
          <w:szCs w:val="28"/>
          <w:highlight w:val="none"/>
        </w:rPr>
      </w:pPr>
      <w:r>
        <w:rPr>
          <w:rFonts w:hint="eastAsia" w:ascii="宋体" w:hAnsi="宋体" w:cs="宋体"/>
          <w:color w:val="auto"/>
          <w:sz w:val="28"/>
          <w:szCs w:val="28"/>
          <w:highlight w:val="none"/>
        </w:rPr>
        <w:t>九、中小企业声明函（工程、服务）</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pPr>
        <w:spacing w:line="360" w:lineRule="auto"/>
        <w:ind w:firstLine="4800" w:firstLineChars="2000"/>
        <w:rPr>
          <w:rFonts w:ascii="宋体" w:hAnsi="宋体" w:cs="宋体"/>
          <w:color w:val="auto"/>
          <w:sz w:val="28"/>
          <w:szCs w:val="28"/>
          <w:highlight w:val="none"/>
        </w:rPr>
      </w:pPr>
      <w:r>
        <w:rPr>
          <w:rFonts w:hint="eastAsia" w:ascii="宋体" w:hAnsi="宋体" w:cs="宋体"/>
          <w:color w:val="auto"/>
          <w:sz w:val="24"/>
          <w:highlight w:val="none"/>
        </w:rPr>
        <w:t>日 期：</w:t>
      </w:r>
      <w:r>
        <w:rPr>
          <w:rFonts w:hint="eastAsia" w:ascii="宋体" w:hAnsi="宋体" w:cs="宋体"/>
          <w:color w:val="auto"/>
          <w:sz w:val="28"/>
          <w:szCs w:val="28"/>
          <w:highlight w:val="none"/>
        </w:rPr>
        <w:t xml:space="preserve"> </w:t>
      </w:r>
    </w:p>
    <w:p>
      <w:pPr>
        <w:spacing w:line="360" w:lineRule="auto"/>
        <w:rPr>
          <w:rFonts w:ascii="宋体" w:hAnsi="宋体" w:cs="宋体"/>
          <w:color w:val="auto"/>
          <w:highlight w:val="none"/>
        </w:rPr>
      </w:pPr>
      <w:r>
        <w:rPr>
          <w:rFonts w:hint="eastAsia" w:ascii="宋体" w:hAnsi="宋体" w:cs="宋体"/>
          <w:color w:val="auto"/>
          <w:highlight w:val="none"/>
        </w:rPr>
        <w:t>注：1.从业人员、营业收入、资产总额填报上一年度数据，无上一年度数据的新成立企业可不填报。</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2.本项目如是只面向中小企业采购的应当必须提供。</w:t>
      </w:r>
    </w:p>
    <w:p>
      <w:pPr>
        <w:pStyle w:val="59"/>
        <w:rPr>
          <w:rFonts w:ascii="宋体" w:hAnsi="宋体" w:cs="宋体"/>
          <w:color w:val="auto"/>
          <w:highlight w:val="none"/>
        </w:rPr>
      </w:pPr>
    </w:p>
    <w:p>
      <w:pPr>
        <w:autoSpaceDE w:val="0"/>
        <w:autoSpaceDN w:val="0"/>
        <w:adjustRightInd w:val="0"/>
        <w:spacing w:line="360" w:lineRule="auto"/>
        <w:jc w:val="center"/>
        <w:rPr>
          <w:rFonts w:ascii="宋体" w:hAnsi="宋体" w:cs="宋体"/>
          <w:b/>
          <w:bCs/>
          <w:color w:val="auto"/>
          <w:sz w:val="32"/>
          <w:szCs w:val="32"/>
          <w:highlight w:val="none"/>
        </w:rPr>
      </w:pPr>
    </w:p>
    <w:p>
      <w:pPr>
        <w:autoSpaceDE w:val="0"/>
        <w:autoSpaceDN w:val="0"/>
        <w:adjustRightInd w:val="0"/>
        <w:spacing w:line="360" w:lineRule="auto"/>
        <w:jc w:val="center"/>
        <w:rPr>
          <w:rFonts w:ascii="宋体" w:hAnsi="宋体" w:cs="宋体"/>
          <w:b/>
          <w:bCs/>
          <w:color w:val="auto"/>
          <w:sz w:val="32"/>
          <w:szCs w:val="32"/>
          <w:highlight w:val="none"/>
        </w:rPr>
      </w:pPr>
    </w:p>
    <w:p>
      <w:pPr>
        <w:autoSpaceDE w:val="0"/>
        <w:autoSpaceDN w:val="0"/>
        <w:adjustRightInd w:val="0"/>
        <w:spacing w:line="360" w:lineRule="auto"/>
        <w:jc w:val="center"/>
        <w:rPr>
          <w:rFonts w:ascii="宋体" w:hAnsi="宋体" w:cs="宋体"/>
          <w:b/>
          <w:bCs/>
          <w:color w:val="auto"/>
          <w:sz w:val="32"/>
          <w:szCs w:val="32"/>
          <w:highlight w:val="none"/>
        </w:rPr>
      </w:pPr>
    </w:p>
    <w:p>
      <w:pPr>
        <w:autoSpaceDE w:val="0"/>
        <w:autoSpaceDN w:val="0"/>
        <w:adjustRightInd w:val="0"/>
        <w:spacing w:line="360" w:lineRule="auto"/>
        <w:jc w:val="center"/>
        <w:rPr>
          <w:rFonts w:ascii="宋体" w:hAnsi="宋体" w:cs="宋体"/>
          <w:b/>
          <w:bCs/>
          <w:color w:val="auto"/>
          <w:sz w:val="32"/>
          <w:szCs w:val="32"/>
          <w:highlight w:val="none"/>
        </w:rPr>
      </w:pPr>
    </w:p>
    <w:p>
      <w:pPr>
        <w:autoSpaceDE w:val="0"/>
        <w:autoSpaceDN w:val="0"/>
        <w:adjustRightInd w:val="0"/>
        <w:spacing w:line="360" w:lineRule="auto"/>
        <w:jc w:val="center"/>
        <w:rPr>
          <w:rFonts w:ascii="宋体" w:hAnsi="宋体" w:cs="宋体"/>
          <w:b/>
          <w:bCs/>
          <w:color w:val="auto"/>
          <w:sz w:val="32"/>
          <w:szCs w:val="32"/>
          <w:highlight w:val="none"/>
        </w:rPr>
      </w:pPr>
    </w:p>
    <w:p>
      <w:pPr>
        <w:autoSpaceDE w:val="0"/>
        <w:autoSpaceDN w:val="0"/>
        <w:adjustRightInd w:val="0"/>
        <w:spacing w:line="360" w:lineRule="auto"/>
        <w:jc w:val="center"/>
        <w:rPr>
          <w:rFonts w:ascii="宋体" w:hAnsi="宋体" w:cs="宋体"/>
          <w:b/>
          <w:bCs/>
          <w:color w:val="auto"/>
          <w:sz w:val="32"/>
          <w:szCs w:val="32"/>
          <w:highlight w:val="none"/>
        </w:rPr>
      </w:pPr>
    </w:p>
    <w:p>
      <w:pPr>
        <w:autoSpaceDE w:val="0"/>
        <w:autoSpaceDN w:val="0"/>
        <w:adjustRightInd w:val="0"/>
        <w:spacing w:line="360" w:lineRule="auto"/>
        <w:jc w:val="center"/>
        <w:rPr>
          <w:rFonts w:ascii="宋体" w:hAnsi="宋体" w:cs="宋体"/>
          <w:b/>
          <w:bCs/>
          <w:color w:val="auto"/>
          <w:sz w:val="32"/>
          <w:szCs w:val="32"/>
          <w:highlight w:val="none"/>
        </w:rPr>
      </w:pPr>
    </w:p>
    <w:p>
      <w:pPr>
        <w:autoSpaceDE w:val="0"/>
        <w:autoSpaceDN w:val="0"/>
        <w:adjustRightInd w:val="0"/>
        <w:spacing w:line="360" w:lineRule="auto"/>
        <w:jc w:val="center"/>
        <w:outlineLvl w:val="2"/>
        <w:rPr>
          <w:rFonts w:ascii="宋体" w:hAnsi="宋体" w:cs="宋体"/>
          <w:b/>
          <w:bCs/>
          <w:color w:val="auto"/>
          <w:sz w:val="32"/>
          <w:szCs w:val="32"/>
          <w:highlight w:val="none"/>
        </w:rPr>
      </w:pPr>
      <w:r>
        <w:rPr>
          <w:rFonts w:hint="eastAsia" w:ascii="宋体" w:hAnsi="宋体" w:cs="宋体"/>
          <w:b/>
          <w:bCs/>
          <w:color w:val="auto"/>
          <w:sz w:val="32"/>
          <w:szCs w:val="32"/>
          <w:highlight w:val="none"/>
        </w:rPr>
        <w:t>十、其它投标人认为有必要加入的材料</w:t>
      </w:r>
    </w:p>
    <w:p>
      <w:pPr>
        <w:rPr>
          <w:rFonts w:ascii="宋体" w:hAnsi="宋体" w:cs="宋体"/>
          <w:color w:val="auto"/>
          <w:highlight w:val="none"/>
        </w:rPr>
      </w:pPr>
    </w:p>
    <w:p>
      <w:pPr>
        <w:pStyle w:val="3"/>
        <w:rPr>
          <w:rFonts w:ascii="宋体" w:hAnsi="宋体" w:cs="宋体"/>
          <w:color w:val="auto"/>
          <w:highlight w:val="none"/>
        </w:rPr>
      </w:pPr>
    </w:p>
    <w:p>
      <w:pPr>
        <w:rPr>
          <w:rFonts w:ascii="宋体" w:hAnsi="宋体" w:cs="宋体"/>
          <w:color w:val="auto"/>
          <w:highlight w:val="none"/>
        </w:rPr>
      </w:pPr>
    </w:p>
    <w:p>
      <w:pPr>
        <w:pStyle w:val="3"/>
        <w:rPr>
          <w:rFonts w:ascii="宋体" w:hAnsi="宋体" w:cs="宋体"/>
          <w:color w:val="auto"/>
          <w:highlight w:val="none"/>
        </w:rPr>
      </w:pPr>
    </w:p>
    <w:p>
      <w:pPr>
        <w:rPr>
          <w:rFonts w:ascii="宋体" w:hAnsi="宋体" w:cs="宋体"/>
          <w:color w:val="auto"/>
          <w:highlight w:val="none"/>
        </w:rPr>
      </w:pPr>
    </w:p>
    <w:p>
      <w:pPr>
        <w:pStyle w:val="3"/>
        <w:rPr>
          <w:rFonts w:ascii="宋体" w:hAnsi="宋体" w:cs="宋体"/>
          <w:color w:val="auto"/>
          <w:highlight w:val="none"/>
        </w:rPr>
      </w:pPr>
    </w:p>
    <w:p>
      <w:pPr>
        <w:rPr>
          <w:rFonts w:ascii="宋体" w:hAnsi="宋体" w:cs="宋体"/>
          <w:color w:val="auto"/>
          <w:highlight w:val="none"/>
        </w:rPr>
      </w:pPr>
    </w:p>
    <w:p>
      <w:pPr>
        <w:pStyle w:val="3"/>
        <w:rPr>
          <w:rFonts w:ascii="宋体" w:hAnsi="宋体" w:cs="宋体"/>
          <w:color w:val="auto"/>
          <w:highlight w:val="none"/>
        </w:rPr>
      </w:pPr>
    </w:p>
    <w:p>
      <w:pPr>
        <w:rPr>
          <w:rFonts w:ascii="宋体" w:hAnsi="宋体" w:cs="宋体"/>
          <w:color w:val="auto"/>
          <w:highlight w:val="none"/>
        </w:rPr>
      </w:pPr>
    </w:p>
    <w:p>
      <w:pPr>
        <w:pStyle w:val="3"/>
        <w:rPr>
          <w:rFonts w:ascii="宋体" w:hAnsi="宋体" w:cs="宋体"/>
          <w:color w:val="auto"/>
          <w:highlight w:val="none"/>
        </w:rPr>
      </w:pPr>
    </w:p>
    <w:p>
      <w:pPr>
        <w:rPr>
          <w:rFonts w:ascii="宋体" w:hAnsi="宋体" w:cs="宋体"/>
          <w:color w:val="auto"/>
          <w:highlight w:val="none"/>
        </w:rPr>
      </w:pPr>
    </w:p>
    <w:p>
      <w:pPr>
        <w:pStyle w:val="3"/>
        <w:rPr>
          <w:rFonts w:ascii="宋体" w:hAnsi="宋体" w:cs="宋体"/>
          <w:color w:val="auto"/>
          <w:highlight w:val="none"/>
        </w:rPr>
      </w:pPr>
    </w:p>
    <w:p>
      <w:pPr>
        <w:rPr>
          <w:rFonts w:ascii="宋体" w:hAnsi="宋体" w:cs="宋体"/>
          <w:color w:val="auto"/>
          <w:highlight w:val="none"/>
        </w:rPr>
      </w:pPr>
    </w:p>
    <w:p>
      <w:pPr>
        <w:pStyle w:val="3"/>
        <w:rPr>
          <w:rFonts w:ascii="宋体" w:hAnsi="宋体" w:cs="宋体"/>
          <w:color w:val="auto"/>
          <w:highlight w:val="none"/>
        </w:rPr>
      </w:pPr>
    </w:p>
    <w:p>
      <w:pPr>
        <w:rPr>
          <w:rFonts w:ascii="宋体" w:hAnsi="宋体" w:cs="宋体"/>
          <w:color w:val="auto"/>
          <w:highlight w:val="none"/>
        </w:rPr>
      </w:pPr>
    </w:p>
    <w:p>
      <w:pPr>
        <w:pStyle w:val="3"/>
        <w:rPr>
          <w:color w:val="auto"/>
          <w:highlight w:val="none"/>
        </w:rPr>
      </w:pPr>
    </w:p>
    <w:p>
      <w:pPr>
        <w:jc w:val="center"/>
        <w:rPr>
          <w:rFonts w:ascii="宋体" w:hAnsi="宋体" w:cs="宋体"/>
          <w:b/>
          <w:bCs/>
          <w:color w:val="auto"/>
          <w:sz w:val="32"/>
          <w:szCs w:val="32"/>
          <w:highlight w:val="none"/>
        </w:rPr>
      </w:pPr>
      <w:bookmarkStart w:id="102" w:name="_Toc4150"/>
    </w:p>
    <w:p>
      <w:pPr>
        <w:jc w:val="center"/>
        <w:rPr>
          <w:rFonts w:ascii="宋体" w:hAnsi="宋体" w:cs="宋体"/>
          <w:b/>
          <w:bCs/>
          <w:color w:val="auto"/>
          <w:sz w:val="32"/>
          <w:szCs w:val="32"/>
          <w:highlight w:val="none"/>
        </w:rPr>
      </w:pPr>
    </w:p>
    <w:p>
      <w:pPr>
        <w:jc w:val="center"/>
        <w:rPr>
          <w:rFonts w:ascii="宋体" w:hAnsi="宋体" w:cs="宋体"/>
          <w:b/>
          <w:bCs/>
          <w:color w:val="auto"/>
          <w:sz w:val="32"/>
          <w:szCs w:val="32"/>
          <w:highlight w:val="none"/>
        </w:rPr>
      </w:pPr>
    </w:p>
    <w:p>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十一、周口市政府采购合同融资政策告知函</w:t>
      </w:r>
      <w:bookmarkEnd w:id="102"/>
    </w:p>
    <w:p>
      <w:pPr>
        <w:pStyle w:val="56"/>
        <w:spacing w:line="600" w:lineRule="exact"/>
        <w:ind w:firstLine="240"/>
        <w:rPr>
          <w:rFonts w:ascii="宋体" w:hAnsi="宋体" w:cs="宋体"/>
          <w:color w:val="auto"/>
          <w:sz w:val="24"/>
          <w:highlight w:val="none"/>
        </w:rPr>
      </w:pPr>
      <w:r>
        <w:rPr>
          <w:rFonts w:hint="eastAsia" w:ascii="宋体" w:hAnsi="宋体" w:cs="宋体"/>
          <w:color w:val="auto"/>
          <w:sz w:val="24"/>
          <w:highlight w:val="none"/>
        </w:rPr>
        <w:t>各供应商：</w:t>
      </w:r>
    </w:p>
    <w:p>
      <w:pPr>
        <w:pStyle w:val="56"/>
        <w:spacing w:line="600" w:lineRule="exact"/>
        <w:ind w:firstLine="240"/>
        <w:rPr>
          <w:rFonts w:ascii="宋体" w:hAnsi="宋体" w:cs="宋体"/>
          <w:color w:val="auto"/>
          <w:sz w:val="24"/>
          <w:highlight w:val="none"/>
        </w:rPr>
      </w:pPr>
      <w:r>
        <w:rPr>
          <w:rFonts w:hint="eastAsia" w:ascii="宋体" w:hAnsi="宋体" w:cs="宋体"/>
          <w:color w:val="auto"/>
          <w:sz w:val="24"/>
          <w:highlight w:val="none"/>
        </w:rPr>
        <w:t>欢迎贵公司参与周口市政府采购活动！</w:t>
      </w:r>
    </w:p>
    <w:p>
      <w:pPr>
        <w:pStyle w:val="56"/>
        <w:spacing w:line="600" w:lineRule="exact"/>
        <w:ind w:firstLine="240"/>
        <w:rPr>
          <w:rFonts w:ascii="宋体" w:hAnsi="宋体" w:cs="宋体"/>
          <w:color w:val="auto"/>
          <w:sz w:val="24"/>
          <w:highlight w:val="none"/>
        </w:rPr>
      </w:pPr>
      <w:r>
        <w:rPr>
          <w:rFonts w:hint="eastAsia" w:ascii="宋体" w:hAnsi="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56"/>
        <w:spacing w:line="600" w:lineRule="exact"/>
        <w:ind w:firstLine="240"/>
        <w:rPr>
          <w:rFonts w:ascii="宋体" w:hAnsi="宋体" w:cs="宋体"/>
          <w:color w:val="auto"/>
          <w:sz w:val="24"/>
          <w:highlight w:val="none"/>
        </w:rPr>
      </w:pPr>
      <w:r>
        <w:rPr>
          <w:rFonts w:hint="eastAsia" w:ascii="宋体" w:hAnsi="宋体" w:cs="宋体"/>
          <w:color w:val="auto"/>
          <w:sz w:val="24"/>
          <w:highlight w:val="none"/>
        </w:rPr>
        <w:t>贷款渠道和提供贷款的金融机构，可在河南省政府采购网“河南省政府采购合同融资平台”查询联系。</w:t>
      </w:r>
    </w:p>
    <w:p>
      <w:pPr>
        <w:pStyle w:val="139"/>
        <w:spacing w:line="600" w:lineRule="exact"/>
        <w:jc w:val="left"/>
        <w:rPr>
          <w:rFonts w:ascii="宋体" w:hAnsi="宋体" w:eastAsia="宋体"/>
          <w:color w:val="auto"/>
          <w:kern w:val="2"/>
          <w:sz w:val="32"/>
          <w:szCs w:val="32"/>
          <w:highlight w:val="none"/>
        </w:rPr>
      </w:pPr>
    </w:p>
    <w:sectPr>
      <w:footerReference r:id="rId5" w:type="first"/>
      <w:footerReference r:id="rId4" w:type="default"/>
      <w:pgSz w:w="11907" w:h="16839"/>
      <w:pgMar w:top="1440" w:right="1800" w:bottom="1440" w:left="180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ì.">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p>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right"/>
    </w:pPr>
    <w:r>
      <w:fldChar w:fldCharType="begin"/>
    </w:r>
    <w:r>
      <w:instrText xml:space="preserve"> PAGE   \* MERGEFORMAT </w:instrText>
    </w:r>
    <w:r>
      <w:fldChar w:fldCharType="separate"/>
    </w:r>
    <w:r>
      <w:rPr>
        <w:lang w:val="zh-CN"/>
      </w:rPr>
      <w:t>5</w:t>
    </w:r>
    <w:r>
      <w:rPr>
        <w:lang w:val="zh-CN"/>
      </w:rPr>
      <w:fldChar w:fldCharType="end"/>
    </w:r>
  </w:p>
  <w:p>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right"/>
    </w:pPr>
    <w:r>
      <w:fldChar w:fldCharType="begin"/>
    </w:r>
    <w:r>
      <w:instrText xml:space="preserve"> PAGE   \* MERGEFORMAT </w:instrText>
    </w:r>
    <w:r>
      <w:fldChar w:fldCharType="separate"/>
    </w:r>
    <w:r>
      <w:rPr>
        <w:lang w:val="zh-CN"/>
      </w:rPr>
      <w:t>3</w:t>
    </w:r>
    <w:r>
      <w:rPr>
        <w:lang w:val="zh-CN"/>
      </w:rPr>
      <w:fldChar w:fldCharType="end"/>
    </w:r>
  </w:p>
  <w:p>
    <w:pPr>
      <w:pStyle w:val="3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FA006"/>
    <w:multiLevelType w:val="singleLevel"/>
    <w:tmpl w:val="8EBFA006"/>
    <w:lvl w:ilvl="0" w:tentative="0">
      <w:start w:val="2"/>
      <w:numFmt w:val="chineseCounting"/>
      <w:suff w:val="space"/>
      <w:lvlText w:val="第%1部分"/>
      <w:lvlJc w:val="left"/>
      <w:rPr>
        <w:rFonts w:hint="eastAsia"/>
      </w:rPr>
    </w:lvl>
  </w:abstractNum>
  <w:abstractNum w:abstractNumId="1">
    <w:nsid w:val="EEF5C417"/>
    <w:multiLevelType w:val="singleLevel"/>
    <w:tmpl w:val="EEF5C417"/>
    <w:lvl w:ilvl="0" w:tentative="0">
      <w:start w:val="7"/>
      <w:numFmt w:val="chineseCounting"/>
      <w:suff w:val="nothing"/>
      <w:lvlText w:val="%1、"/>
      <w:lvlJc w:val="left"/>
      <w:rPr>
        <w:rFonts w:hint="eastAsia"/>
      </w:rPr>
    </w:lvl>
  </w:abstractNum>
  <w:abstractNum w:abstractNumId="2">
    <w:nsid w:val="068C5653"/>
    <w:multiLevelType w:val="multilevel"/>
    <w:tmpl w:val="068C565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F2D47AA"/>
    <w:multiLevelType w:val="multilevel"/>
    <w:tmpl w:val="1F2D47A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Q5NTFkZjg3ZTFjOWE3NmM0NWZmYWUyYjc2ODE4NjMifQ=="/>
  </w:docVars>
  <w:rsids>
    <w:rsidRoot w:val="00172A27"/>
    <w:rsid w:val="00007408"/>
    <w:rsid w:val="0000742F"/>
    <w:rsid w:val="00011F35"/>
    <w:rsid w:val="000120CD"/>
    <w:rsid w:val="00012213"/>
    <w:rsid w:val="00030511"/>
    <w:rsid w:val="0003065E"/>
    <w:rsid w:val="00034087"/>
    <w:rsid w:val="000362C3"/>
    <w:rsid w:val="00037D2A"/>
    <w:rsid w:val="00042702"/>
    <w:rsid w:val="00042BFE"/>
    <w:rsid w:val="00045E78"/>
    <w:rsid w:val="00047980"/>
    <w:rsid w:val="000506CB"/>
    <w:rsid w:val="00054F0F"/>
    <w:rsid w:val="00056488"/>
    <w:rsid w:val="00056CEF"/>
    <w:rsid w:val="000579F9"/>
    <w:rsid w:val="0006033E"/>
    <w:rsid w:val="00066AAE"/>
    <w:rsid w:val="00071521"/>
    <w:rsid w:val="00071B49"/>
    <w:rsid w:val="000729D0"/>
    <w:rsid w:val="00077BFB"/>
    <w:rsid w:val="000839BA"/>
    <w:rsid w:val="000910C0"/>
    <w:rsid w:val="000924B2"/>
    <w:rsid w:val="00096898"/>
    <w:rsid w:val="000969F8"/>
    <w:rsid w:val="000A334B"/>
    <w:rsid w:val="000B2124"/>
    <w:rsid w:val="000B28F8"/>
    <w:rsid w:val="000B44F6"/>
    <w:rsid w:val="000B49BA"/>
    <w:rsid w:val="000B4AFA"/>
    <w:rsid w:val="000B5B99"/>
    <w:rsid w:val="000C05B2"/>
    <w:rsid w:val="000C075C"/>
    <w:rsid w:val="000C2DD7"/>
    <w:rsid w:val="000C4657"/>
    <w:rsid w:val="000C5CAA"/>
    <w:rsid w:val="000D24A9"/>
    <w:rsid w:val="000D4E3C"/>
    <w:rsid w:val="000D7AFD"/>
    <w:rsid w:val="000E1C0D"/>
    <w:rsid w:val="000E207D"/>
    <w:rsid w:val="000E3D93"/>
    <w:rsid w:val="000E4764"/>
    <w:rsid w:val="000F060C"/>
    <w:rsid w:val="000F75FD"/>
    <w:rsid w:val="00100645"/>
    <w:rsid w:val="00100A46"/>
    <w:rsid w:val="001048E7"/>
    <w:rsid w:val="00105077"/>
    <w:rsid w:val="001050EF"/>
    <w:rsid w:val="00107900"/>
    <w:rsid w:val="0011077D"/>
    <w:rsid w:val="00115839"/>
    <w:rsid w:val="00117030"/>
    <w:rsid w:val="0012054A"/>
    <w:rsid w:val="00122511"/>
    <w:rsid w:val="0012318E"/>
    <w:rsid w:val="00131DD7"/>
    <w:rsid w:val="0013723B"/>
    <w:rsid w:val="00140152"/>
    <w:rsid w:val="00144A80"/>
    <w:rsid w:val="00146D90"/>
    <w:rsid w:val="00151E5F"/>
    <w:rsid w:val="001555CD"/>
    <w:rsid w:val="001620B2"/>
    <w:rsid w:val="00170FE4"/>
    <w:rsid w:val="00171012"/>
    <w:rsid w:val="00172A27"/>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42D"/>
    <w:rsid w:val="001D065E"/>
    <w:rsid w:val="001D4319"/>
    <w:rsid w:val="001D4E2B"/>
    <w:rsid w:val="001D5C72"/>
    <w:rsid w:val="001E02A9"/>
    <w:rsid w:val="001E0D82"/>
    <w:rsid w:val="001E1B8B"/>
    <w:rsid w:val="001E1D7C"/>
    <w:rsid w:val="001E505A"/>
    <w:rsid w:val="001E57E9"/>
    <w:rsid w:val="001E5FBF"/>
    <w:rsid w:val="001E6C2C"/>
    <w:rsid w:val="001F1B09"/>
    <w:rsid w:val="001F41D7"/>
    <w:rsid w:val="001F4D8B"/>
    <w:rsid w:val="002034F9"/>
    <w:rsid w:val="0020398C"/>
    <w:rsid w:val="00203D57"/>
    <w:rsid w:val="00206506"/>
    <w:rsid w:val="00210168"/>
    <w:rsid w:val="0021056C"/>
    <w:rsid w:val="002269DB"/>
    <w:rsid w:val="002272BD"/>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3014EF"/>
    <w:rsid w:val="003017BD"/>
    <w:rsid w:val="0030358C"/>
    <w:rsid w:val="00304AE0"/>
    <w:rsid w:val="00305BC4"/>
    <w:rsid w:val="003077C9"/>
    <w:rsid w:val="00321F05"/>
    <w:rsid w:val="003225FA"/>
    <w:rsid w:val="00322D2C"/>
    <w:rsid w:val="0032359A"/>
    <w:rsid w:val="00326E27"/>
    <w:rsid w:val="00327CF1"/>
    <w:rsid w:val="003367CF"/>
    <w:rsid w:val="00341315"/>
    <w:rsid w:val="0034205D"/>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731B"/>
    <w:rsid w:val="003A02E4"/>
    <w:rsid w:val="003A71FD"/>
    <w:rsid w:val="003B6F87"/>
    <w:rsid w:val="003C4066"/>
    <w:rsid w:val="003C641C"/>
    <w:rsid w:val="003D4ECF"/>
    <w:rsid w:val="003D6955"/>
    <w:rsid w:val="003D6CDA"/>
    <w:rsid w:val="003E021F"/>
    <w:rsid w:val="003E20D0"/>
    <w:rsid w:val="003E294A"/>
    <w:rsid w:val="003E3740"/>
    <w:rsid w:val="003E5462"/>
    <w:rsid w:val="003F0220"/>
    <w:rsid w:val="003F444B"/>
    <w:rsid w:val="003F61B9"/>
    <w:rsid w:val="003F6EA5"/>
    <w:rsid w:val="00404784"/>
    <w:rsid w:val="00405733"/>
    <w:rsid w:val="004075A9"/>
    <w:rsid w:val="00407D5C"/>
    <w:rsid w:val="004121D7"/>
    <w:rsid w:val="00414F99"/>
    <w:rsid w:val="00415B43"/>
    <w:rsid w:val="0042622A"/>
    <w:rsid w:val="00427659"/>
    <w:rsid w:val="00434AD3"/>
    <w:rsid w:val="00436997"/>
    <w:rsid w:val="004379CD"/>
    <w:rsid w:val="00437FC6"/>
    <w:rsid w:val="0044052A"/>
    <w:rsid w:val="00442C5F"/>
    <w:rsid w:val="00443CEB"/>
    <w:rsid w:val="00444622"/>
    <w:rsid w:val="00445647"/>
    <w:rsid w:val="00446964"/>
    <w:rsid w:val="00450BA4"/>
    <w:rsid w:val="00451314"/>
    <w:rsid w:val="0046302C"/>
    <w:rsid w:val="00463166"/>
    <w:rsid w:val="0047045C"/>
    <w:rsid w:val="00470B1C"/>
    <w:rsid w:val="00470B5E"/>
    <w:rsid w:val="004740FA"/>
    <w:rsid w:val="004764EF"/>
    <w:rsid w:val="00477C67"/>
    <w:rsid w:val="00481696"/>
    <w:rsid w:val="00495295"/>
    <w:rsid w:val="0049569F"/>
    <w:rsid w:val="00496C16"/>
    <w:rsid w:val="00496C67"/>
    <w:rsid w:val="004A16F3"/>
    <w:rsid w:val="004A25AE"/>
    <w:rsid w:val="004A3AF8"/>
    <w:rsid w:val="004A6E79"/>
    <w:rsid w:val="004B13F5"/>
    <w:rsid w:val="004B486D"/>
    <w:rsid w:val="004B5D3B"/>
    <w:rsid w:val="004B70BA"/>
    <w:rsid w:val="004C0ED0"/>
    <w:rsid w:val="004C3F37"/>
    <w:rsid w:val="004C4ABC"/>
    <w:rsid w:val="004C7712"/>
    <w:rsid w:val="004D0A35"/>
    <w:rsid w:val="004D12E0"/>
    <w:rsid w:val="004D1908"/>
    <w:rsid w:val="004D46A6"/>
    <w:rsid w:val="004D64E7"/>
    <w:rsid w:val="004E475B"/>
    <w:rsid w:val="004E6519"/>
    <w:rsid w:val="004F3A71"/>
    <w:rsid w:val="004F430B"/>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4143"/>
    <w:rsid w:val="00555114"/>
    <w:rsid w:val="00562A7E"/>
    <w:rsid w:val="005630BC"/>
    <w:rsid w:val="00563E6A"/>
    <w:rsid w:val="005640F2"/>
    <w:rsid w:val="00564EA0"/>
    <w:rsid w:val="00567938"/>
    <w:rsid w:val="00571852"/>
    <w:rsid w:val="005730CF"/>
    <w:rsid w:val="00573683"/>
    <w:rsid w:val="005822E0"/>
    <w:rsid w:val="00582DF2"/>
    <w:rsid w:val="00585F82"/>
    <w:rsid w:val="005866B0"/>
    <w:rsid w:val="00586890"/>
    <w:rsid w:val="00590220"/>
    <w:rsid w:val="005928D3"/>
    <w:rsid w:val="00592A76"/>
    <w:rsid w:val="00595843"/>
    <w:rsid w:val="005A05DF"/>
    <w:rsid w:val="005A0D96"/>
    <w:rsid w:val="005A1DF4"/>
    <w:rsid w:val="005A22B3"/>
    <w:rsid w:val="005A3072"/>
    <w:rsid w:val="005A3BCB"/>
    <w:rsid w:val="005A6AB9"/>
    <w:rsid w:val="005A758D"/>
    <w:rsid w:val="005B4990"/>
    <w:rsid w:val="005C3815"/>
    <w:rsid w:val="005C4482"/>
    <w:rsid w:val="005C534C"/>
    <w:rsid w:val="005D24F4"/>
    <w:rsid w:val="005D5DC5"/>
    <w:rsid w:val="005D6057"/>
    <w:rsid w:val="005E400F"/>
    <w:rsid w:val="005E6293"/>
    <w:rsid w:val="005F16D1"/>
    <w:rsid w:val="005F1F9B"/>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40E52"/>
    <w:rsid w:val="0064104F"/>
    <w:rsid w:val="00642221"/>
    <w:rsid w:val="00642B32"/>
    <w:rsid w:val="00643848"/>
    <w:rsid w:val="00646949"/>
    <w:rsid w:val="00647880"/>
    <w:rsid w:val="006518BA"/>
    <w:rsid w:val="00653D85"/>
    <w:rsid w:val="006542A1"/>
    <w:rsid w:val="006545F7"/>
    <w:rsid w:val="0065787B"/>
    <w:rsid w:val="00661CE8"/>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1ECC"/>
    <w:rsid w:val="006A3B93"/>
    <w:rsid w:val="006A3FB1"/>
    <w:rsid w:val="006A4837"/>
    <w:rsid w:val="006B3F40"/>
    <w:rsid w:val="006B7CE4"/>
    <w:rsid w:val="006C0503"/>
    <w:rsid w:val="006C2966"/>
    <w:rsid w:val="006C2AB6"/>
    <w:rsid w:val="006C6B43"/>
    <w:rsid w:val="006D3441"/>
    <w:rsid w:val="006D5009"/>
    <w:rsid w:val="006E7D27"/>
    <w:rsid w:val="006F3977"/>
    <w:rsid w:val="006F64C9"/>
    <w:rsid w:val="006F662F"/>
    <w:rsid w:val="00700784"/>
    <w:rsid w:val="0070135F"/>
    <w:rsid w:val="00701575"/>
    <w:rsid w:val="007047E9"/>
    <w:rsid w:val="0071317A"/>
    <w:rsid w:val="00713954"/>
    <w:rsid w:val="00713ADA"/>
    <w:rsid w:val="007149A2"/>
    <w:rsid w:val="00714CDA"/>
    <w:rsid w:val="00715A5A"/>
    <w:rsid w:val="00715C46"/>
    <w:rsid w:val="00717479"/>
    <w:rsid w:val="00720F53"/>
    <w:rsid w:val="00721883"/>
    <w:rsid w:val="00723814"/>
    <w:rsid w:val="00723876"/>
    <w:rsid w:val="00723BCC"/>
    <w:rsid w:val="007264BC"/>
    <w:rsid w:val="00731C6A"/>
    <w:rsid w:val="0073762C"/>
    <w:rsid w:val="00743B7D"/>
    <w:rsid w:val="007524FB"/>
    <w:rsid w:val="00753326"/>
    <w:rsid w:val="00755779"/>
    <w:rsid w:val="00755FB3"/>
    <w:rsid w:val="007608FD"/>
    <w:rsid w:val="007625FC"/>
    <w:rsid w:val="00762775"/>
    <w:rsid w:val="00764DA1"/>
    <w:rsid w:val="00772894"/>
    <w:rsid w:val="00772D2A"/>
    <w:rsid w:val="00784F63"/>
    <w:rsid w:val="00785729"/>
    <w:rsid w:val="007866FC"/>
    <w:rsid w:val="00786CDE"/>
    <w:rsid w:val="00790835"/>
    <w:rsid w:val="0079504A"/>
    <w:rsid w:val="00795382"/>
    <w:rsid w:val="00796472"/>
    <w:rsid w:val="00796EE8"/>
    <w:rsid w:val="00796F75"/>
    <w:rsid w:val="00797AEB"/>
    <w:rsid w:val="007A080A"/>
    <w:rsid w:val="007A1AF5"/>
    <w:rsid w:val="007A2297"/>
    <w:rsid w:val="007A4759"/>
    <w:rsid w:val="007B15A2"/>
    <w:rsid w:val="007B3A75"/>
    <w:rsid w:val="007B63FA"/>
    <w:rsid w:val="007C6EBB"/>
    <w:rsid w:val="007D3237"/>
    <w:rsid w:val="007D4B70"/>
    <w:rsid w:val="007D7986"/>
    <w:rsid w:val="007E0634"/>
    <w:rsid w:val="007E45D9"/>
    <w:rsid w:val="007F06D0"/>
    <w:rsid w:val="007F0A9B"/>
    <w:rsid w:val="007F1C77"/>
    <w:rsid w:val="008007E4"/>
    <w:rsid w:val="00800C8C"/>
    <w:rsid w:val="00804FD5"/>
    <w:rsid w:val="008152F3"/>
    <w:rsid w:val="00815465"/>
    <w:rsid w:val="00816F80"/>
    <w:rsid w:val="00817A7E"/>
    <w:rsid w:val="008205D8"/>
    <w:rsid w:val="0082264A"/>
    <w:rsid w:val="008327E1"/>
    <w:rsid w:val="00834759"/>
    <w:rsid w:val="00836F22"/>
    <w:rsid w:val="00841E66"/>
    <w:rsid w:val="00843897"/>
    <w:rsid w:val="00857539"/>
    <w:rsid w:val="00861820"/>
    <w:rsid w:val="00861DD2"/>
    <w:rsid w:val="00862F86"/>
    <w:rsid w:val="008644C8"/>
    <w:rsid w:val="00864C92"/>
    <w:rsid w:val="0087452C"/>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5CF"/>
    <w:rsid w:val="008C3DAA"/>
    <w:rsid w:val="008C49D7"/>
    <w:rsid w:val="008C531C"/>
    <w:rsid w:val="008D0433"/>
    <w:rsid w:val="008D2B7F"/>
    <w:rsid w:val="008D45D3"/>
    <w:rsid w:val="008D5C28"/>
    <w:rsid w:val="008D6675"/>
    <w:rsid w:val="008E1EFC"/>
    <w:rsid w:val="008E383B"/>
    <w:rsid w:val="008E5043"/>
    <w:rsid w:val="008F1222"/>
    <w:rsid w:val="008F1240"/>
    <w:rsid w:val="008F1C9B"/>
    <w:rsid w:val="008F4C49"/>
    <w:rsid w:val="0091047E"/>
    <w:rsid w:val="009107AC"/>
    <w:rsid w:val="009125DA"/>
    <w:rsid w:val="0091483D"/>
    <w:rsid w:val="00916785"/>
    <w:rsid w:val="009207F2"/>
    <w:rsid w:val="00921B03"/>
    <w:rsid w:val="00922FF6"/>
    <w:rsid w:val="00923529"/>
    <w:rsid w:val="00933808"/>
    <w:rsid w:val="009410DF"/>
    <w:rsid w:val="009436DB"/>
    <w:rsid w:val="00945E8A"/>
    <w:rsid w:val="00947329"/>
    <w:rsid w:val="00947E19"/>
    <w:rsid w:val="00952179"/>
    <w:rsid w:val="009528E5"/>
    <w:rsid w:val="0095291B"/>
    <w:rsid w:val="00952B60"/>
    <w:rsid w:val="00952FF9"/>
    <w:rsid w:val="00957D81"/>
    <w:rsid w:val="00964A57"/>
    <w:rsid w:val="009678B6"/>
    <w:rsid w:val="00967CE0"/>
    <w:rsid w:val="00970186"/>
    <w:rsid w:val="00975D96"/>
    <w:rsid w:val="00977B0E"/>
    <w:rsid w:val="00983EA8"/>
    <w:rsid w:val="00992E33"/>
    <w:rsid w:val="00994624"/>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D2A50"/>
    <w:rsid w:val="009D2FEE"/>
    <w:rsid w:val="009D5290"/>
    <w:rsid w:val="009D5FA2"/>
    <w:rsid w:val="009D7B47"/>
    <w:rsid w:val="009D7DB1"/>
    <w:rsid w:val="009E24CB"/>
    <w:rsid w:val="009E2ECE"/>
    <w:rsid w:val="009E59E4"/>
    <w:rsid w:val="009E5E9A"/>
    <w:rsid w:val="009E69FD"/>
    <w:rsid w:val="009F15D1"/>
    <w:rsid w:val="00A012CF"/>
    <w:rsid w:val="00A04247"/>
    <w:rsid w:val="00A050A5"/>
    <w:rsid w:val="00A050E8"/>
    <w:rsid w:val="00A1001C"/>
    <w:rsid w:val="00A123BD"/>
    <w:rsid w:val="00A158A7"/>
    <w:rsid w:val="00A15C88"/>
    <w:rsid w:val="00A15D81"/>
    <w:rsid w:val="00A171B0"/>
    <w:rsid w:val="00A25968"/>
    <w:rsid w:val="00A27D6C"/>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91271"/>
    <w:rsid w:val="00A92276"/>
    <w:rsid w:val="00A93387"/>
    <w:rsid w:val="00A96864"/>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39BA"/>
    <w:rsid w:val="00AF5809"/>
    <w:rsid w:val="00AF7A25"/>
    <w:rsid w:val="00B005A4"/>
    <w:rsid w:val="00B01AEF"/>
    <w:rsid w:val="00B029D8"/>
    <w:rsid w:val="00B04489"/>
    <w:rsid w:val="00B05F89"/>
    <w:rsid w:val="00B0672C"/>
    <w:rsid w:val="00B14145"/>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2047"/>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B0422"/>
    <w:rsid w:val="00BB3F81"/>
    <w:rsid w:val="00BB7399"/>
    <w:rsid w:val="00BC182A"/>
    <w:rsid w:val="00BC277B"/>
    <w:rsid w:val="00BC52B6"/>
    <w:rsid w:val="00BD0B83"/>
    <w:rsid w:val="00BD15B9"/>
    <w:rsid w:val="00BD38D1"/>
    <w:rsid w:val="00BD511B"/>
    <w:rsid w:val="00BD7017"/>
    <w:rsid w:val="00BD751D"/>
    <w:rsid w:val="00BE13B5"/>
    <w:rsid w:val="00BE450F"/>
    <w:rsid w:val="00BE55EB"/>
    <w:rsid w:val="00BE6796"/>
    <w:rsid w:val="00BF2192"/>
    <w:rsid w:val="00BF2278"/>
    <w:rsid w:val="00BF39A3"/>
    <w:rsid w:val="00C03DE9"/>
    <w:rsid w:val="00C074E4"/>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F1ADA"/>
    <w:rsid w:val="00CF1F74"/>
    <w:rsid w:val="00CF2A77"/>
    <w:rsid w:val="00CF4F5E"/>
    <w:rsid w:val="00D00000"/>
    <w:rsid w:val="00D01C50"/>
    <w:rsid w:val="00D05993"/>
    <w:rsid w:val="00D06830"/>
    <w:rsid w:val="00D06CDA"/>
    <w:rsid w:val="00D1186B"/>
    <w:rsid w:val="00D14356"/>
    <w:rsid w:val="00D17ECF"/>
    <w:rsid w:val="00D21E2B"/>
    <w:rsid w:val="00D32BE0"/>
    <w:rsid w:val="00D3421E"/>
    <w:rsid w:val="00D35AA9"/>
    <w:rsid w:val="00D426D8"/>
    <w:rsid w:val="00D4594B"/>
    <w:rsid w:val="00D47CFB"/>
    <w:rsid w:val="00D500F0"/>
    <w:rsid w:val="00D512EF"/>
    <w:rsid w:val="00D564BB"/>
    <w:rsid w:val="00D6075D"/>
    <w:rsid w:val="00D625D3"/>
    <w:rsid w:val="00D63208"/>
    <w:rsid w:val="00D72845"/>
    <w:rsid w:val="00D77293"/>
    <w:rsid w:val="00D7782C"/>
    <w:rsid w:val="00D809D9"/>
    <w:rsid w:val="00D81C99"/>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7F"/>
    <w:rsid w:val="00E521FA"/>
    <w:rsid w:val="00E5510B"/>
    <w:rsid w:val="00E6031D"/>
    <w:rsid w:val="00E60D51"/>
    <w:rsid w:val="00E6112D"/>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2A72"/>
    <w:rsid w:val="00F23EBA"/>
    <w:rsid w:val="00F23FE8"/>
    <w:rsid w:val="00F31C29"/>
    <w:rsid w:val="00F427C3"/>
    <w:rsid w:val="00F42BFA"/>
    <w:rsid w:val="00F5157C"/>
    <w:rsid w:val="00F56DF5"/>
    <w:rsid w:val="00F612CA"/>
    <w:rsid w:val="00F64B10"/>
    <w:rsid w:val="00F657E0"/>
    <w:rsid w:val="00F667C4"/>
    <w:rsid w:val="00F75F7C"/>
    <w:rsid w:val="00F778EF"/>
    <w:rsid w:val="00F808E4"/>
    <w:rsid w:val="00F847BD"/>
    <w:rsid w:val="00F85CA8"/>
    <w:rsid w:val="00F86540"/>
    <w:rsid w:val="00F86AFA"/>
    <w:rsid w:val="00F93925"/>
    <w:rsid w:val="00F952F0"/>
    <w:rsid w:val="00F9654F"/>
    <w:rsid w:val="00F9703B"/>
    <w:rsid w:val="00FA24DF"/>
    <w:rsid w:val="00FA4202"/>
    <w:rsid w:val="00FA6353"/>
    <w:rsid w:val="00FA64D7"/>
    <w:rsid w:val="00FB2C38"/>
    <w:rsid w:val="00FB3557"/>
    <w:rsid w:val="00FB45B4"/>
    <w:rsid w:val="00FB5657"/>
    <w:rsid w:val="00FC092B"/>
    <w:rsid w:val="00FC2426"/>
    <w:rsid w:val="00FC28A5"/>
    <w:rsid w:val="00FC53CC"/>
    <w:rsid w:val="00FC7503"/>
    <w:rsid w:val="00FD2B47"/>
    <w:rsid w:val="00FD447A"/>
    <w:rsid w:val="00FD4589"/>
    <w:rsid w:val="00FD7A33"/>
    <w:rsid w:val="00FE0A60"/>
    <w:rsid w:val="00FE1AF2"/>
    <w:rsid w:val="00FF23AF"/>
    <w:rsid w:val="00FF245B"/>
    <w:rsid w:val="017B4EE7"/>
    <w:rsid w:val="018E31C1"/>
    <w:rsid w:val="01E8067C"/>
    <w:rsid w:val="03156465"/>
    <w:rsid w:val="032B64F8"/>
    <w:rsid w:val="03A71298"/>
    <w:rsid w:val="048A563B"/>
    <w:rsid w:val="04DF4780"/>
    <w:rsid w:val="07F025A5"/>
    <w:rsid w:val="09927EC2"/>
    <w:rsid w:val="09F61EC5"/>
    <w:rsid w:val="0B2E1EE3"/>
    <w:rsid w:val="0BA702F1"/>
    <w:rsid w:val="0BCA26E5"/>
    <w:rsid w:val="0BD14F70"/>
    <w:rsid w:val="0C7B3054"/>
    <w:rsid w:val="0CAB5DA2"/>
    <w:rsid w:val="0D17131E"/>
    <w:rsid w:val="0DD87BCC"/>
    <w:rsid w:val="0EED5065"/>
    <w:rsid w:val="1037334E"/>
    <w:rsid w:val="106A094E"/>
    <w:rsid w:val="108D0B20"/>
    <w:rsid w:val="11451DA9"/>
    <w:rsid w:val="11E65EFE"/>
    <w:rsid w:val="133358D9"/>
    <w:rsid w:val="1355022E"/>
    <w:rsid w:val="153D1CEC"/>
    <w:rsid w:val="156B1D05"/>
    <w:rsid w:val="15AA1C79"/>
    <w:rsid w:val="160A144B"/>
    <w:rsid w:val="16AA4967"/>
    <w:rsid w:val="175175BA"/>
    <w:rsid w:val="177B03B2"/>
    <w:rsid w:val="18F87BE3"/>
    <w:rsid w:val="1CAB00E9"/>
    <w:rsid w:val="1D015FB2"/>
    <w:rsid w:val="1E387E23"/>
    <w:rsid w:val="1E471203"/>
    <w:rsid w:val="1EE55427"/>
    <w:rsid w:val="1F2A54EF"/>
    <w:rsid w:val="1F7155A1"/>
    <w:rsid w:val="1FB857BA"/>
    <w:rsid w:val="1FE219A2"/>
    <w:rsid w:val="20532909"/>
    <w:rsid w:val="20827A7F"/>
    <w:rsid w:val="211D63D5"/>
    <w:rsid w:val="21A04D6A"/>
    <w:rsid w:val="226A1E07"/>
    <w:rsid w:val="22A44FB2"/>
    <w:rsid w:val="232167D0"/>
    <w:rsid w:val="23B50BAC"/>
    <w:rsid w:val="23B83E1D"/>
    <w:rsid w:val="23C05492"/>
    <w:rsid w:val="2489657E"/>
    <w:rsid w:val="262B6696"/>
    <w:rsid w:val="26457CB1"/>
    <w:rsid w:val="27D43A83"/>
    <w:rsid w:val="280A4270"/>
    <w:rsid w:val="285159C6"/>
    <w:rsid w:val="28641E72"/>
    <w:rsid w:val="287A70A1"/>
    <w:rsid w:val="2A16777D"/>
    <w:rsid w:val="2A664D18"/>
    <w:rsid w:val="2A81186F"/>
    <w:rsid w:val="2AC06513"/>
    <w:rsid w:val="2AD73903"/>
    <w:rsid w:val="2B5E48C6"/>
    <w:rsid w:val="2BD44527"/>
    <w:rsid w:val="2BDF7083"/>
    <w:rsid w:val="2C7C44A4"/>
    <w:rsid w:val="2D0B118C"/>
    <w:rsid w:val="2D2E608C"/>
    <w:rsid w:val="2E8B4283"/>
    <w:rsid w:val="2EA67896"/>
    <w:rsid w:val="2F10090E"/>
    <w:rsid w:val="306058C5"/>
    <w:rsid w:val="310749F6"/>
    <w:rsid w:val="32C75710"/>
    <w:rsid w:val="34196405"/>
    <w:rsid w:val="348C25F6"/>
    <w:rsid w:val="350E769E"/>
    <w:rsid w:val="359D5F90"/>
    <w:rsid w:val="35F94809"/>
    <w:rsid w:val="36160449"/>
    <w:rsid w:val="36AC72BA"/>
    <w:rsid w:val="36C26992"/>
    <w:rsid w:val="36FE3D40"/>
    <w:rsid w:val="37B31C40"/>
    <w:rsid w:val="37BA5028"/>
    <w:rsid w:val="3986183E"/>
    <w:rsid w:val="39BE097C"/>
    <w:rsid w:val="3A936FCA"/>
    <w:rsid w:val="3AE475EE"/>
    <w:rsid w:val="3B9D7B51"/>
    <w:rsid w:val="3C063688"/>
    <w:rsid w:val="3E34499F"/>
    <w:rsid w:val="3E741C21"/>
    <w:rsid w:val="3EBC4E7A"/>
    <w:rsid w:val="40283A52"/>
    <w:rsid w:val="40FA0784"/>
    <w:rsid w:val="411A5281"/>
    <w:rsid w:val="414E282B"/>
    <w:rsid w:val="4206312E"/>
    <w:rsid w:val="422A1E0A"/>
    <w:rsid w:val="427978D9"/>
    <w:rsid w:val="42F741BF"/>
    <w:rsid w:val="437D08DD"/>
    <w:rsid w:val="447627B4"/>
    <w:rsid w:val="44DD1BBC"/>
    <w:rsid w:val="46537347"/>
    <w:rsid w:val="46567D3D"/>
    <w:rsid w:val="465A6BE7"/>
    <w:rsid w:val="467D666E"/>
    <w:rsid w:val="46D66444"/>
    <w:rsid w:val="47281B64"/>
    <w:rsid w:val="473751E4"/>
    <w:rsid w:val="476F18A1"/>
    <w:rsid w:val="47E26F06"/>
    <w:rsid w:val="483512CF"/>
    <w:rsid w:val="48811126"/>
    <w:rsid w:val="49CC500E"/>
    <w:rsid w:val="4A0465FC"/>
    <w:rsid w:val="4A536B4D"/>
    <w:rsid w:val="4AD076B1"/>
    <w:rsid w:val="4B3079C2"/>
    <w:rsid w:val="4C353E37"/>
    <w:rsid w:val="4C707A44"/>
    <w:rsid w:val="4E2C69CB"/>
    <w:rsid w:val="4E3D5ED8"/>
    <w:rsid w:val="4E634927"/>
    <w:rsid w:val="4EAD4771"/>
    <w:rsid w:val="4EEC04A3"/>
    <w:rsid w:val="4F34380F"/>
    <w:rsid w:val="4F7C2E75"/>
    <w:rsid w:val="4FFF7BCB"/>
    <w:rsid w:val="50CA18D0"/>
    <w:rsid w:val="519D6810"/>
    <w:rsid w:val="52073783"/>
    <w:rsid w:val="54103BF9"/>
    <w:rsid w:val="545F198C"/>
    <w:rsid w:val="54691CF3"/>
    <w:rsid w:val="555D1BA0"/>
    <w:rsid w:val="55607A15"/>
    <w:rsid w:val="558836A1"/>
    <w:rsid w:val="567128DB"/>
    <w:rsid w:val="56E6295B"/>
    <w:rsid w:val="574F3879"/>
    <w:rsid w:val="57B61D74"/>
    <w:rsid w:val="57CB6AE4"/>
    <w:rsid w:val="58665B18"/>
    <w:rsid w:val="58DF2F7C"/>
    <w:rsid w:val="58F95E33"/>
    <w:rsid w:val="59092CB9"/>
    <w:rsid w:val="59141537"/>
    <w:rsid w:val="59367535"/>
    <w:rsid w:val="59675AFA"/>
    <w:rsid w:val="5A587D48"/>
    <w:rsid w:val="5AD2186D"/>
    <w:rsid w:val="5AFB6602"/>
    <w:rsid w:val="5B1909C7"/>
    <w:rsid w:val="5B60717A"/>
    <w:rsid w:val="5B666CA6"/>
    <w:rsid w:val="5B8C5E4B"/>
    <w:rsid w:val="5D201945"/>
    <w:rsid w:val="5D545AC2"/>
    <w:rsid w:val="5D84417A"/>
    <w:rsid w:val="5E174C7D"/>
    <w:rsid w:val="5E5D02B0"/>
    <w:rsid w:val="5EE93DB3"/>
    <w:rsid w:val="5F070FCD"/>
    <w:rsid w:val="5F0D59D2"/>
    <w:rsid w:val="5F3355CF"/>
    <w:rsid w:val="5F49747B"/>
    <w:rsid w:val="5F55552C"/>
    <w:rsid w:val="5FB31C24"/>
    <w:rsid w:val="5FC353A5"/>
    <w:rsid w:val="60314715"/>
    <w:rsid w:val="60B62600"/>
    <w:rsid w:val="60EE6344"/>
    <w:rsid w:val="611A2B9B"/>
    <w:rsid w:val="616377C6"/>
    <w:rsid w:val="61776E9E"/>
    <w:rsid w:val="619E7DAF"/>
    <w:rsid w:val="63D67EA8"/>
    <w:rsid w:val="63D80CF3"/>
    <w:rsid w:val="64592EAE"/>
    <w:rsid w:val="6471301B"/>
    <w:rsid w:val="64857F85"/>
    <w:rsid w:val="649A203E"/>
    <w:rsid w:val="650419A4"/>
    <w:rsid w:val="658A6068"/>
    <w:rsid w:val="65B16211"/>
    <w:rsid w:val="65FF6888"/>
    <w:rsid w:val="66ED0F5A"/>
    <w:rsid w:val="680254F4"/>
    <w:rsid w:val="68AE5743"/>
    <w:rsid w:val="68B02612"/>
    <w:rsid w:val="68B0538B"/>
    <w:rsid w:val="68DD37C5"/>
    <w:rsid w:val="69AD6C05"/>
    <w:rsid w:val="69CC060C"/>
    <w:rsid w:val="69E2664E"/>
    <w:rsid w:val="6A3057C6"/>
    <w:rsid w:val="6A335CEC"/>
    <w:rsid w:val="6AFE26B4"/>
    <w:rsid w:val="6B390B61"/>
    <w:rsid w:val="6B6377A6"/>
    <w:rsid w:val="6BF07722"/>
    <w:rsid w:val="6BF57328"/>
    <w:rsid w:val="6C704A85"/>
    <w:rsid w:val="6CFE78DF"/>
    <w:rsid w:val="6D7F6887"/>
    <w:rsid w:val="6E007030"/>
    <w:rsid w:val="6F59582F"/>
    <w:rsid w:val="6F635CA7"/>
    <w:rsid w:val="6F9C69DE"/>
    <w:rsid w:val="6FCC53BD"/>
    <w:rsid w:val="6FEE2621"/>
    <w:rsid w:val="70365293"/>
    <w:rsid w:val="706268F4"/>
    <w:rsid w:val="71516517"/>
    <w:rsid w:val="73A66FFC"/>
    <w:rsid w:val="73BD785C"/>
    <w:rsid w:val="73C64D7F"/>
    <w:rsid w:val="742D6E39"/>
    <w:rsid w:val="751D6EAE"/>
    <w:rsid w:val="75C347D1"/>
    <w:rsid w:val="75F31A02"/>
    <w:rsid w:val="76C32490"/>
    <w:rsid w:val="76E71BEC"/>
    <w:rsid w:val="78552B5D"/>
    <w:rsid w:val="785F2F7B"/>
    <w:rsid w:val="7A3A4D14"/>
    <w:rsid w:val="7B070BE4"/>
    <w:rsid w:val="7B40323E"/>
    <w:rsid w:val="7BCF54EB"/>
    <w:rsid w:val="7CC73DF4"/>
    <w:rsid w:val="7CF37291"/>
    <w:rsid w:val="7D2D3022"/>
    <w:rsid w:val="7D3703EA"/>
    <w:rsid w:val="7D440980"/>
    <w:rsid w:val="7DB823EF"/>
    <w:rsid w:val="7DCE7506"/>
    <w:rsid w:val="7E700BD8"/>
    <w:rsid w:val="7F316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0"/>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61"/>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62"/>
    <w:qFormat/>
    <w:uiPriority w:val="0"/>
    <w:pPr>
      <w:keepNext/>
      <w:keepLines/>
      <w:spacing w:line="360" w:lineRule="auto"/>
      <w:outlineLvl w:val="2"/>
    </w:pPr>
    <w:rPr>
      <w:b/>
      <w:bCs/>
      <w:sz w:val="24"/>
      <w:szCs w:val="32"/>
    </w:rPr>
  </w:style>
  <w:style w:type="paragraph" w:styleId="5">
    <w:name w:val="heading 4"/>
    <w:basedOn w:val="1"/>
    <w:next w:val="1"/>
    <w:link w:val="63"/>
    <w:qFormat/>
    <w:uiPriority w:val="0"/>
    <w:pPr>
      <w:keepNext/>
      <w:keepLines/>
      <w:spacing w:line="360" w:lineRule="auto"/>
      <w:outlineLvl w:val="3"/>
    </w:pPr>
    <w:rPr>
      <w:rFonts w:ascii="Arial" w:hAnsi="Arial"/>
      <w:b/>
      <w:bCs/>
      <w:szCs w:val="28"/>
    </w:rPr>
  </w:style>
  <w:style w:type="paragraph" w:styleId="6">
    <w:name w:val="heading 5"/>
    <w:basedOn w:val="1"/>
    <w:next w:val="1"/>
    <w:link w:val="64"/>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65"/>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6"/>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67"/>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8"/>
    <w:qFormat/>
    <w:uiPriority w:val="0"/>
    <w:pPr>
      <w:keepNext/>
      <w:keepLines/>
      <w:spacing w:before="240" w:after="64" w:line="317" w:lineRule="auto"/>
      <w:outlineLvl w:val="8"/>
    </w:pPr>
    <w:rPr>
      <w:rFonts w:ascii="Cambria" w:hAnsi="Cambria"/>
      <w:szCs w:val="21"/>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rFonts w:ascii="Calibri" w:hAnsi="Calibri"/>
      <w:szCs w:val="22"/>
    </w:rPr>
  </w:style>
  <w:style w:type="paragraph" w:styleId="12">
    <w:name w:val="Note Heading"/>
    <w:basedOn w:val="13"/>
    <w:next w:val="13"/>
    <w:qFormat/>
    <w:uiPriority w:val="0"/>
    <w:rPr>
      <w:rFonts w:ascii="..ì." w:eastAsia="..ì." w:cs="Times New Roman"/>
      <w:color w:val="auto"/>
      <w:szCs w:val="20"/>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4">
    <w:name w:val="Normal Indent"/>
    <w:basedOn w:val="1"/>
    <w:qFormat/>
    <w:uiPriority w:val="0"/>
    <w:pPr>
      <w:adjustRightInd w:val="0"/>
      <w:spacing w:line="360" w:lineRule="atLeast"/>
      <w:ind w:firstLine="482"/>
      <w:textAlignment w:val="baseline"/>
    </w:pPr>
    <w:rPr>
      <w:kern w:val="0"/>
      <w:sz w:val="24"/>
      <w:szCs w:val="20"/>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93"/>
    <w:qFormat/>
    <w:uiPriority w:val="0"/>
    <w:pPr>
      <w:shd w:val="clear" w:color="auto" w:fill="000080"/>
    </w:pPr>
  </w:style>
  <w:style w:type="paragraph" w:styleId="17">
    <w:name w:val="annotation text"/>
    <w:basedOn w:val="1"/>
    <w:link w:val="75"/>
    <w:qFormat/>
    <w:uiPriority w:val="0"/>
    <w:pPr>
      <w:jc w:val="left"/>
    </w:pPr>
  </w:style>
  <w:style w:type="paragraph" w:styleId="18">
    <w:name w:val="Salutation"/>
    <w:basedOn w:val="1"/>
    <w:next w:val="1"/>
    <w:link w:val="94"/>
    <w:qFormat/>
    <w:uiPriority w:val="0"/>
    <w:rPr>
      <w:rFonts w:ascii="宋体"/>
      <w:sz w:val="24"/>
      <w:szCs w:val="20"/>
    </w:rPr>
  </w:style>
  <w:style w:type="paragraph" w:styleId="19">
    <w:name w:val="Body Text 3"/>
    <w:basedOn w:val="1"/>
    <w:link w:val="103"/>
    <w:qFormat/>
    <w:uiPriority w:val="0"/>
    <w:pPr>
      <w:spacing w:after="120"/>
    </w:pPr>
    <w:rPr>
      <w:sz w:val="16"/>
      <w:szCs w:val="16"/>
    </w:rPr>
  </w:style>
  <w:style w:type="paragraph" w:styleId="20">
    <w:name w:val="Body Text"/>
    <w:basedOn w:val="1"/>
    <w:next w:val="21"/>
    <w:link w:val="109"/>
    <w:qFormat/>
    <w:uiPriority w:val="0"/>
    <w:pPr>
      <w:spacing w:after="120"/>
    </w:pPr>
  </w:style>
  <w:style w:type="paragraph" w:styleId="21">
    <w:name w:val="Body Text 2"/>
    <w:basedOn w:val="1"/>
    <w:next w:val="1"/>
    <w:link w:val="71"/>
    <w:qFormat/>
    <w:uiPriority w:val="0"/>
    <w:rPr>
      <w:rFonts w:ascii="黑体" w:eastAsia="仿宋_GB2312"/>
      <w:color w:val="993366"/>
      <w:sz w:val="24"/>
    </w:rPr>
  </w:style>
  <w:style w:type="paragraph" w:styleId="22">
    <w:name w:val="Body Text Indent"/>
    <w:basedOn w:val="1"/>
    <w:next w:val="13"/>
    <w:link w:val="101"/>
    <w:qFormat/>
    <w:uiPriority w:val="0"/>
    <w:pPr>
      <w:spacing w:line="360" w:lineRule="auto"/>
      <w:ind w:firstLine="482" w:firstLineChars="100"/>
      <w:jc w:val="center"/>
    </w:pPr>
    <w:rPr>
      <w:rFonts w:ascii="黑体" w:eastAsia="黑体"/>
      <w:b/>
      <w:sz w:val="48"/>
      <w:szCs w:val="28"/>
    </w:rPr>
  </w:style>
  <w:style w:type="paragraph" w:styleId="23">
    <w:name w:val="index 4"/>
    <w:basedOn w:val="1"/>
    <w:next w:val="1"/>
    <w:qFormat/>
    <w:uiPriority w:val="0"/>
    <w:pPr>
      <w:ind w:left="600" w:leftChars="600"/>
    </w:pPr>
  </w:style>
  <w:style w:type="paragraph" w:styleId="24">
    <w:name w:val="toc 5"/>
    <w:basedOn w:val="1"/>
    <w:next w:val="1"/>
    <w:qFormat/>
    <w:uiPriority w:val="0"/>
    <w:pPr>
      <w:tabs>
        <w:tab w:val="right" w:leader="dot" w:pos="8296"/>
      </w:tabs>
      <w:ind w:left="1050" w:leftChars="500"/>
    </w:pPr>
    <w:rPr>
      <w:rFonts w:ascii="Calibri" w:hAnsi="Calibri"/>
      <w:szCs w:val="22"/>
    </w:rPr>
  </w:style>
  <w:style w:type="paragraph" w:styleId="25">
    <w:name w:val="toc 3"/>
    <w:basedOn w:val="1"/>
    <w:next w:val="1"/>
    <w:qFormat/>
    <w:uiPriority w:val="39"/>
    <w:pPr>
      <w:ind w:left="840" w:leftChars="400"/>
    </w:pPr>
    <w:rPr>
      <w:rFonts w:ascii="Calibri" w:hAnsi="Calibri"/>
      <w:szCs w:val="22"/>
    </w:rPr>
  </w:style>
  <w:style w:type="paragraph" w:styleId="26">
    <w:name w:val="Plain Text"/>
    <w:basedOn w:val="1"/>
    <w:link w:val="96"/>
    <w:qFormat/>
    <w:uiPriority w:val="0"/>
    <w:rPr>
      <w:rFonts w:ascii="宋体" w:hAnsi="Courier New"/>
      <w:szCs w:val="21"/>
    </w:rPr>
  </w:style>
  <w:style w:type="paragraph" w:styleId="27">
    <w:name w:val="toc 8"/>
    <w:basedOn w:val="1"/>
    <w:next w:val="1"/>
    <w:qFormat/>
    <w:uiPriority w:val="0"/>
    <w:pPr>
      <w:ind w:left="2940" w:leftChars="1400"/>
    </w:pPr>
    <w:rPr>
      <w:rFonts w:ascii="Calibri" w:hAnsi="Calibri"/>
      <w:szCs w:val="22"/>
    </w:rPr>
  </w:style>
  <w:style w:type="paragraph" w:styleId="28">
    <w:name w:val="Date"/>
    <w:basedOn w:val="1"/>
    <w:next w:val="1"/>
    <w:link w:val="111"/>
    <w:qFormat/>
    <w:uiPriority w:val="0"/>
    <w:pPr>
      <w:ind w:left="100" w:leftChars="2500"/>
    </w:pPr>
  </w:style>
  <w:style w:type="paragraph" w:styleId="29">
    <w:name w:val="Body Text Indent 2"/>
    <w:basedOn w:val="1"/>
    <w:link w:val="110"/>
    <w:qFormat/>
    <w:uiPriority w:val="0"/>
    <w:pPr>
      <w:spacing w:line="600" w:lineRule="exact"/>
      <w:ind w:firstLine="480" w:firstLineChars="200"/>
    </w:pPr>
    <w:rPr>
      <w:rFonts w:ascii="宋体" w:hAnsi="宋体"/>
      <w:kern w:val="0"/>
      <w:sz w:val="24"/>
      <w:szCs w:val="28"/>
    </w:rPr>
  </w:style>
  <w:style w:type="paragraph" w:styleId="30">
    <w:name w:val="Balloon Text"/>
    <w:basedOn w:val="1"/>
    <w:link w:val="88"/>
    <w:qFormat/>
    <w:uiPriority w:val="0"/>
    <w:rPr>
      <w:sz w:val="18"/>
      <w:szCs w:val="18"/>
    </w:rPr>
  </w:style>
  <w:style w:type="paragraph" w:styleId="31">
    <w:name w:val="footer"/>
    <w:basedOn w:val="1"/>
    <w:link w:val="72"/>
    <w:qFormat/>
    <w:uiPriority w:val="99"/>
    <w:pPr>
      <w:tabs>
        <w:tab w:val="center" w:pos="4153"/>
        <w:tab w:val="right" w:pos="8306"/>
      </w:tabs>
      <w:snapToGrid w:val="0"/>
      <w:jc w:val="left"/>
    </w:pPr>
    <w:rPr>
      <w:sz w:val="18"/>
      <w:szCs w:val="18"/>
    </w:rPr>
  </w:style>
  <w:style w:type="paragraph" w:styleId="32">
    <w:name w:val="header"/>
    <w:basedOn w:val="1"/>
    <w:link w:val="106"/>
    <w:qFormat/>
    <w:uiPriority w:val="0"/>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style>
  <w:style w:type="paragraph" w:styleId="34">
    <w:name w:val="toc 4"/>
    <w:basedOn w:val="1"/>
    <w:next w:val="1"/>
    <w:qFormat/>
    <w:uiPriority w:val="0"/>
    <w:pPr>
      <w:tabs>
        <w:tab w:val="left" w:pos="1890"/>
        <w:tab w:val="right" w:leader="dot" w:pos="8296"/>
      </w:tabs>
      <w:ind w:left="630" w:leftChars="300"/>
    </w:pPr>
    <w:rPr>
      <w:rFonts w:ascii="Calibri" w:hAnsi="Calibri"/>
      <w:szCs w:val="22"/>
    </w:rPr>
  </w:style>
  <w:style w:type="paragraph" w:styleId="35">
    <w:name w:val="Subtitle"/>
    <w:basedOn w:val="1"/>
    <w:next w:val="1"/>
    <w:link w:val="107"/>
    <w:qFormat/>
    <w:uiPriority w:val="0"/>
    <w:pPr>
      <w:spacing w:before="240" w:after="60" w:line="312" w:lineRule="auto"/>
      <w:jc w:val="center"/>
      <w:outlineLvl w:val="1"/>
    </w:pPr>
    <w:rPr>
      <w:rFonts w:ascii="Cambria" w:hAnsi="Cambria"/>
      <w:b/>
      <w:bCs/>
      <w:kern w:val="28"/>
      <w:sz w:val="32"/>
      <w:szCs w:val="32"/>
    </w:rPr>
  </w:style>
  <w:style w:type="paragraph" w:styleId="36">
    <w:name w:val="footnote text"/>
    <w:basedOn w:val="1"/>
    <w:link w:val="79"/>
    <w:qFormat/>
    <w:uiPriority w:val="0"/>
    <w:pPr>
      <w:snapToGrid w:val="0"/>
      <w:jc w:val="left"/>
    </w:pPr>
    <w:rPr>
      <w:sz w:val="18"/>
      <w:szCs w:val="18"/>
    </w:rPr>
  </w:style>
  <w:style w:type="paragraph" w:styleId="37">
    <w:name w:val="toc 6"/>
    <w:basedOn w:val="1"/>
    <w:next w:val="1"/>
    <w:qFormat/>
    <w:uiPriority w:val="0"/>
    <w:pPr>
      <w:ind w:left="2100" w:leftChars="1000"/>
    </w:pPr>
    <w:rPr>
      <w:rFonts w:ascii="Calibri" w:hAnsi="Calibri"/>
      <w:szCs w:val="22"/>
    </w:rPr>
  </w:style>
  <w:style w:type="paragraph" w:styleId="38">
    <w:name w:val="Body Text Indent 3"/>
    <w:basedOn w:val="1"/>
    <w:link w:val="77"/>
    <w:qFormat/>
    <w:uiPriority w:val="0"/>
    <w:pPr>
      <w:tabs>
        <w:tab w:val="left" w:pos="4500"/>
      </w:tabs>
      <w:ind w:firstLine="435"/>
    </w:pPr>
    <w:rPr>
      <w:sz w:val="24"/>
    </w:rPr>
  </w:style>
  <w:style w:type="paragraph" w:styleId="39">
    <w:name w:val="toc 2"/>
    <w:basedOn w:val="1"/>
    <w:next w:val="1"/>
    <w:qFormat/>
    <w:uiPriority w:val="39"/>
    <w:pPr>
      <w:ind w:left="420" w:leftChars="200"/>
    </w:pPr>
    <w:rPr>
      <w:rFonts w:ascii="宋体"/>
      <w:b/>
      <w:sz w:val="28"/>
      <w:szCs w:val="20"/>
    </w:rPr>
  </w:style>
  <w:style w:type="paragraph" w:styleId="40">
    <w:name w:val="toc 9"/>
    <w:basedOn w:val="1"/>
    <w:next w:val="1"/>
    <w:qFormat/>
    <w:uiPriority w:val="0"/>
    <w:pPr>
      <w:ind w:left="3360" w:leftChars="1600"/>
    </w:pPr>
    <w:rPr>
      <w:rFonts w:ascii="Calibri" w:hAnsi="Calibri"/>
      <w:szCs w:val="22"/>
    </w:rPr>
  </w:style>
  <w:style w:type="paragraph" w:styleId="41">
    <w:name w:val="Normal (Web)"/>
    <w:basedOn w:val="1"/>
    <w:qFormat/>
    <w:uiPriority w:val="99"/>
    <w:pPr>
      <w:widowControl/>
      <w:spacing w:before="100" w:beforeAutospacing="1" w:after="100" w:afterAutospacing="1" w:line="320" w:lineRule="atLeast"/>
      <w:jc w:val="left"/>
    </w:pPr>
    <w:rPr>
      <w:rFonts w:ascii="宋体" w:hAnsi="宋体"/>
      <w:kern w:val="0"/>
      <w:sz w:val="18"/>
      <w:szCs w:val="18"/>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next w:val="1"/>
    <w:link w:val="87"/>
    <w:qFormat/>
    <w:uiPriority w:val="0"/>
    <w:pPr>
      <w:spacing w:before="240" w:after="60"/>
      <w:jc w:val="center"/>
      <w:outlineLvl w:val="0"/>
    </w:pPr>
    <w:rPr>
      <w:rFonts w:ascii="Cambria" w:hAnsi="Cambria"/>
      <w:b/>
      <w:bCs/>
      <w:sz w:val="32"/>
      <w:szCs w:val="32"/>
    </w:rPr>
  </w:style>
  <w:style w:type="paragraph" w:styleId="44">
    <w:name w:val="annotation subject"/>
    <w:basedOn w:val="17"/>
    <w:next w:val="17"/>
    <w:link w:val="74"/>
    <w:qFormat/>
    <w:uiPriority w:val="0"/>
    <w:rPr>
      <w:b/>
      <w:bCs/>
    </w:rPr>
  </w:style>
  <w:style w:type="paragraph" w:styleId="45">
    <w:name w:val="Body Text First Indent"/>
    <w:basedOn w:val="20"/>
    <w:next w:val="1"/>
    <w:link w:val="142"/>
    <w:unhideWhenUsed/>
    <w:qFormat/>
    <w:uiPriority w:val="99"/>
    <w:pPr>
      <w:ind w:firstLine="420" w:firstLineChars="100"/>
    </w:pPr>
  </w:style>
  <w:style w:type="paragraph" w:styleId="46">
    <w:name w:val="Body Text First Indent 2"/>
    <w:basedOn w:val="22"/>
    <w:next w:val="1"/>
    <w:link w:val="143"/>
    <w:qFormat/>
    <w:uiPriority w:val="0"/>
    <w:pPr>
      <w:spacing w:after="120" w:line="240" w:lineRule="auto"/>
      <w:ind w:left="420" w:leftChars="200" w:firstLine="420" w:firstLineChars="200"/>
      <w:jc w:val="both"/>
    </w:pPr>
    <w:rPr>
      <w:rFonts w:ascii="Times New Roman" w:eastAsia="宋体"/>
      <w:b w:val="0"/>
      <w:sz w:val="21"/>
      <w:szCs w:val="24"/>
    </w:rPr>
  </w:style>
  <w:style w:type="table" w:styleId="48">
    <w:name w:val="Table Grid"/>
    <w:basedOn w:val="4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Strong"/>
    <w:qFormat/>
    <w:uiPriority w:val="0"/>
    <w:rPr>
      <w:b/>
      <w:bCs/>
    </w:rPr>
  </w:style>
  <w:style w:type="character" w:styleId="51">
    <w:name w:val="page number"/>
    <w:basedOn w:val="49"/>
    <w:qFormat/>
    <w:uiPriority w:val="0"/>
  </w:style>
  <w:style w:type="character" w:styleId="52">
    <w:name w:val="FollowedHyperlink"/>
    <w:qFormat/>
    <w:uiPriority w:val="99"/>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qFormat/>
    <w:uiPriority w:val="0"/>
    <w:rPr>
      <w:sz w:val="21"/>
      <w:szCs w:val="21"/>
    </w:rPr>
  </w:style>
  <w:style w:type="paragraph" w:customStyle="1" w:styleId="56">
    <w:name w:val="BodyText1I"/>
    <w:basedOn w:val="57"/>
    <w:qFormat/>
    <w:uiPriority w:val="99"/>
    <w:pPr>
      <w:ind w:firstLine="420" w:firstLineChars="100"/>
    </w:pPr>
  </w:style>
  <w:style w:type="paragraph" w:customStyle="1" w:styleId="57">
    <w:name w:val="BodyText"/>
    <w:basedOn w:val="1"/>
    <w:qFormat/>
    <w:uiPriority w:val="99"/>
    <w:pPr>
      <w:spacing w:after="120"/>
    </w:pPr>
  </w:style>
  <w:style w:type="paragraph" w:customStyle="1" w:styleId="5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59">
    <w:name w:val="无间隔1"/>
    <w:basedOn w:val="1"/>
    <w:next w:val="15"/>
    <w:qFormat/>
    <w:uiPriority w:val="1"/>
    <w:pPr>
      <w:spacing w:line="400" w:lineRule="exact"/>
    </w:pPr>
    <w:rPr>
      <w:sz w:val="24"/>
    </w:rPr>
  </w:style>
  <w:style w:type="character" w:customStyle="1" w:styleId="60">
    <w:name w:val="标题 1 Char"/>
    <w:link w:val="2"/>
    <w:qFormat/>
    <w:uiPriority w:val="0"/>
    <w:rPr>
      <w:rFonts w:ascii="Calibri" w:hAnsi="Calibri" w:eastAsia="宋体"/>
      <w:b/>
      <w:bCs/>
      <w:kern w:val="44"/>
      <w:sz w:val="44"/>
      <w:szCs w:val="44"/>
      <w:lang w:val="en-US" w:eastAsia="zh-CN" w:bidi="ar-SA"/>
    </w:rPr>
  </w:style>
  <w:style w:type="character" w:customStyle="1" w:styleId="61">
    <w:name w:val="标题 2 Char"/>
    <w:link w:val="3"/>
    <w:qFormat/>
    <w:uiPriority w:val="0"/>
    <w:rPr>
      <w:rFonts w:ascii="Cambria" w:hAnsi="Cambria" w:eastAsia="宋体"/>
      <w:b/>
      <w:bCs/>
      <w:kern w:val="2"/>
      <w:sz w:val="32"/>
      <w:szCs w:val="32"/>
      <w:lang w:val="en-US" w:eastAsia="zh-CN" w:bidi="ar-SA"/>
    </w:rPr>
  </w:style>
  <w:style w:type="character" w:customStyle="1" w:styleId="62">
    <w:name w:val="标题 3 Char"/>
    <w:link w:val="4"/>
    <w:qFormat/>
    <w:uiPriority w:val="0"/>
    <w:rPr>
      <w:rFonts w:eastAsia="宋体"/>
      <w:b/>
      <w:bCs/>
      <w:kern w:val="2"/>
      <w:sz w:val="24"/>
      <w:szCs w:val="32"/>
      <w:lang w:val="en-US" w:eastAsia="zh-CN" w:bidi="ar-SA"/>
    </w:rPr>
  </w:style>
  <w:style w:type="character" w:customStyle="1" w:styleId="63">
    <w:name w:val="标题 4 Char"/>
    <w:link w:val="5"/>
    <w:qFormat/>
    <w:uiPriority w:val="0"/>
    <w:rPr>
      <w:rFonts w:ascii="Arial" w:hAnsi="Arial" w:eastAsia="宋体"/>
      <w:b/>
      <w:bCs/>
      <w:kern w:val="2"/>
      <w:sz w:val="21"/>
      <w:szCs w:val="28"/>
      <w:lang w:val="en-US" w:eastAsia="zh-CN" w:bidi="ar-SA"/>
    </w:rPr>
  </w:style>
  <w:style w:type="character" w:customStyle="1" w:styleId="64">
    <w:name w:val="标题 5 Char"/>
    <w:link w:val="6"/>
    <w:qFormat/>
    <w:uiPriority w:val="0"/>
    <w:rPr>
      <w:rFonts w:ascii="Calibri" w:hAnsi="Calibri" w:eastAsia="宋体"/>
      <w:b/>
      <w:bCs/>
      <w:kern w:val="2"/>
      <w:sz w:val="28"/>
      <w:szCs w:val="28"/>
      <w:lang w:val="en-US" w:eastAsia="zh-CN" w:bidi="ar-SA"/>
    </w:rPr>
  </w:style>
  <w:style w:type="character" w:customStyle="1" w:styleId="65">
    <w:name w:val="标题 6 Char"/>
    <w:link w:val="7"/>
    <w:qFormat/>
    <w:uiPriority w:val="0"/>
    <w:rPr>
      <w:rFonts w:ascii="Cambria" w:hAnsi="Cambria" w:eastAsia="宋体"/>
      <w:b/>
      <w:bCs/>
      <w:kern w:val="2"/>
      <w:sz w:val="24"/>
      <w:szCs w:val="24"/>
      <w:lang w:val="en-US" w:eastAsia="zh-CN" w:bidi="ar-SA"/>
    </w:rPr>
  </w:style>
  <w:style w:type="character" w:customStyle="1" w:styleId="66">
    <w:name w:val="标题 7 Char"/>
    <w:link w:val="8"/>
    <w:qFormat/>
    <w:uiPriority w:val="0"/>
    <w:rPr>
      <w:rFonts w:ascii="Calibri" w:hAnsi="Calibri" w:eastAsia="宋体"/>
      <w:b/>
      <w:bCs/>
      <w:kern w:val="2"/>
      <w:sz w:val="24"/>
      <w:szCs w:val="24"/>
      <w:lang w:val="en-US" w:eastAsia="zh-CN" w:bidi="ar-SA"/>
    </w:rPr>
  </w:style>
  <w:style w:type="character" w:customStyle="1" w:styleId="67">
    <w:name w:val="标题 8 Char"/>
    <w:link w:val="9"/>
    <w:qFormat/>
    <w:uiPriority w:val="0"/>
    <w:rPr>
      <w:rFonts w:ascii="Cambria" w:hAnsi="Cambria" w:eastAsia="宋体"/>
      <w:kern w:val="2"/>
      <w:sz w:val="24"/>
      <w:szCs w:val="24"/>
      <w:lang w:val="en-US" w:eastAsia="zh-CN" w:bidi="ar-SA"/>
    </w:rPr>
  </w:style>
  <w:style w:type="character" w:customStyle="1" w:styleId="68">
    <w:name w:val="标题 9 Char"/>
    <w:link w:val="10"/>
    <w:qFormat/>
    <w:uiPriority w:val="0"/>
    <w:rPr>
      <w:rFonts w:ascii="Cambria" w:hAnsi="Cambria" w:eastAsia="宋体"/>
      <w:kern w:val="2"/>
      <w:sz w:val="21"/>
      <w:szCs w:val="21"/>
      <w:lang w:val="en-US" w:eastAsia="zh-CN" w:bidi="ar-SA"/>
    </w:rPr>
  </w:style>
  <w:style w:type="character" w:customStyle="1" w:styleId="69">
    <w:name w:val="文档结构图 Char1"/>
    <w:qFormat/>
    <w:uiPriority w:val="0"/>
    <w:rPr>
      <w:rFonts w:ascii="宋体"/>
      <w:kern w:val="2"/>
      <w:sz w:val="18"/>
      <w:szCs w:val="18"/>
    </w:rPr>
  </w:style>
  <w:style w:type="character" w:customStyle="1" w:styleId="70">
    <w:name w:val="批注框文本 Char1"/>
    <w:qFormat/>
    <w:uiPriority w:val="0"/>
    <w:rPr>
      <w:kern w:val="2"/>
      <w:sz w:val="18"/>
      <w:szCs w:val="18"/>
    </w:rPr>
  </w:style>
  <w:style w:type="character" w:customStyle="1" w:styleId="71">
    <w:name w:val="正文文本 2 Char"/>
    <w:link w:val="21"/>
    <w:qFormat/>
    <w:uiPriority w:val="0"/>
    <w:rPr>
      <w:rFonts w:ascii="黑体" w:eastAsia="仿宋_GB2312"/>
      <w:color w:val="993366"/>
      <w:kern w:val="2"/>
      <w:sz w:val="24"/>
      <w:szCs w:val="24"/>
    </w:rPr>
  </w:style>
  <w:style w:type="character" w:customStyle="1" w:styleId="72">
    <w:name w:val="页脚 Char"/>
    <w:link w:val="31"/>
    <w:qFormat/>
    <w:uiPriority w:val="99"/>
    <w:rPr>
      <w:rFonts w:eastAsia="宋体"/>
      <w:kern w:val="2"/>
      <w:sz w:val="18"/>
      <w:szCs w:val="18"/>
      <w:lang w:val="en-US" w:eastAsia="zh-CN" w:bidi="ar-SA"/>
    </w:rPr>
  </w:style>
  <w:style w:type="character" w:customStyle="1" w:styleId="73">
    <w:name w:val="不明显强调1"/>
    <w:qFormat/>
    <w:uiPriority w:val="0"/>
    <w:rPr>
      <w:i/>
      <w:iCs/>
      <w:color w:val="808080"/>
    </w:rPr>
  </w:style>
  <w:style w:type="character" w:customStyle="1" w:styleId="74">
    <w:name w:val="批注主题 Char"/>
    <w:link w:val="44"/>
    <w:qFormat/>
    <w:uiPriority w:val="0"/>
    <w:rPr>
      <w:rFonts w:eastAsia="宋体"/>
      <w:b/>
      <w:bCs/>
      <w:kern w:val="2"/>
      <w:sz w:val="21"/>
      <w:szCs w:val="24"/>
      <w:lang w:val="en-US" w:eastAsia="zh-CN" w:bidi="ar-SA"/>
    </w:rPr>
  </w:style>
  <w:style w:type="character" w:customStyle="1" w:styleId="75">
    <w:name w:val="批注文字 Char"/>
    <w:link w:val="17"/>
    <w:qFormat/>
    <w:uiPriority w:val="0"/>
    <w:rPr>
      <w:rFonts w:eastAsia="宋体"/>
      <w:kern w:val="2"/>
      <w:sz w:val="21"/>
      <w:szCs w:val="24"/>
      <w:lang w:val="en-US" w:eastAsia="zh-CN" w:bidi="ar-SA"/>
    </w:rPr>
  </w:style>
  <w:style w:type="character" w:customStyle="1" w:styleId="76">
    <w:name w:val="unnamed1"/>
    <w:basedOn w:val="49"/>
    <w:qFormat/>
    <w:uiPriority w:val="0"/>
  </w:style>
  <w:style w:type="character" w:customStyle="1" w:styleId="77">
    <w:name w:val="正文文本缩进 3 Char"/>
    <w:link w:val="38"/>
    <w:qFormat/>
    <w:uiPriority w:val="0"/>
    <w:rPr>
      <w:kern w:val="2"/>
      <w:sz w:val="24"/>
      <w:szCs w:val="24"/>
    </w:rPr>
  </w:style>
  <w:style w:type="character" w:customStyle="1" w:styleId="78">
    <w:name w:val="textcontents"/>
    <w:qFormat/>
    <w:uiPriority w:val="0"/>
    <w:rPr>
      <w:rFonts w:cs="Times New Roman"/>
    </w:rPr>
  </w:style>
  <w:style w:type="character" w:customStyle="1" w:styleId="79">
    <w:name w:val="脚注文本 Char"/>
    <w:link w:val="36"/>
    <w:qFormat/>
    <w:uiPriority w:val="0"/>
    <w:rPr>
      <w:kern w:val="2"/>
      <w:sz w:val="18"/>
      <w:szCs w:val="18"/>
    </w:rPr>
  </w:style>
  <w:style w:type="character" w:customStyle="1" w:styleId="80">
    <w:name w:val="书籍标题1"/>
    <w:qFormat/>
    <w:uiPriority w:val="0"/>
    <w:rPr>
      <w:b/>
      <w:bCs/>
      <w:smallCaps/>
      <w:spacing w:val="5"/>
    </w:rPr>
  </w:style>
  <w:style w:type="character" w:customStyle="1" w:styleId="81">
    <w:name w:val="Char Char22"/>
    <w:qFormat/>
    <w:uiPriority w:val="0"/>
    <w:rPr>
      <w:rFonts w:ascii="Arial" w:hAnsi="Arial" w:eastAsia="黑体"/>
      <w:b/>
      <w:bCs/>
      <w:kern w:val="2"/>
      <w:sz w:val="28"/>
      <w:szCs w:val="28"/>
      <w:lang w:val="en-US" w:eastAsia="zh-CN" w:bidi="ar-SA"/>
    </w:rPr>
  </w:style>
  <w:style w:type="character" w:customStyle="1" w:styleId="82">
    <w:name w:val="font161"/>
    <w:qFormat/>
    <w:uiPriority w:val="0"/>
    <w:rPr>
      <w:b/>
      <w:bCs/>
      <w:sz w:val="32"/>
      <w:szCs w:val="32"/>
    </w:rPr>
  </w:style>
  <w:style w:type="character" w:customStyle="1" w:styleId="83">
    <w:name w:val="big"/>
    <w:basedOn w:val="49"/>
    <w:qFormat/>
    <w:uiPriority w:val="0"/>
  </w:style>
  <w:style w:type="character" w:customStyle="1" w:styleId="84">
    <w:name w:val="不明显参考1"/>
    <w:qFormat/>
    <w:uiPriority w:val="0"/>
    <w:rPr>
      <w:smallCaps/>
      <w:color w:val="C0504D"/>
      <w:u w:val="single"/>
    </w:rPr>
  </w:style>
  <w:style w:type="character" w:customStyle="1" w:styleId="85">
    <w:name w:val="明显引用 Char"/>
    <w:link w:val="86"/>
    <w:qFormat/>
    <w:uiPriority w:val="0"/>
    <w:rPr>
      <w:b/>
      <w:bCs/>
      <w:i/>
      <w:iCs/>
      <w:color w:val="4F81BD"/>
      <w:kern w:val="2"/>
      <w:sz w:val="21"/>
      <w:szCs w:val="22"/>
      <w:lang w:bidi="ar-SA"/>
    </w:rPr>
  </w:style>
  <w:style w:type="paragraph" w:styleId="86">
    <w:name w:val="Intense Quote"/>
    <w:basedOn w:val="1"/>
    <w:next w:val="1"/>
    <w:link w:val="85"/>
    <w:qFormat/>
    <w:uiPriority w:val="0"/>
    <w:pPr>
      <w:pBdr>
        <w:bottom w:val="single" w:color="4F81BD" w:sz="4" w:space="4"/>
      </w:pBdr>
      <w:spacing w:before="200" w:after="280"/>
      <w:ind w:left="936" w:right="936"/>
    </w:pPr>
    <w:rPr>
      <w:b/>
      <w:bCs/>
      <w:i/>
      <w:iCs/>
      <w:color w:val="4F81BD"/>
      <w:szCs w:val="22"/>
    </w:rPr>
  </w:style>
  <w:style w:type="character" w:customStyle="1" w:styleId="87">
    <w:name w:val="标题 Char"/>
    <w:link w:val="43"/>
    <w:qFormat/>
    <w:uiPriority w:val="0"/>
    <w:rPr>
      <w:rFonts w:ascii="Cambria" w:hAnsi="Cambria"/>
      <w:b/>
      <w:bCs/>
      <w:kern w:val="2"/>
      <w:sz w:val="32"/>
      <w:szCs w:val="32"/>
      <w:lang w:bidi="ar-SA"/>
    </w:rPr>
  </w:style>
  <w:style w:type="character" w:customStyle="1" w:styleId="88">
    <w:name w:val="批注框文本 Char"/>
    <w:link w:val="30"/>
    <w:qFormat/>
    <w:uiPriority w:val="0"/>
    <w:rPr>
      <w:rFonts w:eastAsia="宋体"/>
      <w:kern w:val="2"/>
      <w:sz w:val="18"/>
      <w:szCs w:val="18"/>
      <w:lang w:val="en-US" w:eastAsia="zh-CN" w:bidi="ar-SA"/>
    </w:rPr>
  </w:style>
  <w:style w:type="character" w:customStyle="1" w:styleId="89">
    <w:name w:val="Char Char10"/>
    <w:qFormat/>
    <w:locked/>
    <w:uiPriority w:val="0"/>
    <w:rPr>
      <w:rFonts w:ascii="宋体" w:hAnsi="Courier New" w:eastAsia="宋体"/>
      <w:sz w:val="21"/>
      <w:szCs w:val="21"/>
      <w:lang w:bidi="ar-SA"/>
    </w:rPr>
  </w:style>
  <w:style w:type="character" w:customStyle="1" w:styleId="90">
    <w:name w:val="明显参考1"/>
    <w:qFormat/>
    <w:uiPriority w:val="0"/>
    <w:rPr>
      <w:b/>
      <w:bCs/>
      <w:smallCaps/>
      <w:color w:val="C0504D"/>
      <w:spacing w:val="5"/>
      <w:u w:val="single"/>
    </w:rPr>
  </w:style>
  <w:style w:type="character" w:customStyle="1" w:styleId="91">
    <w:name w:val="日期 Char1"/>
    <w:qFormat/>
    <w:uiPriority w:val="0"/>
    <w:rPr>
      <w:kern w:val="2"/>
      <w:sz w:val="21"/>
      <w:szCs w:val="22"/>
    </w:rPr>
  </w:style>
  <w:style w:type="character" w:customStyle="1" w:styleId="92">
    <w:name w:val="明显强调1"/>
    <w:qFormat/>
    <w:uiPriority w:val="0"/>
    <w:rPr>
      <w:b/>
      <w:bCs/>
      <w:i/>
      <w:iCs/>
      <w:color w:val="4F81BD"/>
    </w:rPr>
  </w:style>
  <w:style w:type="character" w:customStyle="1" w:styleId="93">
    <w:name w:val="文档结构图 Char"/>
    <w:link w:val="16"/>
    <w:qFormat/>
    <w:uiPriority w:val="0"/>
    <w:rPr>
      <w:kern w:val="2"/>
      <w:sz w:val="21"/>
      <w:szCs w:val="24"/>
      <w:shd w:val="clear" w:color="auto" w:fill="000080"/>
    </w:rPr>
  </w:style>
  <w:style w:type="character" w:customStyle="1" w:styleId="94">
    <w:name w:val="称呼 Char"/>
    <w:link w:val="18"/>
    <w:qFormat/>
    <w:uiPriority w:val="0"/>
    <w:rPr>
      <w:rFonts w:ascii="宋体"/>
      <w:kern w:val="2"/>
      <w:sz w:val="24"/>
    </w:rPr>
  </w:style>
  <w:style w:type="character" w:customStyle="1" w:styleId="95">
    <w:name w:val="批注主题 Char1"/>
    <w:qFormat/>
    <w:uiPriority w:val="0"/>
    <w:rPr>
      <w:b/>
      <w:bCs/>
      <w:kern w:val="2"/>
      <w:sz w:val="21"/>
      <w:szCs w:val="22"/>
    </w:rPr>
  </w:style>
  <w:style w:type="character" w:customStyle="1" w:styleId="96">
    <w:name w:val="纯文本 Char"/>
    <w:link w:val="26"/>
    <w:qFormat/>
    <w:uiPriority w:val="0"/>
    <w:rPr>
      <w:rFonts w:ascii="宋体" w:hAnsi="Courier New" w:cs="Courier New"/>
      <w:kern w:val="2"/>
      <w:sz w:val="21"/>
      <w:szCs w:val="21"/>
    </w:rPr>
  </w:style>
  <w:style w:type="character" w:customStyle="1" w:styleId="97">
    <w:name w:val="标题4 Char Char"/>
    <w:link w:val="98"/>
    <w:qFormat/>
    <w:uiPriority w:val="0"/>
    <w:rPr>
      <w:rFonts w:ascii="Arial" w:hAnsi="Arial"/>
      <w:b/>
      <w:bCs/>
      <w:sz w:val="24"/>
      <w:szCs w:val="32"/>
      <w:lang w:bidi="ar-SA"/>
    </w:rPr>
  </w:style>
  <w:style w:type="paragraph" w:customStyle="1" w:styleId="98">
    <w:name w:val="标题4"/>
    <w:basedOn w:val="3"/>
    <w:next w:val="23"/>
    <w:link w:val="97"/>
    <w:qFormat/>
    <w:uiPriority w:val="0"/>
    <w:rPr>
      <w:rFonts w:ascii="Arial" w:hAnsi="Arial"/>
      <w:kern w:val="0"/>
      <w:sz w:val="24"/>
    </w:rPr>
  </w:style>
  <w:style w:type="character" w:customStyle="1" w:styleId="99">
    <w:name w:val="标题5 Char Char"/>
    <w:link w:val="100"/>
    <w:qFormat/>
    <w:uiPriority w:val="0"/>
    <w:rPr>
      <w:rFonts w:ascii="Arial" w:hAnsi="Arial"/>
      <w:b/>
      <w:bCs/>
      <w:sz w:val="24"/>
      <w:szCs w:val="32"/>
      <w:lang w:bidi="ar-SA"/>
    </w:rPr>
  </w:style>
  <w:style w:type="paragraph" w:customStyle="1" w:styleId="100">
    <w:name w:val="标题5"/>
    <w:basedOn w:val="4"/>
    <w:link w:val="99"/>
    <w:qFormat/>
    <w:uiPriority w:val="0"/>
    <w:pPr>
      <w:spacing w:before="260" w:after="260" w:line="413" w:lineRule="auto"/>
    </w:pPr>
    <w:rPr>
      <w:rFonts w:ascii="Arial" w:hAnsi="Arial"/>
      <w:kern w:val="0"/>
    </w:rPr>
  </w:style>
  <w:style w:type="character" w:customStyle="1" w:styleId="101">
    <w:name w:val="正文文本缩进 Char"/>
    <w:link w:val="22"/>
    <w:qFormat/>
    <w:uiPriority w:val="0"/>
    <w:rPr>
      <w:rFonts w:ascii="黑体" w:eastAsia="黑体"/>
      <w:b/>
      <w:kern w:val="2"/>
      <w:sz w:val="48"/>
      <w:szCs w:val="28"/>
    </w:rPr>
  </w:style>
  <w:style w:type="character" w:customStyle="1" w:styleId="102">
    <w:name w:val="批注文字 Char Char"/>
    <w:qFormat/>
    <w:uiPriority w:val="0"/>
    <w:rPr>
      <w:rFonts w:ascii="宋体" w:hAnsi="Times New Roman" w:eastAsia="宋体" w:cs="Times New Roman"/>
      <w:sz w:val="28"/>
      <w:szCs w:val="20"/>
    </w:rPr>
  </w:style>
  <w:style w:type="character" w:customStyle="1" w:styleId="103">
    <w:name w:val="正文文本 3 Char"/>
    <w:link w:val="19"/>
    <w:qFormat/>
    <w:uiPriority w:val="0"/>
    <w:rPr>
      <w:kern w:val="2"/>
      <w:sz w:val="16"/>
      <w:szCs w:val="16"/>
    </w:rPr>
  </w:style>
  <w:style w:type="character" w:customStyle="1" w:styleId="104">
    <w:name w:val="引用 Char"/>
    <w:link w:val="105"/>
    <w:qFormat/>
    <w:uiPriority w:val="0"/>
    <w:rPr>
      <w:i/>
      <w:iCs/>
      <w:color w:val="000000"/>
      <w:kern w:val="2"/>
      <w:sz w:val="21"/>
      <w:szCs w:val="22"/>
      <w:lang w:bidi="ar-SA"/>
    </w:rPr>
  </w:style>
  <w:style w:type="paragraph" w:styleId="105">
    <w:name w:val="Quote"/>
    <w:basedOn w:val="1"/>
    <w:next w:val="1"/>
    <w:link w:val="104"/>
    <w:qFormat/>
    <w:uiPriority w:val="0"/>
    <w:rPr>
      <w:i/>
      <w:iCs/>
      <w:color w:val="000000"/>
      <w:szCs w:val="22"/>
    </w:rPr>
  </w:style>
  <w:style w:type="character" w:customStyle="1" w:styleId="106">
    <w:name w:val="页眉 Char"/>
    <w:link w:val="32"/>
    <w:qFormat/>
    <w:uiPriority w:val="0"/>
    <w:rPr>
      <w:rFonts w:eastAsia="宋体"/>
      <w:kern w:val="2"/>
      <w:sz w:val="18"/>
      <w:szCs w:val="18"/>
      <w:lang w:val="en-US" w:eastAsia="zh-CN" w:bidi="ar-SA"/>
    </w:rPr>
  </w:style>
  <w:style w:type="character" w:customStyle="1" w:styleId="107">
    <w:name w:val="副标题 Char"/>
    <w:link w:val="35"/>
    <w:qFormat/>
    <w:uiPriority w:val="0"/>
    <w:rPr>
      <w:rFonts w:ascii="Cambria" w:hAnsi="Cambria"/>
      <w:b/>
      <w:bCs/>
      <w:kern w:val="28"/>
      <w:sz w:val="32"/>
      <w:szCs w:val="32"/>
      <w:lang w:bidi="ar-SA"/>
    </w:rPr>
  </w:style>
  <w:style w:type="character" w:customStyle="1" w:styleId="108">
    <w:name w:val="正文文本 Char1"/>
    <w:qFormat/>
    <w:uiPriority w:val="0"/>
    <w:rPr>
      <w:kern w:val="2"/>
      <w:sz w:val="21"/>
      <w:szCs w:val="22"/>
    </w:rPr>
  </w:style>
  <w:style w:type="character" w:customStyle="1" w:styleId="109">
    <w:name w:val="正文文本 Char"/>
    <w:link w:val="20"/>
    <w:qFormat/>
    <w:uiPriority w:val="0"/>
    <w:rPr>
      <w:rFonts w:eastAsia="宋体"/>
      <w:kern w:val="2"/>
      <w:sz w:val="21"/>
      <w:szCs w:val="24"/>
      <w:lang w:val="en-US" w:eastAsia="zh-CN" w:bidi="ar-SA"/>
    </w:rPr>
  </w:style>
  <w:style w:type="character" w:customStyle="1" w:styleId="110">
    <w:name w:val="正文文本缩进 2 Char"/>
    <w:link w:val="29"/>
    <w:qFormat/>
    <w:uiPriority w:val="0"/>
    <w:rPr>
      <w:rFonts w:ascii="宋体" w:hAnsi="宋体"/>
      <w:sz w:val="24"/>
      <w:szCs w:val="28"/>
    </w:rPr>
  </w:style>
  <w:style w:type="character" w:customStyle="1" w:styleId="111">
    <w:name w:val="日期 Char"/>
    <w:link w:val="28"/>
    <w:qFormat/>
    <w:uiPriority w:val="0"/>
    <w:rPr>
      <w:rFonts w:eastAsia="宋体"/>
      <w:kern w:val="2"/>
      <w:sz w:val="21"/>
      <w:szCs w:val="24"/>
      <w:lang w:val="en-US" w:eastAsia="zh-CN" w:bidi="ar-SA"/>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样式1"/>
    <w:basedOn w:val="32"/>
    <w:qFormat/>
    <w:uiPriority w:val="0"/>
    <w:pPr>
      <w:pBdr>
        <w:top w:val="double" w:color="auto" w:sz="4" w:space="1"/>
        <w:left w:val="double" w:color="auto" w:sz="4" w:space="4"/>
        <w:bottom w:val="double" w:color="auto" w:sz="4" w:space="1"/>
        <w:right w:val="double" w:color="auto" w:sz="4" w:space="4"/>
      </w:pBdr>
    </w:pPr>
    <w:rPr>
      <w:rFonts w:eastAsia="Times New Roman"/>
    </w:rPr>
  </w:style>
  <w:style w:type="paragraph" w:customStyle="1" w:styleId="114">
    <w:name w:val="1"/>
    <w:basedOn w:val="1"/>
    <w:next w:val="1"/>
    <w:qFormat/>
    <w:uiPriority w:val="0"/>
  </w:style>
  <w:style w:type="paragraph" w:customStyle="1" w:styleId="11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1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17">
    <w:name w:val="样式 标题 3 + (中文) 黑体 小四 非加粗 段前: 7.8 磅 段后: 0 磅 行距: 固定值 20 磅"/>
    <w:basedOn w:val="4"/>
    <w:qFormat/>
    <w:uiPriority w:val="0"/>
    <w:pPr>
      <w:spacing w:line="400" w:lineRule="exact"/>
    </w:pPr>
    <w:rPr>
      <w:rFonts w:eastAsia="黑体" w:cs="宋体"/>
      <w:b w:val="0"/>
      <w:bCs w:val="0"/>
      <w:szCs w:val="20"/>
    </w:rPr>
  </w:style>
  <w:style w:type="paragraph" w:customStyle="1" w:styleId="118">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9">
    <w:name w:val="Char1 Char Char Char"/>
    <w:basedOn w:val="1"/>
    <w:qFormat/>
    <w:uiPriority w:val="0"/>
    <w:rPr>
      <w:rFonts w:ascii="Tahoma" w:hAnsi="Tahoma"/>
      <w:sz w:val="30"/>
      <w:szCs w:val="30"/>
    </w:rPr>
  </w:style>
  <w:style w:type="paragraph" w:customStyle="1" w:styleId="120">
    <w:name w:val="普通文字"/>
    <w:basedOn w:val="1"/>
    <w:next w:val="1"/>
    <w:qFormat/>
    <w:uiPriority w:val="0"/>
    <w:pPr>
      <w:widowControl/>
    </w:pPr>
    <w:rPr>
      <w:rFonts w:ascii="宋体"/>
      <w:color w:val="000000"/>
      <w:szCs w:val="20"/>
    </w:rPr>
  </w:style>
  <w:style w:type="paragraph" w:customStyle="1" w:styleId="121">
    <w:name w:val="TOC 标题1"/>
    <w:basedOn w:val="2"/>
    <w:next w:val="1"/>
    <w:qFormat/>
    <w:uiPriority w:val="0"/>
    <w:pPr>
      <w:outlineLvl w:val="9"/>
    </w:pPr>
  </w:style>
  <w:style w:type="paragraph" w:customStyle="1" w:styleId="122">
    <w:name w:val="表格文字"/>
    <w:basedOn w:val="1"/>
    <w:qFormat/>
    <w:uiPriority w:val="0"/>
    <w:pPr>
      <w:adjustRightInd w:val="0"/>
      <w:spacing w:line="420" w:lineRule="atLeast"/>
      <w:jc w:val="left"/>
      <w:textAlignment w:val="baseline"/>
    </w:pPr>
    <w:rPr>
      <w:kern w:val="0"/>
      <w:szCs w:val="20"/>
    </w:rPr>
  </w:style>
  <w:style w:type="paragraph" w:customStyle="1" w:styleId="123">
    <w:name w:val="p16"/>
    <w:basedOn w:val="1"/>
    <w:qFormat/>
    <w:uiPriority w:val="0"/>
    <w:pPr>
      <w:widowControl/>
      <w:spacing w:after="120"/>
    </w:pPr>
    <w:rPr>
      <w:kern w:val="0"/>
      <w:sz w:val="24"/>
    </w:rPr>
  </w:style>
  <w:style w:type="paragraph" w:customStyle="1" w:styleId="124">
    <w:name w:val="Char1"/>
    <w:basedOn w:val="1"/>
    <w:qFormat/>
    <w:uiPriority w:val="0"/>
  </w:style>
  <w:style w:type="paragraph" w:customStyle="1" w:styleId="125">
    <w:name w:val="p17"/>
    <w:basedOn w:val="1"/>
    <w:qFormat/>
    <w:uiPriority w:val="0"/>
    <w:pPr>
      <w:widowControl/>
      <w:jc w:val="left"/>
    </w:pPr>
    <w:rPr>
      <w:kern w:val="0"/>
      <w:sz w:val="18"/>
      <w:szCs w:val="18"/>
    </w:rPr>
  </w:style>
  <w:style w:type="paragraph" w:customStyle="1" w:styleId="126">
    <w:name w:val="Char"/>
    <w:basedOn w:val="1"/>
    <w:qFormat/>
    <w:uiPriority w:val="0"/>
  </w:style>
  <w:style w:type="paragraph" w:customStyle="1" w:styleId="127">
    <w:name w:val="Char2"/>
    <w:basedOn w:val="1"/>
    <w:qFormat/>
    <w:uiPriority w:val="0"/>
    <w:rPr>
      <w:rFonts w:ascii="仿宋_GB2312" w:eastAsia="仿宋_GB2312"/>
      <w:b/>
      <w:sz w:val="32"/>
      <w:szCs w:val="32"/>
    </w:rPr>
  </w:style>
  <w:style w:type="paragraph" w:customStyle="1" w:styleId="128">
    <w:name w:val="Char Char Char Char"/>
    <w:basedOn w:val="1"/>
    <w:qFormat/>
    <w:uiPriority w:val="0"/>
    <w:pPr>
      <w:widowControl/>
      <w:spacing w:after="160" w:line="240" w:lineRule="exact"/>
      <w:jc w:val="left"/>
    </w:pPr>
    <w:rPr>
      <w:rFonts w:ascii="Calibri" w:hAnsi="Calibri"/>
      <w:szCs w:val="20"/>
    </w:rPr>
  </w:style>
  <w:style w:type="paragraph" w:customStyle="1" w:styleId="129">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3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styleId="131">
    <w:name w:val="List Paragraph"/>
    <w:basedOn w:val="1"/>
    <w:qFormat/>
    <w:uiPriority w:val="0"/>
    <w:pPr>
      <w:ind w:firstLine="420" w:firstLineChars="200"/>
    </w:pPr>
    <w:rPr>
      <w:rFonts w:ascii="Calibri" w:hAnsi="Calibri"/>
      <w:szCs w:val="22"/>
    </w:rPr>
  </w:style>
  <w:style w:type="paragraph" w:customStyle="1" w:styleId="132">
    <w:name w:val="_Style 37"/>
    <w:basedOn w:val="1"/>
    <w:qFormat/>
    <w:uiPriority w:val="0"/>
    <w:pPr>
      <w:widowControl/>
      <w:spacing w:after="160" w:line="360" w:lineRule="auto"/>
      <w:ind w:firstLine="200" w:firstLineChars="200"/>
      <w:jc w:val="left"/>
    </w:pPr>
    <w:rPr>
      <w:szCs w:val="20"/>
    </w:rPr>
  </w:style>
  <w:style w:type="paragraph" w:customStyle="1" w:styleId="133">
    <w:name w:val="400章"/>
    <w:qFormat/>
    <w:uiPriority w:val="0"/>
    <w:pPr>
      <w:tabs>
        <w:tab w:val="left" w:pos="720"/>
      </w:tabs>
      <w:adjustRightInd w:val="0"/>
      <w:spacing w:line="312" w:lineRule="atLeast"/>
      <w:ind w:left="720" w:hanging="720"/>
      <w:textAlignment w:val="baseline"/>
    </w:pPr>
    <w:rPr>
      <w:rFonts w:ascii="宋体" w:hAnsi="Times New Roman" w:eastAsia="宋体" w:cs="Times New Roman"/>
      <w:sz w:val="24"/>
      <w:lang w:val="en-US" w:eastAsia="zh-CN" w:bidi="ar-SA"/>
    </w:rPr>
  </w:style>
  <w:style w:type="paragraph" w:customStyle="1" w:styleId="134">
    <w:name w:val="m_title"/>
    <w:basedOn w:val="1"/>
    <w:qFormat/>
    <w:uiPriority w:val="0"/>
    <w:pPr>
      <w:widowControl/>
      <w:spacing w:before="100" w:beforeAutospacing="1" w:after="100" w:afterAutospacing="1"/>
      <w:jc w:val="left"/>
    </w:pPr>
    <w:rPr>
      <w:rFonts w:ascii="ˎ̥" w:hAnsi="ˎ̥" w:cs="宋体"/>
      <w:color w:val="FFFFFF"/>
      <w:kern w:val="0"/>
      <w:sz w:val="18"/>
      <w:szCs w:val="18"/>
    </w:rPr>
  </w:style>
  <w:style w:type="paragraph" w:customStyle="1" w:styleId="135">
    <w:name w:val="修订1"/>
    <w:qFormat/>
    <w:uiPriority w:val="0"/>
    <w:rPr>
      <w:rFonts w:ascii="Times New Roman" w:hAnsi="Times New Roman" w:eastAsia="宋体" w:cs="Times New Roman"/>
      <w:kern w:val="2"/>
      <w:sz w:val="21"/>
      <w:szCs w:val="24"/>
      <w:lang w:val="en-US" w:eastAsia="zh-CN" w:bidi="ar-SA"/>
    </w:rPr>
  </w:style>
  <w:style w:type="paragraph" w:styleId="13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7">
    <w:name w:val="p0"/>
    <w:basedOn w:val="1"/>
    <w:unhideWhenUsed/>
    <w:qFormat/>
    <w:uiPriority w:val="0"/>
    <w:pPr>
      <w:widowControl/>
      <w:spacing w:before="100" w:beforeAutospacing="1" w:after="100" w:afterAutospacing="1"/>
      <w:jc w:val="left"/>
    </w:pPr>
    <w:rPr>
      <w:rFonts w:hint="eastAsia" w:ascii="宋体" w:hAnsi="宋体"/>
      <w:sz w:val="24"/>
    </w:rPr>
  </w:style>
  <w:style w:type="paragraph" w:customStyle="1" w:styleId="138">
    <w:name w:val="p15"/>
    <w:basedOn w:val="1"/>
    <w:qFormat/>
    <w:uiPriority w:val="0"/>
    <w:pPr>
      <w:widowControl/>
    </w:pPr>
    <w:rPr>
      <w:kern w:val="0"/>
      <w:sz w:val="18"/>
      <w:szCs w:val="18"/>
    </w:rPr>
  </w:style>
  <w:style w:type="paragraph" w:customStyle="1" w:styleId="139">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40">
    <w:name w:val="Char Char Char Char1"/>
    <w:basedOn w:val="1"/>
    <w:qFormat/>
    <w:uiPriority w:val="0"/>
    <w:rPr>
      <w:rFonts w:ascii="Tahoma" w:hAnsi="Tahoma"/>
      <w:sz w:val="24"/>
      <w:szCs w:val="20"/>
    </w:rPr>
  </w:style>
  <w:style w:type="character" w:customStyle="1" w:styleId="141">
    <w:name w:val="apple-converted-space"/>
    <w:qFormat/>
    <w:uiPriority w:val="0"/>
  </w:style>
  <w:style w:type="character" w:customStyle="1" w:styleId="142">
    <w:name w:val="正文首行缩进 Char"/>
    <w:basedOn w:val="109"/>
    <w:link w:val="45"/>
    <w:qFormat/>
    <w:uiPriority w:val="99"/>
    <w:rPr>
      <w:rFonts w:eastAsia="宋体"/>
      <w:kern w:val="2"/>
      <w:sz w:val="21"/>
      <w:szCs w:val="24"/>
      <w:lang w:val="en-US" w:eastAsia="zh-CN" w:bidi="ar-SA"/>
    </w:rPr>
  </w:style>
  <w:style w:type="character" w:customStyle="1" w:styleId="143">
    <w:name w:val="正文首行缩进 2 Char"/>
    <w:basedOn w:val="101"/>
    <w:link w:val="46"/>
    <w:qFormat/>
    <w:uiPriority w:val="0"/>
    <w:rPr>
      <w:rFonts w:ascii="黑体" w:eastAsia="黑体"/>
      <w:kern w:val="2"/>
      <w:sz w:val="21"/>
      <w:szCs w:val="24"/>
    </w:rPr>
  </w:style>
  <w:style w:type="paragraph" w:customStyle="1" w:styleId="14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C8E85-975C-4CA3-8F15-064021D8BC9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67</Pages>
  <Words>21355</Words>
  <Characters>22711</Characters>
  <Lines>924</Lines>
  <Paragraphs>1134</Paragraphs>
  <TotalTime>2</TotalTime>
  <ScaleCrop>false</ScaleCrop>
  <LinksUpToDate>false</LinksUpToDate>
  <CharactersWithSpaces>23421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2020-08-21T05:19:00Z</dcterms:created>
  <dc:creator>微软用户</dc:creator>
  <cp:lastModifiedBy>张光</cp:lastModifiedBy>
  <cp:lastPrinted>2020-10-19T02:30:00Z</cp:lastPrinted>
  <dcterms:modified xsi:type="dcterms:W3CDTF">2024-07-22T06:06:42Z</dcterms:modified>
  <dc:title>逸品香山二期工程施工</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EF3B86C691F64632BAEAC474C3172DED</vt:lpwstr>
  </property>
</Properties>
</file>