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2"/>
        <w:spacing w:line="740" w:lineRule="exact"/>
        <w:ind w:right="-34" w:rightChars="-16"/>
        <w:rPr>
          <w:rStyle w:val="63"/>
          <w:rFonts w:hint="eastAsia" w:ascii="宋体" w:hAnsi="宋体"/>
          <w:color w:val="auto"/>
          <w:sz w:val="72"/>
          <w:szCs w:val="72"/>
          <w:u w:val="none"/>
        </w:rPr>
      </w:pPr>
      <w:bookmarkStart w:id="0" w:name="_Toc228591628"/>
      <w:bookmarkStart w:id="1" w:name="_Toc228589134"/>
      <w:bookmarkStart w:id="2" w:name="_Toc227492213"/>
      <w:bookmarkStart w:id="3" w:name="_Toc228881132"/>
      <w:bookmarkStart w:id="4" w:name="_Toc228591480"/>
      <w:bookmarkStart w:id="5" w:name="_Toc214433856"/>
      <w:bookmarkStart w:id="6" w:name="_Toc228337068"/>
      <w:bookmarkStart w:id="7" w:name="_Toc272772543"/>
      <w:bookmarkStart w:id="8" w:name="_Toc227657456"/>
      <w:r>
        <w:rPr>
          <w:rStyle w:val="63"/>
          <w:rFonts w:hint="eastAsia" w:ascii="宋体" w:hAnsi="宋体"/>
          <w:color w:val="auto"/>
          <w:sz w:val="72"/>
          <w:szCs w:val="72"/>
          <w:u w:val="none"/>
          <w:lang w:eastAsia="zh-CN"/>
        </w:rPr>
        <w:t>汝南县2023年校舍维修改造长效机制项目</w:t>
      </w:r>
    </w:p>
    <w:p>
      <w:pPr>
        <w:pStyle w:val="42"/>
        <w:spacing w:line="600" w:lineRule="exact"/>
        <w:ind w:right="-34" w:rightChars="-16"/>
        <w:jc w:val="both"/>
        <w:rPr>
          <w:rFonts w:ascii="宋体" w:hAnsi="宋体" w:cs="宋体"/>
          <w:bCs/>
          <w:szCs w:val="44"/>
        </w:rPr>
      </w:pPr>
    </w:p>
    <w:p>
      <w:pPr>
        <w:pStyle w:val="42"/>
        <w:spacing w:line="740" w:lineRule="exact"/>
        <w:ind w:right="-34" w:rightChars="-16"/>
        <w:rPr>
          <w:rStyle w:val="63"/>
          <w:rFonts w:ascii="宋体" w:hAnsi="宋体"/>
          <w:color w:val="auto"/>
          <w:sz w:val="72"/>
          <w:szCs w:val="72"/>
          <w:u w:val="none"/>
        </w:rPr>
      </w:pPr>
    </w:p>
    <w:p>
      <w:pPr>
        <w:pStyle w:val="42"/>
        <w:spacing w:line="740" w:lineRule="exact"/>
        <w:ind w:right="-34" w:rightChars="-16"/>
        <w:rPr>
          <w:rStyle w:val="63"/>
          <w:rFonts w:ascii="宋体" w:hAnsi="宋体"/>
          <w:color w:val="auto"/>
          <w:sz w:val="72"/>
          <w:szCs w:val="72"/>
        </w:rPr>
      </w:pPr>
      <w:r>
        <w:rPr>
          <w:rStyle w:val="63"/>
          <w:rFonts w:hint="eastAsia" w:ascii="宋体" w:hAnsi="宋体"/>
          <w:color w:val="auto"/>
          <w:sz w:val="72"/>
          <w:szCs w:val="72"/>
          <w:u w:val="none"/>
        </w:rPr>
        <w:t>施工招标文件</w:t>
      </w:r>
    </w:p>
    <w:p>
      <w:pPr>
        <w:spacing w:line="400" w:lineRule="exact"/>
        <w:ind w:right="-34" w:rightChars="-16"/>
        <w:jc w:val="center"/>
        <w:rPr>
          <w:rFonts w:ascii="黑体" w:eastAsia="黑体"/>
          <w:sz w:val="40"/>
          <w:szCs w:val="28"/>
        </w:rPr>
      </w:pPr>
    </w:p>
    <w:p>
      <w:pPr>
        <w:pStyle w:val="69"/>
        <w:rPr>
          <w:rFonts w:ascii="黑体" w:eastAsia="黑体"/>
          <w:sz w:val="40"/>
          <w:szCs w:val="28"/>
        </w:rPr>
      </w:pPr>
    </w:p>
    <w:p>
      <w:pPr>
        <w:spacing w:line="360" w:lineRule="auto"/>
        <w:jc w:val="center"/>
        <w:rPr>
          <w:rFonts w:hint="default" w:ascii="宋体" w:hAnsi="宋体" w:cs="宋体"/>
          <w:b/>
          <w:kern w:val="0"/>
          <w:sz w:val="24"/>
          <w:szCs w:val="21"/>
          <w:highlight w:val="none"/>
          <w:lang w:val="en-US" w:eastAsia="zh-CN"/>
        </w:rPr>
      </w:pPr>
      <w:r>
        <w:rPr>
          <w:rFonts w:hint="eastAsia" w:ascii="宋体" w:hAnsi="宋体" w:cs="宋体"/>
          <w:b/>
          <w:kern w:val="0"/>
          <w:sz w:val="24"/>
          <w:szCs w:val="21"/>
          <w:highlight w:val="none"/>
          <w:lang w:eastAsia="zh-CN"/>
        </w:rPr>
        <w:t>项目编号：RN2024</w:t>
      </w:r>
      <w:r>
        <w:rPr>
          <w:rFonts w:hint="eastAsia" w:ascii="宋体" w:hAnsi="宋体" w:cs="宋体"/>
          <w:b/>
          <w:kern w:val="0"/>
          <w:sz w:val="24"/>
          <w:szCs w:val="21"/>
          <w:highlight w:val="none"/>
          <w:lang w:val="en-US" w:eastAsia="zh-CN"/>
        </w:rPr>
        <w:t>-017</w:t>
      </w:r>
    </w:p>
    <w:p>
      <w:pPr>
        <w:pStyle w:val="69"/>
        <w:rPr>
          <w:rFonts w:ascii="黑体" w:eastAsia="黑体"/>
          <w:sz w:val="40"/>
          <w:szCs w:val="28"/>
        </w:rPr>
      </w:pPr>
    </w:p>
    <w:p>
      <w:pPr>
        <w:pStyle w:val="69"/>
        <w:rPr>
          <w:rFonts w:ascii="黑体" w:eastAsia="黑体"/>
          <w:sz w:val="40"/>
          <w:szCs w:val="28"/>
        </w:rPr>
      </w:pPr>
    </w:p>
    <w:p>
      <w:pPr>
        <w:pStyle w:val="69"/>
        <w:rPr>
          <w:rFonts w:ascii="黑体" w:eastAsia="黑体"/>
          <w:sz w:val="40"/>
          <w:szCs w:val="28"/>
        </w:rPr>
      </w:pPr>
    </w:p>
    <w:p>
      <w:pPr>
        <w:pStyle w:val="69"/>
        <w:rPr>
          <w:rFonts w:ascii="黑体" w:eastAsia="黑体"/>
          <w:sz w:val="40"/>
          <w:szCs w:val="28"/>
        </w:rPr>
      </w:pPr>
    </w:p>
    <w:p>
      <w:pPr>
        <w:pStyle w:val="69"/>
        <w:rPr>
          <w:rFonts w:ascii="黑体" w:eastAsia="黑体"/>
          <w:sz w:val="40"/>
          <w:szCs w:val="28"/>
        </w:rPr>
      </w:pPr>
    </w:p>
    <w:p>
      <w:pPr>
        <w:pStyle w:val="69"/>
        <w:rPr>
          <w:rFonts w:ascii="黑体" w:eastAsia="黑体"/>
          <w:sz w:val="40"/>
          <w:szCs w:val="28"/>
        </w:rPr>
      </w:pPr>
    </w:p>
    <w:p>
      <w:pPr>
        <w:pStyle w:val="69"/>
        <w:rPr>
          <w:rFonts w:ascii="黑体" w:eastAsia="黑体"/>
          <w:sz w:val="40"/>
          <w:szCs w:val="28"/>
        </w:rPr>
      </w:pPr>
    </w:p>
    <w:p>
      <w:pPr>
        <w:pStyle w:val="42"/>
        <w:spacing w:line="400" w:lineRule="exact"/>
        <w:ind w:right="-34" w:rightChars="-16"/>
        <w:jc w:val="both"/>
        <w:rPr>
          <w:rStyle w:val="63"/>
          <w:rFonts w:ascii="宋体" w:hAnsi="宋体"/>
          <w:color w:val="auto"/>
          <w:sz w:val="52"/>
          <w:szCs w:val="52"/>
        </w:rPr>
      </w:pPr>
    </w:p>
    <w:p>
      <w:pPr>
        <w:tabs>
          <w:tab w:val="left" w:pos="7770"/>
        </w:tabs>
        <w:spacing w:line="360" w:lineRule="auto"/>
        <w:ind w:firstLine="1084" w:firstLineChars="300"/>
        <w:rPr>
          <w:rFonts w:hint="eastAsia" w:ascii="宋体" w:hAnsi="宋体" w:eastAsia="宋体"/>
          <w:b/>
          <w:color w:val="auto"/>
          <w:kern w:val="18"/>
          <w:sz w:val="36"/>
          <w:szCs w:val="36"/>
          <w:lang w:eastAsia="zh-CN"/>
        </w:rPr>
      </w:pPr>
      <w:r>
        <w:rPr>
          <w:rFonts w:hint="eastAsia" w:ascii="宋体" w:hAnsi="宋体"/>
          <w:b/>
          <w:kern w:val="18"/>
          <w:sz w:val="36"/>
          <w:szCs w:val="36"/>
        </w:rPr>
        <w:t>招   标   人：</w:t>
      </w:r>
      <w:r>
        <w:rPr>
          <w:rFonts w:hint="eastAsia" w:ascii="宋体" w:hAnsi="宋体"/>
          <w:b/>
          <w:color w:val="auto"/>
          <w:kern w:val="18"/>
          <w:sz w:val="36"/>
          <w:szCs w:val="36"/>
          <w:lang w:eastAsia="zh-CN"/>
        </w:rPr>
        <w:t>汝南县教育局</w:t>
      </w:r>
    </w:p>
    <w:p>
      <w:pPr>
        <w:autoSpaceDE w:val="0"/>
        <w:autoSpaceDN w:val="0"/>
        <w:adjustRightInd w:val="0"/>
        <w:spacing w:line="360" w:lineRule="auto"/>
        <w:ind w:firstLine="1063" w:firstLineChars="294"/>
        <w:rPr>
          <w:rFonts w:hint="eastAsia" w:ascii="宋体" w:hAnsi="宋体" w:eastAsia="宋体"/>
          <w:bCs/>
          <w:spacing w:val="-40"/>
          <w:kern w:val="18"/>
          <w:sz w:val="32"/>
          <w:szCs w:val="32"/>
          <w:u w:val="single"/>
          <w:lang w:eastAsia="zh-CN"/>
        </w:rPr>
      </w:pPr>
      <w:r>
        <w:rPr>
          <w:rFonts w:hint="eastAsia" w:ascii="宋体" w:hAnsi="宋体"/>
          <w:b/>
          <w:kern w:val="18"/>
          <w:sz w:val="36"/>
          <w:szCs w:val="36"/>
        </w:rPr>
        <w:t>招标代理机构：</w:t>
      </w:r>
      <w:r>
        <w:rPr>
          <w:rFonts w:hint="eastAsia" w:ascii="宋体" w:hAnsi="宋体"/>
          <w:b/>
          <w:kern w:val="18"/>
          <w:sz w:val="36"/>
          <w:szCs w:val="36"/>
          <w:lang w:eastAsia="zh-CN"/>
        </w:rPr>
        <w:t>河南申鑫工程管理有限公司</w:t>
      </w:r>
    </w:p>
    <w:p>
      <w:pPr>
        <w:spacing w:line="360" w:lineRule="auto"/>
        <w:ind w:firstLine="1066" w:firstLineChars="295"/>
        <w:rPr>
          <w:rFonts w:ascii="宋体" w:hAnsi="宋体"/>
          <w:b/>
          <w:kern w:val="18"/>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418"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r>
        <w:rPr>
          <w:rFonts w:hint="eastAsia" w:ascii="宋体" w:hAnsi="宋体"/>
          <w:b/>
          <w:kern w:val="18"/>
          <w:sz w:val="36"/>
          <w:szCs w:val="36"/>
        </w:rPr>
        <w:t>日        期：二零二</w:t>
      </w:r>
      <w:r>
        <w:rPr>
          <w:rFonts w:hint="eastAsia" w:ascii="宋体" w:hAnsi="宋体"/>
          <w:b/>
          <w:kern w:val="18"/>
          <w:sz w:val="36"/>
          <w:szCs w:val="36"/>
          <w:lang w:eastAsia="zh-CN"/>
        </w:rPr>
        <w:t>四</w:t>
      </w:r>
      <w:r>
        <w:rPr>
          <w:rFonts w:hint="eastAsia" w:ascii="宋体" w:hAnsi="宋体"/>
          <w:b/>
          <w:kern w:val="18"/>
          <w:sz w:val="36"/>
          <w:szCs w:val="36"/>
        </w:rPr>
        <w:t>年</w:t>
      </w:r>
      <w:r>
        <w:rPr>
          <w:rFonts w:hint="eastAsia" w:ascii="宋体" w:hAnsi="宋体"/>
          <w:b/>
          <w:kern w:val="18"/>
          <w:sz w:val="36"/>
          <w:szCs w:val="36"/>
          <w:lang w:eastAsia="zh-CN"/>
        </w:rPr>
        <w:t>五</w:t>
      </w:r>
      <w:r>
        <w:rPr>
          <w:rFonts w:hint="eastAsia" w:ascii="宋体" w:hAnsi="宋体"/>
          <w:b/>
          <w:kern w:val="18"/>
          <w:sz w:val="36"/>
          <w:szCs w:val="36"/>
        </w:rPr>
        <w:t>月</w:t>
      </w:r>
    </w:p>
    <w:p>
      <w:pPr>
        <w:spacing w:line="400" w:lineRule="exact"/>
        <w:ind w:right="-34" w:rightChars="-16"/>
        <w:jc w:val="center"/>
        <w:rPr>
          <w:rFonts w:hint="eastAsia" w:ascii="黑体" w:eastAsia="黑体"/>
          <w:sz w:val="40"/>
          <w:szCs w:val="28"/>
        </w:rPr>
      </w:pPr>
    </w:p>
    <w:p>
      <w:pPr>
        <w:spacing w:line="400" w:lineRule="exact"/>
        <w:ind w:right="-34" w:rightChars="-16"/>
        <w:jc w:val="center"/>
        <w:rPr>
          <w:rFonts w:ascii="黑体" w:eastAsia="黑体"/>
          <w:sz w:val="40"/>
          <w:szCs w:val="28"/>
        </w:rPr>
      </w:pPr>
      <w:r>
        <w:rPr>
          <w:rFonts w:hint="eastAsia" w:ascii="黑体" w:eastAsia="黑体"/>
          <w:sz w:val="40"/>
          <w:szCs w:val="28"/>
        </w:rPr>
        <w:t>目  录</w:t>
      </w:r>
    </w:p>
    <w:p>
      <w:pPr>
        <w:autoSpaceDE w:val="0"/>
        <w:autoSpaceDN w:val="0"/>
        <w:adjustRightInd w:val="0"/>
        <w:spacing w:line="400" w:lineRule="exact"/>
        <w:ind w:right="-34" w:rightChars="-16"/>
        <w:jc w:val="center"/>
        <w:outlineLvl w:val="0"/>
        <w:rPr>
          <w:rFonts w:ascii="黑体" w:hAnsi="宋体" w:eastAsia="黑体"/>
          <w:b/>
          <w:kern w:val="0"/>
          <w:sz w:val="32"/>
          <w:szCs w:val="32"/>
        </w:rPr>
      </w:pPr>
    </w:p>
    <w:p>
      <w:pPr>
        <w:pStyle w:val="33"/>
        <w:tabs>
          <w:tab w:val="right" w:leader="dot" w:pos="9180"/>
        </w:tabs>
        <w:spacing w:line="36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TOC \o "1-3" \h \z \u </w:instrText>
      </w:r>
      <w:r>
        <w:rPr>
          <w:rFonts w:hint="eastAsia" w:asciiTheme="minorEastAsia" w:hAnsiTheme="minorEastAsia" w:eastAsiaTheme="minorEastAsia" w:cstheme="minorEastAsia"/>
          <w:szCs w:val="24"/>
        </w:rPr>
        <w:fldChar w:fldCharType="separate"/>
      </w:r>
      <w:r>
        <w:fldChar w:fldCharType="begin"/>
      </w:r>
      <w:r>
        <w:instrText xml:space="preserve"> HYPERLINK \l "_Toc21912" </w:instrText>
      </w:r>
      <w:r>
        <w:fldChar w:fldCharType="separate"/>
      </w:r>
      <w:r>
        <w:rPr>
          <w:rFonts w:hint="eastAsia" w:asciiTheme="minorEastAsia" w:hAnsiTheme="minorEastAsia" w:eastAsiaTheme="minorEastAsia" w:cstheme="minorEastAsia"/>
          <w:szCs w:val="24"/>
        </w:rPr>
        <w:t>第一章 招标公告</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_Toc21912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2</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"_Toc21912" </w:instrText>
      </w:r>
      <w:r>
        <w:fldChar w:fldCharType="separate"/>
      </w:r>
      <w:r>
        <w:rPr>
          <w:rFonts w:hint="eastAsia" w:asciiTheme="minorEastAsia" w:hAnsiTheme="minorEastAsia" w:eastAsiaTheme="minorEastAsia" w:cstheme="minorEastAsia"/>
          <w:szCs w:val="24"/>
        </w:rPr>
        <w:t>第二章 投标人须知</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t>9</w:t>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"_Toc6428" </w:instrText>
      </w:r>
      <w:r>
        <w:fldChar w:fldCharType="separate"/>
      </w:r>
      <w:r>
        <w:rPr>
          <w:rFonts w:hint="eastAsia" w:asciiTheme="minorEastAsia" w:hAnsiTheme="minorEastAsia" w:eastAsiaTheme="minorEastAsia" w:cstheme="minorEastAsia"/>
          <w:szCs w:val="24"/>
        </w:rPr>
        <w:t>第三章 评标办法（合理低价评标法）</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t>2</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t>9</w:t>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"_Toc25454" </w:instrText>
      </w:r>
      <w:r>
        <w:fldChar w:fldCharType="separate"/>
      </w:r>
      <w:r>
        <w:rPr>
          <w:rFonts w:hint="eastAsia" w:asciiTheme="minorEastAsia" w:hAnsiTheme="minorEastAsia" w:eastAsiaTheme="minorEastAsia" w:cstheme="minorEastAsia"/>
          <w:szCs w:val="24"/>
        </w:rPr>
        <w:t>第四章 合同条款及格式</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_Toc25454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46</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"_Toc9161" </w:instrText>
      </w:r>
      <w:r>
        <w:fldChar w:fldCharType="separate"/>
      </w:r>
      <w:r>
        <w:rPr>
          <w:rFonts w:hint="eastAsia" w:asciiTheme="minorEastAsia" w:hAnsiTheme="minorEastAsia" w:eastAsiaTheme="minorEastAsia" w:cstheme="minorEastAsia"/>
          <w:szCs w:val="24"/>
        </w:rPr>
        <w:t>第五章  工程量清单（交易平台下载）</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_Toc9161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82</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"_Toc6969" </w:instrText>
      </w:r>
      <w:r>
        <w:fldChar w:fldCharType="separate"/>
      </w:r>
      <w:r>
        <w:rPr>
          <w:rFonts w:hint="eastAsia" w:asciiTheme="minorEastAsia" w:hAnsiTheme="minorEastAsia" w:eastAsiaTheme="minorEastAsia" w:cstheme="minorEastAsia"/>
          <w:szCs w:val="24"/>
        </w:rPr>
        <w:t>第六章  图纸（交易平台下载）</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_Toc6969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83</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"_Toc20418" </w:instrText>
      </w:r>
      <w:r>
        <w:fldChar w:fldCharType="separate"/>
      </w:r>
      <w:r>
        <w:rPr>
          <w:rFonts w:hint="eastAsia" w:asciiTheme="minorEastAsia" w:hAnsiTheme="minorEastAsia" w:eastAsiaTheme="minorEastAsia" w:cstheme="minorEastAsia"/>
          <w:szCs w:val="24"/>
        </w:rPr>
        <w:t>第七章 技术标准和要求</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_Toc20418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84</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"_Toc20527" </w:instrText>
      </w:r>
      <w:r>
        <w:fldChar w:fldCharType="separate"/>
      </w:r>
      <w:r>
        <w:rPr>
          <w:rFonts w:hint="eastAsia" w:asciiTheme="minorEastAsia" w:hAnsiTheme="minorEastAsia" w:eastAsiaTheme="minorEastAsia" w:cstheme="minorEastAsia"/>
          <w:szCs w:val="24"/>
        </w:rPr>
        <w:t>第八章 投标文件格式</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_Toc20527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85</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"_Toc570" </w:instrText>
      </w:r>
      <w:r>
        <w:fldChar w:fldCharType="separate"/>
      </w:r>
      <w:r>
        <w:rPr>
          <w:rFonts w:hint="eastAsia" w:asciiTheme="minorEastAsia" w:hAnsiTheme="minorEastAsia" w:eastAsiaTheme="minorEastAsia" w:cstheme="minorEastAsia"/>
          <w:szCs w:val="24"/>
        </w:rPr>
        <w:t>目    录</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_Toc570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87</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"_Toc29799" </w:instrText>
      </w:r>
      <w:r>
        <w:fldChar w:fldCharType="separate"/>
      </w:r>
      <w:r>
        <w:rPr>
          <w:rFonts w:hint="eastAsia" w:asciiTheme="minorEastAsia" w:hAnsiTheme="minorEastAsia" w:eastAsiaTheme="minorEastAsia" w:cstheme="minorEastAsia"/>
          <w:szCs w:val="24"/>
        </w:rPr>
        <w:t>一、投标函及投标函附录</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_Toc29799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88</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"_Toc7588" </w:instrText>
      </w:r>
      <w:r>
        <w:fldChar w:fldCharType="separate"/>
      </w:r>
      <w:r>
        <w:rPr>
          <w:rFonts w:hint="eastAsia" w:asciiTheme="minorEastAsia" w:hAnsiTheme="minorEastAsia" w:eastAsiaTheme="minorEastAsia" w:cstheme="minorEastAsia"/>
          <w:szCs w:val="24"/>
        </w:rPr>
        <w:t>（一）投标函</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lang w:val="en-US" w:eastAsia="zh-CN"/>
        </w:rPr>
        <w:t>8</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lang w:val="en-US" w:eastAsia="zh-CN"/>
        </w:rPr>
        <w:t>7</w:t>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"_Toc6287" </w:instrText>
      </w:r>
      <w:r>
        <w:fldChar w:fldCharType="separate"/>
      </w:r>
      <w:r>
        <w:rPr>
          <w:rFonts w:hint="eastAsia" w:asciiTheme="minorEastAsia" w:hAnsiTheme="minorEastAsia" w:eastAsiaTheme="minorEastAsia" w:cstheme="minorEastAsia"/>
          <w:szCs w:val="24"/>
        </w:rPr>
        <w:t>（二）投标函附录</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lang w:val="en-US" w:eastAsia="zh-CN"/>
        </w:rPr>
        <w:t>8</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lang w:val="en-US" w:eastAsia="zh-CN"/>
        </w:rPr>
        <w:t>8</w:t>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"_Toc8728" </w:instrText>
      </w:r>
      <w:r>
        <w:fldChar w:fldCharType="separate"/>
      </w:r>
      <w:r>
        <w:rPr>
          <w:rFonts w:hint="eastAsia" w:asciiTheme="minorEastAsia" w:hAnsiTheme="minorEastAsia" w:eastAsiaTheme="minorEastAsia" w:cstheme="minorEastAsia"/>
          <w:szCs w:val="24"/>
        </w:rPr>
        <w:t>二、法定代表人身份证明</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lang w:val="en-US" w:eastAsia="zh-CN"/>
        </w:rPr>
        <w:t>8</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lang w:val="en-US" w:eastAsia="zh-CN"/>
        </w:rPr>
        <w:t>9</w:t>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"_Toc15375" </w:instrText>
      </w:r>
      <w:r>
        <w:fldChar w:fldCharType="separate"/>
      </w:r>
      <w:r>
        <w:rPr>
          <w:rFonts w:hint="eastAsia" w:asciiTheme="minorEastAsia" w:hAnsiTheme="minorEastAsia" w:eastAsiaTheme="minorEastAsia" w:cstheme="minorEastAsia"/>
          <w:szCs w:val="24"/>
        </w:rPr>
        <w:t>三、附有法定代表人身份证明的授权委托书</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_Toc15375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91</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"_Toc6696" </w:instrText>
      </w:r>
      <w:r>
        <w:fldChar w:fldCharType="separate"/>
      </w:r>
      <w:r>
        <w:rPr>
          <w:rFonts w:hint="eastAsia" w:asciiTheme="minorEastAsia" w:hAnsiTheme="minorEastAsia" w:eastAsiaTheme="minorEastAsia" w:cstheme="minorEastAsia"/>
          <w:szCs w:val="24"/>
        </w:rPr>
        <w:t>四、投标保证金</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_Toc6696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92</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"_Toc19664" </w:instrText>
      </w:r>
      <w:r>
        <w:fldChar w:fldCharType="separate"/>
      </w:r>
      <w:r>
        <w:rPr>
          <w:rFonts w:hint="eastAsia" w:asciiTheme="minorEastAsia" w:hAnsiTheme="minorEastAsia" w:eastAsiaTheme="minorEastAsia" w:cstheme="minorEastAsia"/>
          <w:szCs w:val="24"/>
        </w:rPr>
        <w:t>五、已标价工程量清单</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_Toc19664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93</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"_Toc6964" </w:instrText>
      </w:r>
      <w:r>
        <w:fldChar w:fldCharType="separate"/>
      </w:r>
      <w:r>
        <w:rPr>
          <w:rFonts w:hint="eastAsia" w:asciiTheme="minorEastAsia" w:hAnsiTheme="minorEastAsia" w:eastAsiaTheme="minorEastAsia" w:cstheme="minorEastAsia"/>
          <w:szCs w:val="24"/>
        </w:rPr>
        <w:t>六、技术标</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_Toc6964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94</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"_Toc21861" </w:instrText>
      </w:r>
      <w:r>
        <w:fldChar w:fldCharType="separate"/>
      </w:r>
      <w:r>
        <w:rPr>
          <w:rFonts w:hint="eastAsia" w:asciiTheme="minorEastAsia" w:hAnsiTheme="minorEastAsia" w:eastAsiaTheme="minorEastAsia" w:cstheme="minorEastAsia"/>
          <w:szCs w:val="24"/>
        </w:rPr>
        <w:t>附表二：拟配备本项目的试验和检测仪器设备表</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_Toc21861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96</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"_Toc28006" </w:instrText>
      </w:r>
      <w:r>
        <w:fldChar w:fldCharType="separate"/>
      </w:r>
      <w:r>
        <w:rPr>
          <w:rFonts w:hint="eastAsia" w:asciiTheme="minorEastAsia" w:hAnsiTheme="minorEastAsia" w:eastAsiaTheme="minorEastAsia" w:cstheme="minorEastAsia"/>
          <w:szCs w:val="24"/>
        </w:rPr>
        <w:t>附表三：施工进度计划表</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_Toc28006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97</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"_Toc28049" </w:instrText>
      </w:r>
      <w:r>
        <w:fldChar w:fldCharType="separate"/>
      </w:r>
      <w:r>
        <w:rPr>
          <w:rFonts w:hint="eastAsia" w:asciiTheme="minorEastAsia" w:hAnsiTheme="minorEastAsia" w:eastAsiaTheme="minorEastAsia" w:cstheme="minorEastAsia"/>
          <w:szCs w:val="24"/>
        </w:rPr>
        <w:t>附表五：施工总平面图</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_Toc28049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99</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"_Toc184" </w:instrText>
      </w:r>
      <w:r>
        <w:fldChar w:fldCharType="separate"/>
      </w:r>
      <w:r>
        <w:rPr>
          <w:rFonts w:hint="eastAsia" w:asciiTheme="minorEastAsia" w:hAnsiTheme="minorEastAsia" w:eastAsiaTheme="minorEastAsia" w:cstheme="minorEastAsia"/>
          <w:szCs w:val="24"/>
        </w:rPr>
        <w:t>七、技术标准和要求</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_Toc184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100</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"_Toc32505" </w:instrText>
      </w:r>
      <w:r>
        <w:fldChar w:fldCharType="separate"/>
      </w:r>
      <w:r>
        <w:rPr>
          <w:rFonts w:hint="eastAsia" w:asciiTheme="minorEastAsia" w:hAnsiTheme="minorEastAsia" w:eastAsiaTheme="minorEastAsia" w:cstheme="minorEastAsia"/>
          <w:szCs w:val="24"/>
        </w:rPr>
        <w:t>（一）项目管理机构组成表</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_Toc32505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101</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"_Toc19288" </w:instrText>
      </w:r>
      <w:r>
        <w:fldChar w:fldCharType="separate"/>
      </w:r>
      <w:r>
        <w:rPr>
          <w:rFonts w:hint="eastAsia" w:asciiTheme="minorEastAsia" w:hAnsiTheme="minorEastAsia" w:eastAsiaTheme="minorEastAsia" w:cstheme="minorEastAsia"/>
          <w:szCs w:val="24"/>
        </w:rPr>
        <w:t>（二）主要人员简历表</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_Toc19288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102</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"_Toc2859" </w:instrText>
      </w:r>
      <w:r>
        <w:fldChar w:fldCharType="separate"/>
      </w:r>
      <w:r>
        <w:rPr>
          <w:rFonts w:hint="eastAsia" w:asciiTheme="minorEastAsia" w:hAnsiTheme="minorEastAsia" w:eastAsiaTheme="minorEastAsia" w:cstheme="minorEastAsia"/>
          <w:szCs w:val="24"/>
        </w:rPr>
        <w:t>（三）其他</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_Toc2859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103</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"_Toc27472" </w:instrText>
      </w:r>
      <w:r>
        <w:fldChar w:fldCharType="separate"/>
      </w:r>
      <w:r>
        <w:rPr>
          <w:rFonts w:hint="eastAsia" w:asciiTheme="minorEastAsia" w:hAnsiTheme="minorEastAsia" w:eastAsiaTheme="minorEastAsia" w:cstheme="minorEastAsia"/>
          <w:szCs w:val="24"/>
        </w:rPr>
        <w:t>九、资格审查资料</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_Toc27472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104</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"_Toc183" </w:instrText>
      </w:r>
      <w:r>
        <w:fldChar w:fldCharType="separate"/>
      </w:r>
      <w:r>
        <w:rPr>
          <w:rFonts w:hint="eastAsia" w:asciiTheme="minorEastAsia" w:hAnsiTheme="minorEastAsia" w:eastAsiaTheme="minorEastAsia" w:cstheme="minorEastAsia"/>
          <w:szCs w:val="24"/>
        </w:rPr>
        <w:t>（一）投标人基本情况表</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_Toc183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104</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"_Toc8428" </w:instrText>
      </w:r>
      <w:r>
        <w:fldChar w:fldCharType="separate"/>
      </w:r>
      <w:r>
        <w:rPr>
          <w:rFonts w:hint="eastAsia" w:asciiTheme="minorEastAsia" w:hAnsiTheme="minorEastAsia" w:eastAsiaTheme="minorEastAsia" w:cstheme="minorEastAsia"/>
          <w:szCs w:val="24"/>
        </w:rPr>
        <w:t>（二）近年财务状况表</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_Toc8428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105</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"_Toc22850" </w:instrText>
      </w:r>
      <w:r>
        <w:fldChar w:fldCharType="separate"/>
      </w:r>
      <w:r>
        <w:rPr>
          <w:rFonts w:hint="eastAsia" w:asciiTheme="minorEastAsia" w:hAnsiTheme="minorEastAsia" w:eastAsiaTheme="minorEastAsia" w:cstheme="minorEastAsia"/>
          <w:szCs w:val="24"/>
        </w:rPr>
        <w:t>（三）近年完成的类似项目情况表</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_Toc22850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106</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"_Toc30415" </w:instrText>
      </w:r>
      <w:r>
        <w:fldChar w:fldCharType="separate"/>
      </w:r>
      <w:r>
        <w:rPr>
          <w:rFonts w:hint="eastAsia" w:asciiTheme="minorEastAsia" w:hAnsiTheme="minorEastAsia" w:eastAsiaTheme="minorEastAsia" w:cstheme="minorEastAsia"/>
          <w:szCs w:val="24"/>
        </w:rPr>
        <w:t>（四）正在施工的和新承接的项目情况表</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_Toc30415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107</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fldChar w:fldCharType="begin"/>
      </w:r>
      <w:r>
        <w:instrText xml:space="preserve"> HYPERLINK \l "_Toc22059" </w:instrText>
      </w:r>
      <w:r>
        <w:fldChar w:fldCharType="separate"/>
      </w:r>
      <w:r>
        <w:rPr>
          <w:rFonts w:hint="eastAsia" w:asciiTheme="minorEastAsia" w:hAnsiTheme="minorEastAsia" w:eastAsiaTheme="minorEastAsia" w:cstheme="minorEastAsia"/>
          <w:szCs w:val="24"/>
        </w:rPr>
        <w:t>（五）近年发生的诉讼及仲裁情况</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PAGEREF _Toc22059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szCs w:val="24"/>
        </w:rPr>
        <w:t>108</w:t>
      </w: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fldChar w:fldCharType="end"/>
      </w:r>
    </w:p>
    <w:p>
      <w:pPr>
        <w:pStyle w:val="33"/>
        <w:tabs>
          <w:tab w:val="right" w:leader="dot" w:pos="9180"/>
        </w:tabs>
        <w:spacing w:line="360" w:lineRule="exac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fldChar w:fldCharType="end"/>
      </w:r>
      <w:r>
        <w:rPr>
          <w:rFonts w:hint="eastAsia" w:asciiTheme="minorEastAsia" w:hAnsiTheme="minorEastAsia" w:eastAsiaTheme="minorEastAsia" w:cstheme="minorEastAsia"/>
          <w:szCs w:val="24"/>
        </w:rPr>
        <w:t>十、其他材料</w:t>
      </w:r>
      <w:r>
        <w:rPr>
          <w:rFonts w:hint="eastAsia" w:asciiTheme="minorEastAsia" w:hAnsiTheme="minorEastAsia" w:eastAsiaTheme="minorEastAsia" w:cstheme="minorEastAsia"/>
          <w:szCs w:val="24"/>
        </w:rPr>
        <w:tab/>
      </w:r>
      <w:r>
        <w:rPr>
          <w:rFonts w:hint="eastAsia" w:asciiTheme="minorEastAsia" w:hAnsiTheme="minorEastAsia" w:eastAsiaTheme="minorEastAsia" w:cstheme="minorEastAsia"/>
          <w:szCs w:val="24"/>
        </w:rPr>
        <w:t>1</w:t>
      </w:r>
      <w:r>
        <w:rPr>
          <w:rFonts w:hint="eastAsia" w:asciiTheme="minorEastAsia" w:hAnsiTheme="minorEastAsia" w:eastAsiaTheme="minorEastAsia" w:cstheme="minorEastAsia"/>
          <w:szCs w:val="24"/>
          <w:lang w:val="en-US" w:eastAsia="zh-CN"/>
        </w:rPr>
        <w:t>09</w:t>
      </w:r>
    </w:p>
    <w:p>
      <w:pPr>
        <w:pStyle w:val="33"/>
        <w:tabs>
          <w:tab w:val="right" w:leader="dot" w:pos="9180"/>
        </w:tabs>
        <w:spacing w:line="360" w:lineRule="exact"/>
        <w:rPr>
          <w:rFonts w:asciiTheme="minorEastAsia" w:hAnsiTheme="minorEastAsia" w:eastAsiaTheme="minorEastAsia" w:cstheme="minorEastAsia"/>
          <w:szCs w:val="24"/>
        </w:rPr>
      </w:pPr>
    </w:p>
    <w:bookmarkEnd w:id="0"/>
    <w:bookmarkEnd w:id="1"/>
    <w:bookmarkEnd w:id="2"/>
    <w:bookmarkEnd w:id="3"/>
    <w:bookmarkEnd w:id="4"/>
    <w:bookmarkEnd w:id="5"/>
    <w:bookmarkEnd w:id="6"/>
    <w:bookmarkEnd w:id="7"/>
    <w:bookmarkEnd w:id="8"/>
    <w:p>
      <w:pPr>
        <w:spacing w:line="460" w:lineRule="exact"/>
        <w:ind w:right="431"/>
        <w:jc w:val="center"/>
        <w:rPr>
          <w:rFonts w:ascii="宋体" w:hAnsi="宋体" w:cs="宋体"/>
          <w:b/>
          <w:bCs/>
          <w:spacing w:val="14"/>
          <w:sz w:val="36"/>
          <w:szCs w:val="36"/>
        </w:rPr>
      </w:pPr>
      <w:bookmarkStart w:id="9" w:name="_Toc21912"/>
      <w:bookmarkStart w:id="10" w:name="_Toc10432"/>
      <w:bookmarkStart w:id="11" w:name="_Toc227657458"/>
      <w:bookmarkStart w:id="12" w:name="_Toc227492215"/>
      <w:bookmarkStart w:id="13" w:name="_Toc214433858"/>
      <w:bookmarkStart w:id="14" w:name="_Toc272772545"/>
    </w:p>
    <w:p>
      <w:pPr>
        <w:spacing w:line="460" w:lineRule="exact"/>
        <w:ind w:right="431"/>
        <w:jc w:val="center"/>
        <w:rPr>
          <w:rFonts w:ascii="宋体" w:hAnsi="宋体" w:cs="宋体"/>
          <w:b/>
          <w:bCs/>
          <w:spacing w:val="14"/>
          <w:sz w:val="36"/>
          <w:szCs w:val="36"/>
        </w:rPr>
      </w:pPr>
    </w:p>
    <w:p>
      <w:pPr>
        <w:spacing w:line="460" w:lineRule="exact"/>
        <w:ind w:right="431"/>
        <w:jc w:val="center"/>
        <w:rPr>
          <w:rFonts w:ascii="宋体"/>
          <w:sz w:val="36"/>
          <w:szCs w:val="36"/>
        </w:rPr>
      </w:pPr>
      <w:r>
        <w:rPr>
          <w:rFonts w:hint="eastAsia" w:ascii="宋体" w:hAnsi="宋体" w:cs="宋体"/>
          <w:b/>
          <w:bCs/>
          <w:spacing w:val="14"/>
          <w:sz w:val="36"/>
          <w:szCs w:val="36"/>
        </w:rPr>
        <w:t>招标代理项目部人员组成</w:t>
      </w:r>
    </w:p>
    <w:p>
      <w:pPr>
        <w:rPr>
          <w:rFonts w:ascii="宋体"/>
          <w:b/>
          <w:bCs/>
          <w:sz w:val="20"/>
        </w:rPr>
      </w:pPr>
    </w:p>
    <w:p>
      <w:pPr>
        <w:rPr>
          <w:rFonts w:ascii="宋体"/>
          <w:b/>
          <w:bCs/>
          <w:sz w:val="20"/>
        </w:rPr>
      </w:pPr>
    </w:p>
    <w:p>
      <w:pPr>
        <w:tabs>
          <w:tab w:val="left" w:pos="899"/>
        </w:tabs>
        <w:snapToGrid w:val="0"/>
        <w:spacing w:line="360" w:lineRule="auto"/>
        <w:ind w:firstLine="640" w:firstLineChars="200"/>
        <w:jc w:val="distribute"/>
        <w:rPr>
          <w:rFonts w:ascii="宋体" w:hAnsi="宋体" w:cs="宋体"/>
          <w:color w:val="auto"/>
          <w:sz w:val="32"/>
          <w:szCs w:val="32"/>
        </w:rPr>
      </w:pPr>
    </w:p>
    <w:p>
      <w:pPr>
        <w:spacing w:before="624" w:beforeLines="200" w:after="624" w:afterLines="200" w:line="400" w:lineRule="exact"/>
        <w:ind w:left="178" w:leftChars="85" w:right="-34" w:rightChars="-16" w:firstLine="480" w:firstLineChars="200"/>
        <w:rPr>
          <w:rFonts w:hint="eastAsia" w:ascii="宋体" w:hAnsi="宋体" w:cs="宋体"/>
          <w:sz w:val="24"/>
          <w:szCs w:val="24"/>
        </w:rPr>
      </w:pPr>
      <w:r>
        <w:rPr>
          <w:rFonts w:hint="eastAsia" w:ascii="宋体" w:hAnsi="宋体" w:cs="宋体"/>
          <w:sz w:val="24"/>
          <w:szCs w:val="24"/>
        </w:rPr>
        <w:t xml:space="preserve">1、姓名： </w:t>
      </w:r>
      <w:r>
        <w:rPr>
          <w:rFonts w:hint="eastAsia" w:ascii="宋体" w:hAnsi="宋体" w:cs="宋体"/>
          <w:sz w:val="24"/>
          <w:szCs w:val="24"/>
          <w:u w:val="single"/>
          <w:lang w:eastAsia="zh-CN"/>
        </w:rPr>
        <w:t>商阳阳</w:t>
      </w:r>
      <w:r>
        <w:rPr>
          <w:rFonts w:hint="eastAsia" w:ascii="宋体" w:hAnsi="宋体" w:cs="宋体"/>
          <w:sz w:val="24"/>
          <w:szCs w:val="24"/>
        </w:rPr>
        <w:t xml:space="preserve">   </w:t>
      </w:r>
      <w:r>
        <w:rPr>
          <w:rFonts w:hint="eastAsia" w:ascii="宋体" w:hAnsi="宋体" w:cs="宋体"/>
          <w:sz w:val="24"/>
          <w:szCs w:val="24"/>
          <w:u w:val="single"/>
        </w:rPr>
        <w:t xml:space="preserve"> Z4501002543 </w:t>
      </w:r>
      <w:r>
        <w:rPr>
          <w:rFonts w:hint="eastAsia" w:ascii="宋体" w:hAnsi="宋体" w:cs="宋体"/>
          <w:sz w:val="24"/>
          <w:szCs w:val="24"/>
        </w:rPr>
        <w:t>（职业资格或岗位证号）</w:t>
      </w:r>
    </w:p>
    <w:p>
      <w:pPr>
        <w:spacing w:before="624" w:beforeLines="200" w:after="624" w:afterLines="200" w:line="400" w:lineRule="exact"/>
        <w:ind w:left="178" w:leftChars="85" w:right="-34" w:rightChars="-16" w:firstLine="480" w:firstLineChars="200"/>
        <w:rPr>
          <w:rFonts w:hint="eastAsia" w:ascii="宋体" w:hAnsi="宋体" w:cs="宋体"/>
          <w:sz w:val="24"/>
          <w:szCs w:val="24"/>
        </w:rPr>
      </w:pPr>
      <w:r>
        <w:rPr>
          <w:rFonts w:hint="eastAsia" w:ascii="宋体" w:hAnsi="宋体" w:cs="宋体"/>
          <w:sz w:val="24"/>
          <w:szCs w:val="24"/>
        </w:rPr>
        <w:t>2、姓名：</w:t>
      </w:r>
      <w:r>
        <w:rPr>
          <w:rFonts w:hint="eastAsia" w:ascii="宋体" w:hAnsi="宋体" w:cs="宋体"/>
          <w:sz w:val="24"/>
          <w:szCs w:val="24"/>
          <w:u w:val="single"/>
        </w:rPr>
        <w:t xml:space="preserve"> 张蕾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Z4501002541 </w:t>
      </w:r>
      <w:r>
        <w:rPr>
          <w:rFonts w:hint="eastAsia" w:ascii="宋体" w:hAnsi="宋体" w:cs="宋体"/>
          <w:sz w:val="24"/>
          <w:szCs w:val="24"/>
        </w:rPr>
        <w:t>（职业资格或岗位证号）</w:t>
      </w:r>
    </w:p>
    <w:p>
      <w:pPr>
        <w:spacing w:before="624" w:beforeLines="200" w:after="624" w:afterLines="200" w:line="400" w:lineRule="exact"/>
        <w:ind w:left="178" w:leftChars="85" w:right="-34" w:rightChars="-16" w:firstLine="480" w:firstLineChars="200"/>
        <w:rPr>
          <w:rFonts w:hint="eastAsia" w:ascii="宋体" w:hAnsi="宋体" w:cs="宋体"/>
          <w:sz w:val="24"/>
          <w:szCs w:val="24"/>
        </w:rPr>
      </w:pPr>
      <w:r>
        <w:rPr>
          <w:rFonts w:hint="eastAsia" w:ascii="宋体" w:hAnsi="宋体" w:cs="宋体"/>
          <w:sz w:val="24"/>
          <w:szCs w:val="24"/>
        </w:rPr>
        <w:t>3、姓名：</w:t>
      </w:r>
      <w:r>
        <w:rPr>
          <w:rFonts w:hint="eastAsia" w:ascii="宋体" w:hAnsi="宋体" w:cs="宋体"/>
          <w:sz w:val="24"/>
          <w:szCs w:val="24"/>
          <w:u w:val="single"/>
        </w:rPr>
        <w:t xml:space="preserve"> 王</w:t>
      </w:r>
      <w:r>
        <w:rPr>
          <w:rFonts w:hint="eastAsia" w:ascii="宋体" w:hAnsi="宋体" w:cs="宋体"/>
          <w:sz w:val="24"/>
          <w:szCs w:val="24"/>
          <w:u w:val="single"/>
          <w:lang w:eastAsia="zh-CN"/>
        </w:rPr>
        <w:t>燕</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Z450100254</w:t>
      </w:r>
      <w:r>
        <w:rPr>
          <w:rFonts w:hint="eastAsia" w:ascii="宋体" w:hAnsi="宋体" w:cs="宋体"/>
          <w:sz w:val="24"/>
          <w:szCs w:val="24"/>
          <w:u w:val="single"/>
          <w:lang w:val="en-US" w:eastAsia="zh-CN"/>
        </w:rPr>
        <w:t>2</w:t>
      </w:r>
      <w:r>
        <w:rPr>
          <w:rFonts w:hint="eastAsia" w:ascii="宋体" w:hAnsi="宋体" w:cs="宋体"/>
          <w:sz w:val="24"/>
          <w:szCs w:val="24"/>
          <w:u w:val="single"/>
        </w:rPr>
        <w:t xml:space="preserve"> </w:t>
      </w:r>
      <w:r>
        <w:rPr>
          <w:rFonts w:hint="eastAsia" w:ascii="宋体" w:hAnsi="宋体" w:cs="宋体"/>
          <w:sz w:val="24"/>
          <w:szCs w:val="24"/>
        </w:rPr>
        <w:t>（职业资格或岗位证号）</w:t>
      </w:r>
    </w:p>
    <w:p>
      <w:pPr>
        <w:pStyle w:val="69"/>
        <w:rPr>
          <w:rFonts w:hAnsi="宋体"/>
          <w:color w:val="auto"/>
          <w:sz w:val="32"/>
          <w:szCs w:val="32"/>
        </w:rPr>
      </w:pPr>
    </w:p>
    <w:p>
      <w:pPr>
        <w:autoSpaceDE w:val="0"/>
        <w:autoSpaceDN w:val="0"/>
        <w:adjustRightInd w:val="0"/>
        <w:spacing w:line="400" w:lineRule="exact"/>
        <w:outlineLvl w:val="0"/>
        <w:rPr>
          <w:rFonts w:ascii="宋体" w:hAnsi="宋体"/>
          <w:b/>
          <w:kern w:val="0"/>
          <w:sz w:val="36"/>
        </w:rPr>
      </w:pPr>
    </w:p>
    <w:p>
      <w:pPr>
        <w:pStyle w:val="7"/>
        <w:rPr>
          <w:rFonts w:ascii="宋体" w:hAnsi="宋体"/>
          <w:b/>
          <w:kern w:val="0"/>
          <w:sz w:val="36"/>
        </w:rPr>
      </w:pPr>
    </w:p>
    <w:p>
      <w:pPr>
        <w:rPr>
          <w:rFonts w:ascii="宋体" w:hAnsi="宋体"/>
          <w:b/>
          <w:kern w:val="0"/>
          <w:sz w:val="36"/>
        </w:rPr>
      </w:pPr>
    </w:p>
    <w:p>
      <w:pPr>
        <w:pStyle w:val="7"/>
        <w:rPr>
          <w:rFonts w:ascii="宋体" w:hAnsi="宋体"/>
          <w:b/>
          <w:kern w:val="0"/>
          <w:sz w:val="36"/>
        </w:rPr>
      </w:pPr>
    </w:p>
    <w:p>
      <w:pPr>
        <w:rPr>
          <w:rFonts w:ascii="宋体" w:hAnsi="宋体"/>
          <w:b/>
          <w:kern w:val="0"/>
          <w:sz w:val="36"/>
        </w:rPr>
      </w:pPr>
    </w:p>
    <w:p>
      <w:pPr>
        <w:pStyle w:val="70"/>
        <w:rPr>
          <w:rFonts w:ascii="宋体" w:hAnsi="宋体"/>
          <w:b/>
          <w:kern w:val="0"/>
          <w:sz w:val="36"/>
        </w:rPr>
      </w:pPr>
    </w:p>
    <w:p>
      <w:pPr>
        <w:pStyle w:val="70"/>
        <w:tabs>
          <w:tab w:val="left" w:pos="3351"/>
        </w:tabs>
        <w:rPr>
          <w:rFonts w:hint="eastAsia" w:ascii="宋体" w:hAnsi="宋体" w:eastAsia="宋体"/>
          <w:b/>
          <w:kern w:val="0"/>
          <w:sz w:val="36"/>
          <w:lang w:eastAsia="zh-CN"/>
        </w:rPr>
      </w:pPr>
      <w:r>
        <w:rPr>
          <w:rFonts w:hint="eastAsia" w:ascii="宋体" w:hAnsi="宋体"/>
          <w:b/>
          <w:kern w:val="0"/>
          <w:sz w:val="36"/>
          <w:lang w:eastAsia="zh-CN"/>
        </w:rPr>
        <w:tab/>
      </w:r>
    </w:p>
    <w:p>
      <w:pPr>
        <w:pStyle w:val="70"/>
        <w:rPr>
          <w:rFonts w:ascii="宋体" w:hAnsi="宋体"/>
          <w:b/>
          <w:kern w:val="0"/>
          <w:sz w:val="36"/>
        </w:rPr>
      </w:pPr>
    </w:p>
    <w:p>
      <w:pPr>
        <w:pStyle w:val="70"/>
        <w:rPr>
          <w:rFonts w:ascii="宋体" w:hAnsi="宋体"/>
          <w:b/>
          <w:kern w:val="0"/>
          <w:sz w:val="36"/>
        </w:rPr>
      </w:pPr>
    </w:p>
    <w:p>
      <w:pPr>
        <w:pStyle w:val="69"/>
        <w:rPr>
          <w:rFonts w:ascii="宋体" w:hAnsi="宋体"/>
          <w:b/>
          <w:kern w:val="0"/>
          <w:sz w:val="36"/>
        </w:rPr>
      </w:pPr>
    </w:p>
    <w:p>
      <w:pPr>
        <w:pStyle w:val="69"/>
        <w:rPr>
          <w:rFonts w:ascii="宋体" w:hAnsi="宋体"/>
          <w:b/>
          <w:kern w:val="0"/>
          <w:sz w:val="36"/>
        </w:rPr>
      </w:pPr>
    </w:p>
    <w:p>
      <w:pPr>
        <w:pStyle w:val="69"/>
        <w:rPr>
          <w:rFonts w:ascii="宋体" w:hAnsi="宋体"/>
          <w:b/>
          <w:kern w:val="0"/>
          <w:sz w:val="36"/>
        </w:rPr>
      </w:pPr>
    </w:p>
    <w:p>
      <w:pPr>
        <w:pStyle w:val="7"/>
      </w:pPr>
    </w:p>
    <w:p>
      <w:pPr>
        <w:pStyle w:val="69"/>
        <w:rPr>
          <w:rFonts w:hint="eastAsia"/>
        </w:rPr>
      </w:pPr>
    </w:p>
    <w:p>
      <w:pPr>
        <w:pStyle w:val="69"/>
        <w:rPr>
          <w:rFonts w:hint="eastAsia"/>
        </w:rPr>
      </w:pPr>
    </w:p>
    <w:p>
      <w:pPr>
        <w:pStyle w:val="69"/>
        <w:rPr>
          <w:rFonts w:hAnsi="宋体"/>
          <w:b/>
          <w:color w:val="auto"/>
          <w:sz w:val="36"/>
        </w:rPr>
      </w:pPr>
    </w:p>
    <w:p>
      <w:pPr>
        <w:autoSpaceDE w:val="0"/>
        <w:autoSpaceDN w:val="0"/>
        <w:adjustRightInd w:val="0"/>
        <w:spacing w:line="360" w:lineRule="auto"/>
        <w:jc w:val="center"/>
        <w:outlineLvl w:val="0"/>
        <w:rPr>
          <w:rFonts w:ascii="宋体" w:hAnsi="宋体"/>
          <w:b/>
          <w:kern w:val="0"/>
          <w:sz w:val="36"/>
        </w:rPr>
      </w:pPr>
      <w:r>
        <w:rPr>
          <w:rFonts w:hint="eastAsia" w:ascii="宋体" w:hAnsi="宋体"/>
          <w:b/>
          <w:kern w:val="0"/>
          <w:sz w:val="36"/>
        </w:rPr>
        <w:t>第一章招标公告</w:t>
      </w:r>
      <w:bookmarkEnd w:id="9"/>
      <w:bookmarkEnd w:id="10"/>
    </w:p>
    <w:p>
      <w:pPr>
        <w:spacing w:line="360" w:lineRule="auto"/>
        <w:jc w:val="center"/>
        <w:rPr>
          <w:rFonts w:hint="eastAsia" w:ascii="宋体" w:hAnsi="宋体" w:cs="宋体"/>
          <w:b/>
          <w:kern w:val="0"/>
          <w:sz w:val="24"/>
          <w:szCs w:val="21"/>
          <w:highlight w:val="none"/>
          <w:lang w:val="en-US" w:eastAsia="zh-CN"/>
        </w:rPr>
      </w:pPr>
      <w:r>
        <w:rPr>
          <w:rFonts w:hint="eastAsia" w:ascii="宋体" w:hAnsi="宋体" w:cs="宋体"/>
          <w:b/>
          <w:kern w:val="0"/>
          <w:sz w:val="24"/>
          <w:szCs w:val="21"/>
          <w:highlight w:val="none"/>
          <w:lang w:eastAsia="zh-CN"/>
        </w:rPr>
        <w:t>汝南县2023年校舍维修改造长效机制项目</w:t>
      </w:r>
      <w:r>
        <w:rPr>
          <w:rFonts w:hint="eastAsia" w:ascii="宋体" w:hAnsi="宋体" w:cs="宋体"/>
          <w:b/>
          <w:kern w:val="0"/>
          <w:sz w:val="24"/>
          <w:szCs w:val="21"/>
          <w:highlight w:val="none"/>
          <w:lang w:val="en-US" w:eastAsia="zh-CN"/>
        </w:rPr>
        <w:t>招标公告</w:t>
      </w:r>
    </w:p>
    <w:p>
      <w:pPr>
        <w:spacing w:line="360" w:lineRule="auto"/>
        <w:jc w:val="center"/>
        <w:rPr>
          <w:rFonts w:hint="default" w:ascii="宋体" w:hAnsi="宋体" w:cs="宋体"/>
          <w:b/>
          <w:kern w:val="0"/>
          <w:sz w:val="24"/>
          <w:szCs w:val="21"/>
          <w:highlight w:val="none"/>
          <w:lang w:val="en-US" w:eastAsia="zh-CN"/>
        </w:rPr>
      </w:pPr>
      <w:r>
        <w:rPr>
          <w:rFonts w:hint="eastAsia" w:ascii="宋体" w:hAnsi="宋体" w:cs="宋体"/>
          <w:b/>
          <w:kern w:val="0"/>
          <w:sz w:val="24"/>
          <w:szCs w:val="21"/>
          <w:highlight w:val="none"/>
          <w:lang w:eastAsia="zh-CN"/>
        </w:rPr>
        <w:t>项目编号：RN2024</w:t>
      </w:r>
      <w:r>
        <w:rPr>
          <w:rFonts w:hint="eastAsia" w:ascii="宋体" w:hAnsi="宋体" w:cs="宋体"/>
          <w:b/>
          <w:kern w:val="0"/>
          <w:sz w:val="24"/>
          <w:szCs w:val="21"/>
          <w:highlight w:val="none"/>
          <w:lang w:val="en-US" w:eastAsia="zh-CN"/>
        </w:rPr>
        <w:t>-017</w:t>
      </w:r>
    </w:p>
    <w:bookmarkEnd w:id="11"/>
    <w:bookmarkEnd w:id="12"/>
    <w:bookmarkEnd w:id="13"/>
    <w:bookmarkEnd w:id="14"/>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b/>
          <w:szCs w:val="21"/>
        </w:rPr>
      </w:pPr>
      <w:bookmarkStart w:id="15" w:name="_Toc228589135"/>
      <w:bookmarkStart w:id="16" w:name="_Toc272772546"/>
      <w:bookmarkStart w:id="17" w:name="_Toc227657459"/>
      <w:bookmarkStart w:id="18" w:name="_Toc227492216"/>
      <w:bookmarkStart w:id="19" w:name="_Toc17236"/>
      <w:bookmarkStart w:id="20" w:name="_Toc228881133"/>
      <w:bookmarkStart w:id="21" w:name="_Toc23140"/>
      <w:bookmarkStart w:id="22" w:name="_Toc214433859"/>
      <w:bookmarkStart w:id="23" w:name="_Toc228591629"/>
      <w:bookmarkStart w:id="24" w:name="_Toc1791"/>
      <w:bookmarkStart w:id="25" w:name="_Toc228591481"/>
      <w:bookmarkStart w:id="26" w:name="_Toc228337070"/>
      <w:r>
        <w:rPr>
          <w:rFonts w:hint="eastAsia" w:asciiTheme="minorEastAsia" w:hAnsiTheme="minorEastAsia" w:eastAsiaTheme="minorEastAsia" w:cstheme="minorEastAsia"/>
          <w:b/>
          <w:szCs w:val="21"/>
        </w:rPr>
        <w:t xml:space="preserve">1．招标条件 </w:t>
      </w:r>
    </w:p>
    <w:p>
      <w:pPr>
        <w:keepNext w:val="0"/>
        <w:keepLines w:val="0"/>
        <w:pageBreakBefore w:val="0"/>
        <w:kinsoku/>
        <w:wordWrap w:val="0"/>
        <w:overflowPunct/>
        <w:topLinePunct w:val="0"/>
        <w:bidi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本招标项目</w:t>
      </w:r>
      <w:r>
        <w:rPr>
          <w:rFonts w:hint="eastAsia" w:asciiTheme="minorEastAsia" w:hAnsiTheme="minorEastAsia" w:eastAsiaTheme="minorEastAsia" w:cstheme="minorEastAsia"/>
          <w:szCs w:val="21"/>
          <w:lang w:eastAsia="zh-CN"/>
        </w:rPr>
        <w:t>汝南县2023年校舍维修改造长效机制项目</w:t>
      </w:r>
      <w:r>
        <w:rPr>
          <w:rFonts w:hint="eastAsia" w:asciiTheme="minorEastAsia" w:hAnsiTheme="minorEastAsia" w:eastAsiaTheme="minorEastAsia" w:cstheme="minorEastAsia"/>
          <w:szCs w:val="21"/>
        </w:rPr>
        <w:t>已经上级主管部门批准建设，</w:t>
      </w:r>
      <w:r>
        <w:rPr>
          <w:rFonts w:hint="eastAsia" w:asciiTheme="minorEastAsia" w:hAnsiTheme="minorEastAsia" w:eastAsiaTheme="minorEastAsia" w:cstheme="minorEastAsia"/>
          <w:szCs w:val="21"/>
          <w:lang w:eastAsia="zh-CN"/>
        </w:rPr>
        <w:t>项目代</w:t>
      </w:r>
      <w:r>
        <w:rPr>
          <w:rFonts w:hint="eastAsia" w:asciiTheme="minorEastAsia" w:hAnsiTheme="minorEastAsia" w:eastAsiaTheme="minorEastAsia" w:cstheme="minorEastAsia"/>
          <w:color w:val="000000" w:themeColor="text1"/>
          <w:szCs w:val="21"/>
          <w:lang w:eastAsia="zh-CN"/>
        </w:rPr>
        <w:t>码：</w:t>
      </w:r>
      <w:r>
        <w:rPr>
          <w:rFonts w:hint="eastAsia" w:asciiTheme="minorEastAsia" w:hAnsiTheme="minorEastAsia" w:eastAsiaTheme="minorEastAsia" w:cstheme="minorEastAsia"/>
          <w:color w:val="000000" w:themeColor="text1"/>
          <w:szCs w:val="21"/>
          <w:u w:val="none"/>
          <w:lang w:val="en-US" w:eastAsia="zh-CN"/>
        </w:rPr>
        <w:t>2403-411727-04-01-188046</w:t>
      </w:r>
      <w:r>
        <w:rPr>
          <w:rFonts w:hint="eastAsia" w:asciiTheme="minorEastAsia" w:hAnsiTheme="minorEastAsia" w:eastAsiaTheme="minorEastAsia" w:cstheme="minorEastAsia"/>
          <w:color w:val="000000" w:themeColor="text1"/>
          <w:szCs w:val="21"/>
          <w:lang w:val="en-US" w:eastAsia="zh-CN"/>
        </w:rPr>
        <w:t>，</w:t>
      </w:r>
      <w:r>
        <w:rPr>
          <w:rFonts w:hint="eastAsia" w:asciiTheme="minorEastAsia" w:hAnsiTheme="minorEastAsia" w:eastAsiaTheme="minorEastAsia" w:cstheme="minorEastAsia"/>
          <w:color w:val="000000" w:themeColor="text1"/>
          <w:szCs w:val="21"/>
        </w:rPr>
        <w:t>招标人为</w:t>
      </w:r>
      <w:r>
        <w:rPr>
          <w:rFonts w:hint="eastAsia" w:asciiTheme="minorEastAsia" w:hAnsiTheme="minorEastAsia" w:eastAsiaTheme="minorEastAsia" w:cstheme="minorEastAsia"/>
          <w:szCs w:val="21"/>
          <w:lang w:eastAsia="zh-CN"/>
        </w:rPr>
        <w:t>汝南县教育局</w:t>
      </w:r>
      <w:r>
        <w:rPr>
          <w:rFonts w:hint="eastAsia" w:asciiTheme="minorEastAsia" w:hAnsiTheme="minorEastAsia" w:eastAsiaTheme="minorEastAsia" w:cstheme="minorEastAsia"/>
          <w:szCs w:val="21"/>
        </w:rPr>
        <w:t>，招标代理机构为</w:t>
      </w:r>
      <w:r>
        <w:rPr>
          <w:rFonts w:hint="eastAsia" w:asciiTheme="minorEastAsia" w:hAnsiTheme="minorEastAsia" w:eastAsiaTheme="minorEastAsia" w:cstheme="minorEastAsia"/>
          <w:szCs w:val="21"/>
          <w:lang w:eastAsia="zh-CN"/>
        </w:rPr>
        <w:t>河南申鑫工程管理有限公司</w:t>
      </w:r>
      <w:r>
        <w:rPr>
          <w:rFonts w:hint="eastAsia" w:asciiTheme="minorEastAsia" w:hAnsiTheme="minorEastAsia" w:eastAsiaTheme="minorEastAsia" w:cstheme="minorEastAsia"/>
          <w:szCs w:val="21"/>
        </w:rPr>
        <w:t>，建设资金来自</w:t>
      </w:r>
      <w:r>
        <w:rPr>
          <w:rFonts w:hint="eastAsia" w:asciiTheme="minorEastAsia" w:hAnsiTheme="minorEastAsia" w:eastAsiaTheme="minorEastAsia" w:cstheme="minorEastAsia"/>
          <w:szCs w:val="21"/>
          <w:lang w:val="en-US" w:eastAsia="zh-CN"/>
        </w:rPr>
        <w:t>2023年农村中小学校舍安全保障长效机制资金</w:t>
      </w:r>
      <w:r>
        <w:rPr>
          <w:rFonts w:hint="eastAsia" w:asciiTheme="minorEastAsia" w:hAnsiTheme="minorEastAsia" w:eastAsiaTheme="minorEastAsia" w:cstheme="minorEastAsia"/>
          <w:szCs w:val="21"/>
        </w:rPr>
        <w:t>，项目出资比例为100%，项目已具备招标条件，现对该项目的施工进行公开招标。</w:t>
      </w:r>
    </w:p>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2．项目概况与招标范围</w:t>
      </w:r>
    </w:p>
    <w:p>
      <w:pPr>
        <w:keepNext w:val="0"/>
        <w:keepLines w:val="0"/>
        <w:pageBreakBefore w:val="0"/>
        <w:kinsoku/>
        <w:wordWrap w:val="0"/>
        <w:overflowPunct/>
        <w:topLinePunct w:val="0"/>
        <w:bidi w:val="0"/>
        <w:spacing w:line="360" w:lineRule="auto"/>
        <w:ind w:firstLine="420" w:firstLineChars="200"/>
        <w:rPr>
          <w:rFonts w:hint="eastAsia" w:eastAsia="宋体" w:cs="宋体"/>
          <w:color w:val="auto"/>
          <w:szCs w:val="21"/>
          <w:shd w:val="clear" w:color="auto" w:fill="FFFFFF"/>
          <w:lang w:eastAsia="zh-CN"/>
        </w:rPr>
      </w:pPr>
      <w:r>
        <w:rPr>
          <w:rFonts w:hint="eastAsia" w:cs="宋体"/>
          <w:szCs w:val="21"/>
          <w:shd w:val="clear" w:color="auto" w:fill="FFFFFF"/>
        </w:rPr>
        <w:t>2</w:t>
      </w:r>
      <w:r>
        <w:rPr>
          <w:rFonts w:hint="eastAsia" w:asciiTheme="minorEastAsia" w:hAnsiTheme="minorEastAsia" w:eastAsiaTheme="minorEastAsia" w:cstheme="minorEastAsia"/>
          <w:szCs w:val="21"/>
        </w:rPr>
        <w:t>.</w:t>
      </w:r>
      <w:r>
        <w:rPr>
          <w:rFonts w:hint="eastAsia" w:cs="宋体"/>
          <w:szCs w:val="21"/>
          <w:shd w:val="clear" w:color="auto" w:fill="FFFFFF"/>
        </w:rPr>
        <w:t>1项目</w:t>
      </w:r>
      <w:r>
        <w:rPr>
          <w:rFonts w:hint="eastAsia" w:cs="宋体"/>
          <w:szCs w:val="21"/>
          <w:shd w:val="clear" w:color="auto" w:fill="FFFFFF"/>
          <w:lang w:eastAsia="zh-CN"/>
        </w:rPr>
        <w:t>概括</w:t>
      </w:r>
      <w:r>
        <w:rPr>
          <w:rFonts w:hint="eastAsia" w:cs="宋体"/>
          <w:color w:val="auto"/>
          <w:szCs w:val="21"/>
          <w:shd w:val="clear" w:color="auto" w:fill="FFFFFF"/>
        </w:rPr>
        <w:t>：</w:t>
      </w:r>
      <w:r>
        <w:rPr>
          <w:rFonts w:hint="eastAsia" w:cs="宋体"/>
          <w:color w:val="auto"/>
          <w:szCs w:val="21"/>
          <w:shd w:val="clear" w:color="auto" w:fill="FFFFFF"/>
          <w:lang w:eastAsia="zh-CN"/>
        </w:rPr>
        <w:t>主要内容为韩庄镇中心小学等2</w:t>
      </w:r>
      <w:r>
        <w:rPr>
          <w:rFonts w:hint="eastAsia" w:cs="宋体"/>
          <w:color w:val="auto"/>
          <w:szCs w:val="21"/>
          <w:shd w:val="clear" w:color="auto" w:fill="FFFFFF"/>
          <w:lang w:val="en-US" w:eastAsia="zh-CN"/>
        </w:rPr>
        <w:t>7</w:t>
      </w:r>
      <w:r>
        <w:rPr>
          <w:rFonts w:hint="eastAsia" w:cs="宋体"/>
          <w:color w:val="auto"/>
          <w:szCs w:val="21"/>
          <w:shd w:val="clear" w:color="auto" w:fill="FFFFFF"/>
          <w:lang w:eastAsia="zh-CN"/>
        </w:rPr>
        <w:t>所中小学屋顶维修、地面硬化、围墙和厕所等维修改造和教学楼、餐厅建设工程</w:t>
      </w:r>
      <w:r>
        <w:rPr>
          <w:rFonts w:hint="eastAsia" w:cs="宋体"/>
          <w:color w:val="auto"/>
          <w:szCs w:val="21"/>
          <w:shd w:val="clear" w:color="auto" w:fill="FFFFFF"/>
        </w:rPr>
        <w:t>。项目合同估算价</w:t>
      </w:r>
      <w:r>
        <w:rPr>
          <w:rFonts w:hint="eastAsia" w:cs="宋体"/>
          <w:color w:val="auto"/>
          <w:szCs w:val="21"/>
          <w:shd w:val="clear" w:color="auto" w:fill="FFFFFF"/>
          <w:lang w:eastAsia="zh-CN"/>
        </w:rPr>
        <w:t>为</w:t>
      </w:r>
      <w:r>
        <w:rPr>
          <w:rFonts w:hint="eastAsia" w:cs="宋体"/>
          <w:color w:val="auto"/>
          <w:szCs w:val="21"/>
          <w:shd w:val="clear" w:color="auto" w:fill="FFFFFF"/>
          <w:lang w:val="en-US" w:eastAsia="zh-CN"/>
        </w:rPr>
        <w:t>12842741.00</w:t>
      </w:r>
      <w:r>
        <w:rPr>
          <w:rFonts w:hint="eastAsia" w:cs="宋体"/>
          <w:color w:val="auto"/>
          <w:szCs w:val="21"/>
          <w:shd w:val="clear" w:color="auto" w:fill="FFFFFF"/>
        </w:rPr>
        <w:t>元</w:t>
      </w:r>
      <w:r>
        <w:rPr>
          <w:rFonts w:hint="eastAsia" w:cs="宋体"/>
          <w:color w:val="auto"/>
          <w:szCs w:val="21"/>
          <w:shd w:val="clear" w:color="auto" w:fill="FFFFFF"/>
          <w:lang w:eastAsia="zh-CN"/>
        </w:rPr>
        <w:t>。</w:t>
      </w:r>
    </w:p>
    <w:p>
      <w:pPr>
        <w:keepNext w:val="0"/>
        <w:keepLines w:val="0"/>
        <w:pageBreakBefore w:val="0"/>
        <w:kinsoku/>
        <w:wordWrap w:val="0"/>
        <w:overflowPunct/>
        <w:topLinePunct w:val="0"/>
        <w:bidi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建设地点：</w:t>
      </w:r>
      <w:r>
        <w:rPr>
          <w:rFonts w:hint="eastAsia" w:asciiTheme="minorEastAsia" w:hAnsiTheme="minorEastAsia" w:eastAsiaTheme="minorEastAsia" w:cstheme="minorEastAsia"/>
          <w:color w:val="auto"/>
          <w:szCs w:val="21"/>
          <w:lang w:eastAsia="zh-CN"/>
        </w:rPr>
        <w:t>汝南县境内</w:t>
      </w:r>
      <w:r>
        <w:rPr>
          <w:rFonts w:hint="eastAsia" w:asciiTheme="minorEastAsia" w:hAnsiTheme="minorEastAsia" w:eastAsiaTheme="minorEastAsia" w:cstheme="minorEastAsia"/>
          <w:color w:val="auto"/>
          <w:szCs w:val="21"/>
        </w:rPr>
        <w:t>；</w:t>
      </w:r>
    </w:p>
    <w:p>
      <w:pPr>
        <w:keepNext w:val="0"/>
        <w:keepLines w:val="0"/>
        <w:pageBreakBefore w:val="0"/>
        <w:kinsoku/>
        <w:wordWrap w:val="0"/>
        <w:overflowPunct/>
        <w:topLinePunct w:val="0"/>
        <w:bidi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2.3招标范围：本项目招标文件、图纸、工程量清单包含所有工作内容的施工、竣工验收及保修；</w:t>
      </w:r>
    </w:p>
    <w:p>
      <w:pPr>
        <w:keepNext w:val="0"/>
        <w:keepLines w:val="0"/>
        <w:pageBreakBefore w:val="0"/>
        <w:kinsoku/>
        <w:wordWrap w:val="0"/>
        <w:overflowPunct/>
        <w:topLinePunct w:val="0"/>
        <w:bidi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2.4资金来源：</w:t>
      </w:r>
      <w:r>
        <w:rPr>
          <w:rFonts w:hint="eastAsia" w:asciiTheme="minorEastAsia" w:hAnsiTheme="minorEastAsia" w:eastAsiaTheme="minorEastAsia" w:cstheme="minorEastAsia"/>
          <w:szCs w:val="21"/>
          <w:lang w:val="en-US" w:eastAsia="zh-CN"/>
        </w:rPr>
        <w:t>2023年农村中小学校舍安全保障长效机制资金</w:t>
      </w:r>
      <w:r>
        <w:rPr>
          <w:rFonts w:hint="eastAsia" w:asciiTheme="minorEastAsia" w:hAnsiTheme="minorEastAsia" w:eastAsiaTheme="minorEastAsia" w:cstheme="minorEastAsia"/>
          <w:szCs w:val="21"/>
        </w:rPr>
        <w:t>；</w:t>
      </w:r>
    </w:p>
    <w:p>
      <w:pPr>
        <w:keepNext w:val="0"/>
        <w:keepLines w:val="0"/>
        <w:pageBreakBefore w:val="0"/>
        <w:kinsoku/>
        <w:wordWrap w:val="0"/>
        <w:overflowPunct/>
        <w:topLinePunct w:val="0"/>
        <w:bidi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2.5质量要求：合格；</w:t>
      </w:r>
    </w:p>
    <w:p>
      <w:pPr>
        <w:keepNext w:val="0"/>
        <w:keepLines w:val="0"/>
        <w:pageBreakBefore w:val="0"/>
        <w:kinsoku/>
        <w:wordWrap w:val="0"/>
        <w:overflowPunct/>
        <w:topLinePunct w:val="0"/>
        <w:bidi w:val="0"/>
        <w:spacing w:line="360" w:lineRule="auto"/>
        <w:ind w:firstLine="420" w:firstLineChars="200"/>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2.6计划工期</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lang w:val="en-US" w:eastAsia="zh-CN"/>
        </w:rPr>
        <w:t>180日历天/标段；</w:t>
      </w:r>
    </w:p>
    <w:p>
      <w:pPr>
        <w:pStyle w:val="69"/>
        <w:keepNext w:val="0"/>
        <w:keepLines w:val="0"/>
        <w:pageBreakBefore w:val="0"/>
        <w:kinsoku/>
        <w:wordWrap w:val="0"/>
        <w:overflowPunct/>
        <w:topLinePunct w:val="0"/>
        <w:bidi w:val="0"/>
        <w:spacing w:line="360" w:lineRule="auto"/>
        <w:ind w:firstLine="420" w:firstLineChars="200"/>
        <w:rPr>
          <w:rFonts w:hint="eastAsia" w:asciiTheme="minorEastAsia" w:hAnsiTheme="minorEastAsia" w:eastAsiaTheme="minorEastAsia" w:cstheme="minorEastAsia"/>
          <w:color w:val="auto"/>
          <w:kern w:val="2"/>
          <w:sz w:val="21"/>
          <w:szCs w:val="21"/>
          <w:lang w:eastAsia="zh-CN"/>
        </w:rPr>
      </w:pPr>
      <w:r>
        <w:rPr>
          <w:rFonts w:hint="eastAsia" w:asciiTheme="minorEastAsia" w:hAnsiTheme="minorEastAsia" w:eastAsiaTheme="minorEastAsia" w:cstheme="minorEastAsia"/>
          <w:color w:val="auto"/>
          <w:kern w:val="2"/>
          <w:sz w:val="21"/>
          <w:szCs w:val="21"/>
        </w:rPr>
        <w:t>2.7 标段划分：本工程划分</w:t>
      </w:r>
      <w:r>
        <w:rPr>
          <w:rFonts w:hint="eastAsia" w:asciiTheme="minorEastAsia" w:hAnsiTheme="minorEastAsia" w:eastAsiaTheme="minorEastAsia" w:cstheme="minorEastAsia"/>
          <w:color w:val="auto"/>
          <w:kern w:val="2"/>
          <w:sz w:val="21"/>
          <w:szCs w:val="21"/>
          <w:lang w:val="en-US" w:eastAsia="zh-CN"/>
        </w:rPr>
        <w:t>3</w:t>
      </w:r>
      <w:r>
        <w:rPr>
          <w:rFonts w:hint="eastAsia" w:asciiTheme="minorEastAsia" w:hAnsiTheme="minorEastAsia" w:eastAsiaTheme="minorEastAsia" w:cstheme="minorEastAsia"/>
          <w:color w:val="auto"/>
          <w:kern w:val="2"/>
          <w:sz w:val="21"/>
          <w:szCs w:val="21"/>
        </w:rPr>
        <w:t>个标段</w:t>
      </w:r>
      <w:r>
        <w:rPr>
          <w:rFonts w:hint="eastAsia" w:asciiTheme="minorEastAsia" w:hAnsiTheme="minorEastAsia" w:eastAsiaTheme="minorEastAsia" w:cstheme="minorEastAsia"/>
          <w:color w:val="auto"/>
          <w:kern w:val="2"/>
          <w:sz w:val="21"/>
          <w:szCs w:val="21"/>
          <w:lang w:eastAsia="zh-CN"/>
        </w:rPr>
        <w:t>，具体如下：</w:t>
      </w:r>
    </w:p>
    <w:tbl>
      <w:tblPr>
        <w:tblStyle w:val="46"/>
        <w:tblW w:w="919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64"/>
        <w:gridCol w:w="2987"/>
        <w:gridCol w:w="2041"/>
        <w:gridCol w:w="2041"/>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学校名称</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工程造价（元）</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合计（元）</w:t>
            </w:r>
          </w:p>
        </w:tc>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罗店镇李岗小学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63096.95</w:t>
            </w:r>
          </w:p>
        </w:tc>
        <w:tc>
          <w:tcPr>
            <w:tcW w:w="2041" w:type="dxa"/>
            <w:vMerge w:val="restart"/>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5941756.12</w:t>
            </w:r>
          </w:p>
        </w:tc>
        <w:tc>
          <w:tcPr>
            <w:tcW w:w="1064" w:type="dxa"/>
            <w:vMerge w:val="restart"/>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罗店镇杨楼小学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302920.63</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罗店镇施庄小学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202020.42</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罗店镇袁庄小学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99855.8</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罗店镇双庙小学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306028.45</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罗店镇别桥小学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87977.97</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罗店镇六合小学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77984.73</w:t>
            </w:r>
          </w:p>
        </w:tc>
        <w:tc>
          <w:tcPr>
            <w:tcW w:w="2041" w:type="dxa"/>
            <w:vMerge w:val="continue"/>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罗店镇初中</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4370174.1</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罗店镇尤庄小学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47930.36</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韩庄镇中心小学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383766.71</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和孝镇陈屯小学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192852</w:t>
            </w:r>
          </w:p>
        </w:tc>
        <w:tc>
          <w:tcPr>
            <w:tcW w:w="2041" w:type="dxa"/>
            <w:vMerge w:val="restart"/>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3667395.25</w:t>
            </w:r>
          </w:p>
        </w:tc>
        <w:tc>
          <w:tcPr>
            <w:tcW w:w="1064" w:type="dxa"/>
            <w:vMerge w:val="restart"/>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二</w:t>
            </w:r>
            <w:r>
              <w:rPr>
                <w:rFonts w:hint="eastAsia" w:ascii="宋体" w:hAnsi="宋体" w:eastAsia="宋体" w:cs="宋体"/>
                <w:i w:val="0"/>
                <w:iCs w:val="0"/>
                <w:color w:val="000000"/>
                <w:kern w:val="0"/>
                <w:sz w:val="21"/>
                <w:szCs w:val="21"/>
                <w:highlight w:val="none"/>
                <w:u w:val="none"/>
                <w:lang w:val="en-US" w:eastAsia="zh-CN" w:bidi="ar"/>
              </w:rPr>
              <w:t>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和孝镇黄寨小学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273928.67</w:t>
            </w:r>
          </w:p>
        </w:tc>
        <w:tc>
          <w:tcPr>
            <w:tcW w:w="2041" w:type="dxa"/>
            <w:vMerge w:val="continue"/>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和孝镇中心小学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313833.45</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南余店乡中心小学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66323.03</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常兴镇王庄一小</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160242.28</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常兴镇二中</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200117.74</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三桥镇安庄小学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124483.65</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常兴镇马屯小学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178470.94</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梁祝镇杨庄小学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185886.27</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老君庙中心小学北校区</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1971257.22</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汝南县七小</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775977.16</w:t>
            </w:r>
          </w:p>
        </w:tc>
        <w:tc>
          <w:tcPr>
            <w:tcW w:w="2041" w:type="dxa"/>
            <w:vMerge w:val="restart"/>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3233589.</w:t>
            </w:r>
            <w:r>
              <w:rPr>
                <w:rFonts w:hint="eastAsia" w:ascii="宋体" w:hAnsi="宋体" w:cs="宋体"/>
                <w:b/>
                <w:bCs/>
                <w:i w:val="0"/>
                <w:iCs w:val="0"/>
                <w:color w:val="000000"/>
                <w:kern w:val="0"/>
                <w:sz w:val="21"/>
                <w:szCs w:val="21"/>
                <w:u w:val="none"/>
                <w:lang w:val="en-US" w:eastAsia="zh-CN" w:bidi="ar"/>
              </w:rPr>
              <w:t>63</w:t>
            </w:r>
          </w:p>
        </w:tc>
        <w:tc>
          <w:tcPr>
            <w:tcW w:w="1064" w:type="dxa"/>
            <w:vMerge w:val="restart"/>
            <w:shd w:val="clear" w:color="auto" w:fill="auto"/>
            <w:noWrap/>
            <w:vAlign w:val="center"/>
          </w:tcPr>
          <w:p>
            <w:pPr>
              <w:keepNext w:val="0"/>
              <w:keepLines w:val="0"/>
              <w:pageBreakBefore w:val="0"/>
              <w:kinsoku/>
              <w:wordWrap w:val="0"/>
              <w:overflowPunct/>
              <w:topLinePunct w:val="0"/>
              <w:bidi w:val="0"/>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三标段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汝南县四小</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1467112.6</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金铺镇金铺小学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84008.25</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金铺镇中心小学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u w:val="none"/>
                <w:lang w:val="en-US" w:eastAsia="zh-CN" w:bidi="ar"/>
              </w:rPr>
              <w:t>550248.</w:t>
            </w:r>
            <w:r>
              <w:rPr>
                <w:rFonts w:hint="eastAsia" w:ascii="宋体" w:hAnsi="宋体" w:cs="宋体"/>
                <w:i w:val="0"/>
                <w:iCs w:val="0"/>
                <w:color w:val="000000"/>
                <w:kern w:val="0"/>
                <w:sz w:val="21"/>
                <w:szCs w:val="21"/>
                <w:u w:val="none"/>
                <w:lang w:val="en-US" w:eastAsia="zh-CN" w:bidi="ar"/>
              </w:rPr>
              <w:t>16</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留盆镇王桥小学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98370.65</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板店乡中心小学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146935.29</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64"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2987"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板店乡前竹园小学</w:t>
            </w:r>
          </w:p>
        </w:tc>
        <w:tc>
          <w:tcPr>
            <w:tcW w:w="2041" w:type="dxa"/>
            <w:shd w:val="clear" w:color="auto" w:fill="auto"/>
            <w:noWrap/>
            <w:vAlign w:val="center"/>
          </w:tcPr>
          <w:p>
            <w:pPr>
              <w:keepNext w:val="0"/>
              <w:keepLines w:val="0"/>
              <w:pageBreakBefore w:val="0"/>
              <w:widowControl/>
              <w:suppressLineNumbers w:val="0"/>
              <w:kinsoku/>
              <w:wordWrap w:val="0"/>
              <w:overflowPunct/>
              <w:topLinePunct w:val="0"/>
              <w:bidi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110937.52</w:t>
            </w:r>
          </w:p>
        </w:tc>
        <w:tc>
          <w:tcPr>
            <w:tcW w:w="2041"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c>
          <w:tcPr>
            <w:tcW w:w="1064" w:type="dxa"/>
            <w:vMerge w:val="continue"/>
            <w:shd w:val="clear" w:color="auto" w:fill="auto"/>
            <w:noWrap/>
            <w:vAlign w:val="center"/>
          </w:tcPr>
          <w:p>
            <w:pPr>
              <w:keepNext w:val="0"/>
              <w:keepLines w:val="0"/>
              <w:pageBreakBefore w:val="0"/>
              <w:kinsoku/>
              <w:wordWrap w:val="0"/>
              <w:overflowPunct/>
              <w:topLinePunct w:val="0"/>
              <w:bidi w:val="0"/>
              <w:jc w:val="center"/>
              <w:rPr>
                <w:rFonts w:hint="eastAsia" w:ascii="宋体" w:hAnsi="宋体" w:eastAsia="宋体" w:cs="宋体"/>
                <w:i w:val="0"/>
                <w:iCs w:val="0"/>
                <w:color w:val="000000"/>
                <w:sz w:val="21"/>
                <w:szCs w:val="21"/>
                <w:highlight w:val="none"/>
                <w:u w:val="none"/>
              </w:rPr>
            </w:pPr>
          </w:p>
        </w:tc>
      </w:tr>
    </w:tbl>
    <w:p>
      <w:pPr>
        <w:pStyle w:val="2"/>
        <w:keepNext w:val="0"/>
        <w:keepLines w:val="0"/>
        <w:pageBreakBefore w:val="0"/>
        <w:kinsoku/>
        <w:wordWrap w:val="0"/>
        <w:overflowPunct/>
        <w:topLinePunct w:val="0"/>
        <w:bidi w:val="0"/>
      </w:pPr>
    </w:p>
    <w:p>
      <w:pPr>
        <w:keepNext w:val="0"/>
        <w:keepLines w:val="0"/>
        <w:pageBreakBefore w:val="0"/>
        <w:numPr>
          <w:ilvl w:val="0"/>
          <w:numId w:val="1"/>
        </w:numPr>
        <w:kinsoku/>
        <w:wordWrap w:val="0"/>
        <w:overflowPunct/>
        <w:topLinePunct w:val="0"/>
        <w:bidi w:val="0"/>
        <w:spacing w:line="360" w:lineRule="auto"/>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投标人资格要求</w:t>
      </w:r>
    </w:p>
    <w:p>
      <w:pPr>
        <w:keepNext w:val="0"/>
        <w:keepLines w:val="0"/>
        <w:pageBreakBefore w:val="0"/>
        <w:widowControl/>
        <w:tabs>
          <w:tab w:val="left" w:pos="382"/>
        </w:tabs>
        <w:kinsoku/>
        <w:wordWrap w:val="0"/>
        <w:overflowPunct/>
        <w:topLinePunct w:val="0"/>
        <w:bidi w:val="0"/>
        <w:snapToGrid w:val="0"/>
        <w:spacing w:line="360" w:lineRule="auto"/>
        <w:ind w:firstLine="420" w:firstLineChars="200"/>
        <w:jc w:val="left"/>
        <w:outlineLvl w:val="3"/>
        <w:rPr>
          <w:rFonts w:ascii="宋体" w:hAnsi="宋体" w:cs="宋体"/>
          <w:kern w:val="0"/>
          <w:szCs w:val="21"/>
          <w:shd w:val="clear" w:color="auto" w:fill="FFFFFF"/>
        </w:rPr>
      </w:pPr>
      <w:r>
        <w:rPr>
          <w:rFonts w:hint="eastAsia" w:ascii="宋体" w:hAnsi="宋体" w:cs="宋体"/>
          <w:kern w:val="0"/>
          <w:szCs w:val="21"/>
          <w:shd w:val="clear" w:color="auto" w:fill="FFFFFF"/>
        </w:rPr>
        <w:t>3.1.投标人须具备独立法人资格，</w:t>
      </w:r>
      <w:r>
        <w:rPr>
          <w:rFonts w:hint="eastAsia" w:ascii="宋体" w:hAnsi="宋体" w:cs="宋体"/>
          <w:kern w:val="0"/>
          <w:szCs w:val="21"/>
          <w:shd w:val="clear" w:color="auto" w:fill="FFFFFF"/>
          <w:lang w:eastAsia="zh-CN"/>
        </w:rPr>
        <w:t>具有建设行政主管部门核发的建筑工程总承包三级或以上资质</w:t>
      </w:r>
      <w:r>
        <w:rPr>
          <w:rFonts w:hint="eastAsia" w:ascii="宋体" w:hAnsi="宋体" w:cs="宋体"/>
          <w:kern w:val="0"/>
          <w:szCs w:val="21"/>
          <w:shd w:val="clear" w:color="auto" w:fill="FFFFFF"/>
        </w:rPr>
        <w:t>，</w:t>
      </w:r>
      <w:r>
        <w:rPr>
          <w:rFonts w:hint="eastAsia" w:ascii="宋体" w:hAnsi="宋体" w:cs="宋体"/>
          <w:kern w:val="0"/>
          <w:szCs w:val="21"/>
          <w:highlight w:val="none"/>
          <w:shd w:val="clear" w:color="auto" w:fill="FFFFFF"/>
        </w:rPr>
        <w:t>具有有效的安全生产许可证，并</w:t>
      </w:r>
      <w:r>
        <w:rPr>
          <w:rFonts w:hint="eastAsia" w:ascii="宋体" w:hAnsi="宋体" w:cs="宋体"/>
          <w:kern w:val="0"/>
          <w:szCs w:val="21"/>
          <w:shd w:val="clear" w:color="auto" w:fill="FFFFFF"/>
        </w:rPr>
        <w:t>在人员、设备、资金等方面具有相应的施工能力证明。</w:t>
      </w:r>
    </w:p>
    <w:p>
      <w:pPr>
        <w:keepNext w:val="0"/>
        <w:keepLines w:val="0"/>
        <w:pageBreakBefore w:val="0"/>
        <w:widowControl/>
        <w:tabs>
          <w:tab w:val="left" w:pos="382"/>
        </w:tabs>
        <w:kinsoku/>
        <w:wordWrap w:val="0"/>
        <w:overflowPunct/>
        <w:topLinePunct w:val="0"/>
        <w:bidi w:val="0"/>
        <w:snapToGrid w:val="0"/>
        <w:spacing w:line="360" w:lineRule="auto"/>
        <w:ind w:firstLine="420" w:firstLineChars="200"/>
        <w:jc w:val="left"/>
        <w:outlineLvl w:val="3"/>
        <w:rPr>
          <w:rFonts w:ascii="宋体" w:hAnsi="宋体" w:cs="宋体"/>
          <w:kern w:val="0"/>
          <w:szCs w:val="21"/>
          <w:shd w:val="clear" w:color="auto" w:fill="FFFFFF"/>
        </w:rPr>
      </w:pPr>
      <w:r>
        <w:rPr>
          <w:rFonts w:hint="eastAsia" w:ascii="宋体" w:hAnsi="宋体" w:cs="宋体"/>
          <w:kern w:val="0"/>
          <w:szCs w:val="21"/>
          <w:shd w:val="clear" w:color="auto" w:fill="FFFFFF"/>
        </w:rPr>
        <w:t>3.2.拟派项目经理须具备建筑工程专业贰级（含贰级）以上注册建造师执业资格，并具有有效的安全生产考核合格证书，且未担任其他在建工程的项目经理。</w:t>
      </w:r>
    </w:p>
    <w:p>
      <w:pPr>
        <w:keepNext w:val="0"/>
        <w:keepLines w:val="0"/>
        <w:pageBreakBefore w:val="0"/>
        <w:widowControl/>
        <w:tabs>
          <w:tab w:val="left" w:pos="382"/>
        </w:tabs>
        <w:kinsoku/>
        <w:wordWrap w:val="0"/>
        <w:overflowPunct/>
        <w:topLinePunct w:val="0"/>
        <w:bidi w:val="0"/>
        <w:snapToGrid w:val="0"/>
        <w:spacing w:line="360" w:lineRule="auto"/>
        <w:ind w:firstLine="420" w:firstLineChars="200"/>
        <w:jc w:val="left"/>
        <w:outlineLvl w:val="3"/>
        <w:rPr>
          <w:rFonts w:ascii="宋体" w:hAnsi="宋体" w:cs="宋体"/>
          <w:kern w:val="0"/>
          <w:szCs w:val="21"/>
          <w:shd w:val="clear" w:color="auto" w:fill="FFFFFF"/>
        </w:rPr>
      </w:pPr>
      <w:r>
        <w:rPr>
          <w:rFonts w:hint="eastAsia" w:ascii="宋体" w:hAnsi="宋体" w:cs="宋体"/>
          <w:kern w:val="0"/>
          <w:szCs w:val="21"/>
          <w:shd w:val="clear" w:color="auto" w:fill="FFFFFF"/>
        </w:rPr>
        <w:t>3.3.财务要求：</w:t>
      </w:r>
      <w:r>
        <w:rPr>
          <w:rFonts w:hint="eastAsia" w:ascii="宋体" w:hAnsi="宋体" w:cs="宋体"/>
          <w:szCs w:val="21"/>
        </w:rPr>
        <w:t>企业财务状况良好，提供</w:t>
      </w:r>
      <w:r>
        <w:rPr>
          <w:rFonts w:hint="eastAsia" w:ascii="宋体" w:hAnsi="宋体" w:cs="宋体"/>
          <w:szCs w:val="21"/>
          <w:lang w:eastAsia="zh-CN"/>
        </w:rPr>
        <w:t>2021年度、2022年度、2023年度</w:t>
      </w:r>
      <w:r>
        <w:rPr>
          <w:rFonts w:hint="eastAsia" w:ascii="宋体" w:hAnsi="宋体" w:cs="宋体"/>
          <w:szCs w:val="21"/>
        </w:rPr>
        <w:t>经审计的财务报告或提供开户银行资信证明</w:t>
      </w:r>
      <w:r>
        <w:rPr>
          <w:rFonts w:hint="eastAsia" w:ascii="宋体" w:hAnsi="宋体" w:cs="宋体"/>
          <w:kern w:val="0"/>
          <w:szCs w:val="21"/>
          <w:shd w:val="clear" w:color="auto" w:fill="FFFFFF"/>
        </w:rPr>
        <w:t>。</w:t>
      </w:r>
    </w:p>
    <w:p>
      <w:pPr>
        <w:keepNext w:val="0"/>
        <w:keepLines w:val="0"/>
        <w:pageBreakBefore w:val="0"/>
        <w:kinsoku/>
        <w:wordWrap w:val="0"/>
        <w:overflowPunct/>
        <w:topLinePunct w:val="0"/>
        <w:bidi w:val="0"/>
        <w:spacing w:line="360" w:lineRule="auto"/>
        <w:ind w:firstLine="420"/>
        <w:rPr>
          <w:rFonts w:hint="eastAsia" w:ascii="宋体" w:hAnsi="宋体" w:cs="宋体"/>
          <w:kern w:val="0"/>
          <w:szCs w:val="21"/>
          <w:shd w:val="clear" w:color="auto" w:fill="FFFFFF"/>
        </w:rPr>
      </w:pPr>
      <w:r>
        <w:rPr>
          <w:rFonts w:hint="eastAsia" w:ascii="宋体" w:hAnsi="宋体" w:cs="宋体"/>
          <w:kern w:val="0"/>
          <w:szCs w:val="21"/>
          <w:shd w:val="clear" w:color="auto" w:fill="FFFFFF"/>
        </w:rPr>
        <w:t>3.4.信誉要求：对列入失信被执行人名单的投标人，拒绝参与本次投标活动；查询渠道：在“信用中国”网（www.creditchina.gov.cn）查询“失信被执行人”（此项查询以信用中国网站自动链接至中国执行信息公开网的查询结果为准），査询日期在发布公告之日到投标截止时间前有效，将查询网页打印件加盖公章附入投标文件内。</w:t>
      </w:r>
    </w:p>
    <w:p>
      <w:pPr>
        <w:keepNext w:val="0"/>
        <w:keepLines w:val="0"/>
        <w:pageBreakBefore w:val="0"/>
        <w:kinsoku/>
        <w:wordWrap w:val="0"/>
        <w:overflowPunct/>
        <w:topLinePunct w:val="0"/>
        <w:bidi w:val="0"/>
        <w:spacing w:line="360" w:lineRule="auto"/>
        <w:ind w:firstLine="420"/>
        <w:rPr>
          <w:rFonts w:hint="eastAsia" w:ascii="宋体" w:hAnsi="宋体" w:cs="宋体"/>
          <w:kern w:val="0"/>
          <w:szCs w:val="21"/>
          <w:shd w:val="clear" w:color="auto" w:fill="FFFFFF"/>
        </w:rPr>
      </w:pPr>
      <w:r>
        <w:rPr>
          <w:rFonts w:hint="eastAsia" w:ascii="宋体" w:hAnsi="宋体" w:cs="宋体"/>
          <w:kern w:val="0"/>
          <w:szCs w:val="21"/>
          <w:shd w:val="clear" w:color="auto" w:fill="FFFFFF"/>
        </w:rPr>
        <w:t>3.5.本项目不接受联合体投标。</w:t>
      </w:r>
    </w:p>
    <w:p>
      <w:pPr>
        <w:keepNext w:val="0"/>
        <w:keepLines w:val="0"/>
        <w:pageBreakBefore w:val="0"/>
        <w:kinsoku/>
        <w:wordWrap w:val="0"/>
        <w:overflowPunct/>
        <w:topLinePunct w:val="0"/>
        <w:bidi w:val="0"/>
        <w:spacing w:line="360" w:lineRule="auto"/>
        <w:ind w:firstLine="420" w:firstLineChars="200"/>
        <w:rPr>
          <w:rFonts w:hint="default" w:ascii="宋体" w:hAnsi="宋体" w:cs="宋体"/>
          <w:kern w:val="0"/>
          <w:szCs w:val="21"/>
          <w:shd w:val="clear" w:color="auto" w:fill="FFFFFF"/>
          <w:lang w:val="en-US" w:eastAsia="zh-CN"/>
        </w:rPr>
      </w:pPr>
      <w:r>
        <w:rPr>
          <w:rFonts w:hint="eastAsia" w:ascii="宋体" w:hAnsi="宋体" w:cs="宋体"/>
          <w:kern w:val="0"/>
          <w:szCs w:val="21"/>
          <w:shd w:val="clear" w:color="auto" w:fill="FFFFFF"/>
          <w:lang w:val="en-US" w:eastAsia="zh-CN"/>
        </w:rPr>
        <w:t>3.6投标人可同时投报本项目多个标段，但只能按标段先后顺序中其中一个标段。</w:t>
      </w:r>
    </w:p>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4．企业注册</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投标人首先通过驻马店市公共资源交易中心电子招投标交易平台网站(以下简称“交易平台网站”)（</w:t>
      </w:r>
      <w:r>
        <w:rPr>
          <w:rFonts w:hint="eastAsia" w:asciiTheme="minorEastAsia" w:hAnsiTheme="minorEastAsia" w:eastAsiaTheme="minorEastAsia" w:cstheme="minorEastAsia"/>
          <w:kern w:val="0"/>
          <w:szCs w:val="21"/>
          <w:lang w:eastAsia="zh-CN"/>
        </w:rPr>
        <w:t>https://ggzy.zhumadian.gov.cn/TPFront/</w:t>
      </w:r>
      <w:r>
        <w:rPr>
          <w:rFonts w:hint="eastAsia" w:asciiTheme="minorEastAsia" w:hAnsiTheme="minorEastAsia" w:eastAsiaTheme="minorEastAsia" w:cstheme="minorEastAsia"/>
          <w:kern w:val="0"/>
          <w:szCs w:val="21"/>
        </w:rPr>
        <w:t>）进行交易主体注册，然后按网站通知公告及</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下载中心有关要求填报企业信息和上传有关扫描件原件，提交并完善企业投标所需资料信息,由企业自行核验通过，最后根据通知公告及下载中心有关办理CA锁的要求准备好CA办理所需资料，到驻马店市公共资源交易中心一楼业务受理大厅CA窗口办理CA密钥，完成注册。</w:t>
      </w:r>
    </w:p>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b/>
          <w:kern w:val="0"/>
          <w:szCs w:val="21"/>
          <w:highlight w:val="none"/>
        </w:rPr>
      </w:pPr>
      <w:r>
        <w:rPr>
          <w:rFonts w:hint="eastAsia" w:asciiTheme="minorEastAsia" w:hAnsiTheme="minorEastAsia" w:eastAsiaTheme="minorEastAsia" w:cstheme="minorEastAsia"/>
          <w:b/>
          <w:kern w:val="0"/>
          <w:szCs w:val="21"/>
        </w:rPr>
        <w:t>5．招标文件的获取</w:t>
      </w:r>
    </w:p>
    <w:p>
      <w:pPr>
        <w:pStyle w:val="41"/>
        <w:keepNext w:val="0"/>
        <w:keepLines w:val="0"/>
        <w:pageBreakBefore w:val="0"/>
        <w:kinsoku/>
        <w:wordWrap w:val="0"/>
        <w:overflowPunct/>
        <w:topLinePunct w:val="0"/>
        <w:bidi w:val="0"/>
        <w:spacing w:before="0" w:beforeAutospacing="0" w:after="0" w:afterAutospacing="0" w:line="360" w:lineRule="auto"/>
        <w:ind w:left="210" w:leftChars="100" w:firstLine="210" w:firstLineChars="1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5.1招标文件获取时间：凡有意参加投标者，请于202</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kern w:val="0"/>
          <w:sz w:val="21"/>
          <w:szCs w:val="21"/>
          <w:lang w:val="en-US" w:eastAsia="zh-CN" w:bidi="ar-SA"/>
        </w:rPr>
        <w:t>5月21日8：00时至2024年5月27日18:00时，登录“交易平台网站”（https://ggzy.zhumadian.gov.cn/TPFront/</w:t>
      </w:r>
      <w:r>
        <w:rPr>
          <w:rFonts w:hint="eastAsia" w:asciiTheme="minorEastAsia" w:hAnsiTheme="minorEastAsia" w:eastAsiaTheme="minorEastAsia" w:cstheme="minorEastAsia"/>
          <w:sz w:val="21"/>
          <w:szCs w:val="21"/>
        </w:rPr>
        <w:t>），凭领取的企业身份认证锁（CA密钥）登录系统进行网上投标报名，并按网上提示下载招标文件及资料，招标文件及资料免费提供（图纸自行下载）。投标人未按规定在网上下载招标文件的，其投标将被拒绝。（详见交易平台网站下载中心栏目里投标人操作手册）。</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eastAsia="en-US"/>
        </w:rPr>
        <w:t>5.</w:t>
      </w:r>
      <w:r>
        <w:rPr>
          <w:rFonts w:hint="eastAsia" w:asciiTheme="minorEastAsia" w:hAnsiTheme="minorEastAsia" w:eastAsiaTheme="minorEastAsia" w:cstheme="minorEastAsia"/>
          <w:kern w:val="0"/>
          <w:szCs w:val="21"/>
        </w:rPr>
        <w:t>2</w:t>
      </w:r>
      <w:r>
        <w:rPr>
          <w:rFonts w:hint="eastAsia" w:asciiTheme="minorEastAsia" w:hAnsiTheme="minorEastAsia" w:eastAsiaTheme="minorEastAsia" w:cstheme="minorEastAsia"/>
          <w:kern w:val="0"/>
          <w:szCs w:val="21"/>
          <w:lang w:eastAsia="en-US"/>
        </w:rPr>
        <w:t>获取招标文件后，投标人请到“交易平台网站”（</w:t>
      </w:r>
      <w:r>
        <w:rPr>
          <w:rFonts w:hint="eastAsia" w:asciiTheme="minorEastAsia" w:hAnsiTheme="minorEastAsia" w:eastAsiaTheme="minorEastAsia" w:cstheme="minorEastAsia"/>
          <w:kern w:val="0"/>
          <w:szCs w:val="21"/>
          <w:lang w:eastAsia="zh-CN"/>
        </w:rPr>
        <w:t>https://ggzy.zhumadian.gov.cn/TPFront/</w:t>
      </w:r>
      <w:r>
        <w:rPr>
          <w:rFonts w:hint="eastAsia" w:asciiTheme="minorEastAsia" w:hAnsiTheme="minorEastAsia" w:eastAsiaTheme="minorEastAsia" w:cstheme="minorEastAsia"/>
          <w:kern w:val="0"/>
          <w:szCs w:val="21"/>
          <w:lang w:eastAsia="en-US"/>
        </w:rPr>
        <w:t>）下载中心栏目下载最新版本的投标文</w:t>
      </w:r>
      <w:r>
        <w:rPr>
          <w:rFonts w:hint="eastAsia" w:asciiTheme="minorEastAsia" w:hAnsiTheme="minorEastAsia" w:eastAsiaTheme="minorEastAsia" w:cstheme="minorEastAsia"/>
          <w:kern w:val="0"/>
          <w:szCs w:val="21"/>
        </w:rPr>
        <w:t>件制作工具安装包，并使用安装后的最新版本投标文件制作工具以及CA密钥制作电子投标文件。</w:t>
      </w:r>
    </w:p>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 xml:space="preserve">6、资格审查方式 </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本招标项目对投标申请人的资格审查采用资格后审方式，主要资格审查标准和内容详见招标文件，只有资格审查合格的投标申请人才有可能被授予合同。</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项目采用不见面开标，投标人无需递交纸质投标文件及原件，投标企业应在项目开标前，将营业执照、业绩、财务等投标所需材料扫描件，上传至驻马店市公共资源电子交易平台诚信库中，同时在“资格审查材料（不见面开标）”菜单下按标段挑选该投标所用资格审查材料，以供评标过程中评委查阅。评标时以电子投标文件及“资格审查材料（不见面开标）”菜单中选取的信息为准。</w:t>
      </w:r>
    </w:p>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7、投标文件的上传/递交 </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7.1本项目采用不见面开标、投标人需要递交电子投标文件，无需递交纸质文件。</w:t>
      </w:r>
    </w:p>
    <w:p>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20" w:firstLineChars="200"/>
        <w:jc w:val="left"/>
        <w:textAlignment w:val="auto"/>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7.2投标文件的上传/递交截止时间（投标截止时间，下同）和地点见招标文件。加密电子投标文件（*.ZMDTF格式）应在投标截止时间前通过驻马店市公共资源交易电子交易平台（https://ggzy.zhumadian.gov.cn/TPFront/）上传完成。</w:t>
      </w:r>
    </w:p>
    <w:p>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20" w:firstLineChars="200"/>
        <w:jc w:val="left"/>
        <w:textAlignment w:val="auto"/>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20" w:firstLineChars="200"/>
        <w:jc w:val="left"/>
        <w:textAlignment w:val="auto"/>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7.4远程开标前，投标人务必在驻马店市公共资源交易电子交易平台（http://</w:t>
      </w:r>
      <w:r>
        <w:rPr>
          <w:rFonts w:hint="eastAsia" w:asciiTheme="minorEastAsia" w:hAnsiTheme="minorEastAsia" w:eastAsiaTheme="minorEastAsia" w:cstheme="minorEastAsia"/>
          <w:kern w:val="0"/>
          <w:szCs w:val="21"/>
          <w:lang w:eastAsia="zh-CN"/>
        </w:rPr>
        <w:t>ggzy.zhumadian.gov.cn</w:t>
      </w:r>
      <w:r>
        <w:rPr>
          <w:rFonts w:hint="eastAsia" w:asciiTheme="minorEastAsia" w:hAnsiTheme="minorEastAsia" w:eastAsiaTheme="minorEastAsia" w:cstheme="minorEastAsia"/>
          <w:kern w:val="0"/>
          <w:szCs w:val="21"/>
        </w:rPr>
        <w:t>:8820/TPBidder）投标文件上传模块中使用“模拟解密”功能，验证本机远程自助解密环境。</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7.5逾期上传/送达的或者未上传/未送达指定地点的投标文件，招标人不予受理。</w:t>
      </w:r>
    </w:p>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8.发布公告的媒介</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本招标公告在《河南省电子招标投标公共服务平台》、《驻马店市公共资源交易</w:t>
      </w:r>
      <w:r>
        <w:rPr>
          <w:rFonts w:hint="eastAsia" w:asciiTheme="minorEastAsia" w:hAnsiTheme="minorEastAsia" w:eastAsiaTheme="minorEastAsia" w:cstheme="minorEastAsia"/>
          <w:kern w:val="0"/>
          <w:szCs w:val="21"/>
          <w:lang w:eastAsia="zh-CN"/>
        </w:rPr>
        <w:t>网</w:t>
      </w:r>
      <w:r>
        <w:rPr>
          <w:rFonts w:hint="eastAsia" w:asciiTheme="minorEastAsia" w:hAnsiTheme="minorEastAsia" w:eastAsiaTheme="minorEastAsia" w:cstheme="minorEastAsia"/>
          <w:kern w:val="0"/>
          <w:szCs w:val="21"/>
        </w:rPr>
        <w:t>》、《河南省政府采购网》上同时发布。</w:t>
      </w:r>
    </w:p>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9.联系方式</w:t>
      </w:r>
    </w:p>
    <w:p>
      <w:pPr>
        <w:keepNext w:val="0"/>
        <w:keepLines w:val="0"/>
        <w:pageBreakBefore w:val="0"/>
        <w:widowControl/>
        <w:tabs>
          <w:tab w:val="left" w:pos="9540"/>
        </w:tabs>
        <w:kinsoku/>
        <w:wordWrap w:val="0"/>
        <w:overflowPunct/>
        <w:topLinePunct w:val="0"/>
        <w:bidi w:val="0"/>
        <w:snapToGrid w:val="0"/>
        <w:spacing w:line="360" w:lineRule="auto"/>
        <w:ind w:right="-197" w:rightChars="-94" w:firstLine="420" w:firstLineChars="200"/>
        <w:jc w:val="left"/>
        <w:rPr>
          <w:rFonts w:hint="eastAsia" w:asciiTheme="minorEastAsia" w:hAnsiTheme="minorEastAsia" w:eastAsiaTheme="minorEastAsia" w:cstheme="minorEastAsia"/>
          <w:kern w:val="0"/>
          <w:szCs w:val="21"/>
          <w:highlight w:val="none"/>
          <w:lang w:eastAsia="zh-CN"/>
        </w:rPr>
      </w:pPr>
      <w:r>
        <w:rPr>
          <w:rFonts w:hint="eastAsia" w:asciiTheme="minorEastAsia" w:hAnsiTheme="minorEastAsia" w:eastAsiaTheme="minorEastAsia" w:cstheme="minorEastAsia"/>
          <w:kern w:val="0"/>
          <w:szCs w:val="21"/>
          <w:highlight w:val="none"/>
        </w:rPr>
        <w:t>招 标 人：</w:t>
      </w:r>
      <w:r>
        <w:rPr>
          <w:rFonts w:hint="eastAsia" w:asciiTheme="minorEastAsia" w:hAnsiTheme="minorEastAsia" w:eastAsiaTheme="minorEastAsia" w:cstheme="minorEastAsia"/>
          <w:color w:val="auto"/>
          <w:szCs w:val="21"/>
          <w:highlight w:val="none"/>
          <w:lang w:eastAsia="zh-CN"/>
        </w:rPr>
        <w:t>汝南县教育局</w:t>
      </w:r>
    </w:p>
    <w:p>
      <w:pPr>
        <w:keepNext w:val="0"/>
        <w:keepLines w:val="0"/>
        <w:pageBreakBefore w:val="0"/>
        <w:widowControl/>
        <w:tabs>
          <w:tab w:val="left" w:pos="9540"/>
        </w:tabs>
        <w:kinsoku/>
        <w:wordWrap w:val="0"/>
        <w:overflowPunct/>
        <w:topLinePunct w:val="0"/>
        <w:bidi w:val="0"/>
        <w:snapToGrid w:val="0"/>
        <w:spacing w:line="360" w:lineRule="auto"/>
        <w:ind w:right="-197" w:rightChars="-94" w:firstLine="420" w:firstLineChars="200"/>
        <w:jc w:val="lef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kern w:val="0"/>
          <w:szCs w:val="21"/>
          <w:highlight w:val="none"/>
        </w:rPr>
        <w:t>地</w:t>
      </w:r>
      <w:r>
        <w:rPr>
          <w:rFonts w:hint="eastAsia" w:asciiTheme="minorEastAsia" w:hAnsiTheme="minorEastAsia" w:eastAsiaTheme="minorEastAsia" w:cstheme="minorEastAsia"/>
          <w:kern w:val="0"/>
          <w:szCs w:val="21"/>
          <w:highlight w:val="none"/>
          <w:lang w:val="en-US" w:eastAsia="zh-CN"/>
        </w:rPr>
        <w:t xml:space="preserve">    </w:t>
      </w:r>
      <w:r>
        <w:rPr>
          <w:rFonts w:hint="eastAsia" w:asciiTheme="minorEastAsia" w:hAnsiTheme="minorEastAsia" w:eastAsiaTheme="minorEastAsia" w:cstheme="minorEastAsia"/>
          <w:kern w:val="0"/>
          <w:szCs w:val="21"/>
          <w:highlight w:val="none"/>
        </w:rPr>
        <w:t>址：</w:t>
      </w:r>
      <w:r>
        <w:rPr>
          <w:rFonts w:hint="eastAsia" w:asciiTheme="minorEastAsia" w:hAnsiTheme="minorEastAsia" w:eastAsiaTheme="minorEastAsia" w:cstheme="minorEastAsia"/>
          <w:color w:val="auto"/>
          <w:szCs w:val="21"/>
          <w:highlight w:val="none"/>
        </w:rPr>
        <w:t>汝南县</w:t>
      </w:r>
      <w:r>
        <w:rPr>
          <w:rFonts w:hint="eastAsia" w:asciiTheme="minorEastAsia" w:hAnsiTheme="minorEastAsia" w:eastAsiaTheme="minorEastAsia" w:cstheme="minorEastAsia"/>
          <w:color w:val="auto"/>
          <w:szCs w:val="21"/>
          <w:highlight w:val="none"/>
          <w:lang w:val="en-US" w:eastAsia="zh-CN"/>
        </w:rPr>
        <w:t>行政新区4号楼</w:t>
      </w:r>
    </w:p>
    <w:p>
      <w:pPr>
        <w:keepNext w:val="0"/>
        <w:keepLines w:val="0"/>
        <w:pageBreakBefore w:val="0"/>
        <w:widowControl/>
        <w:tabs>
          <w:tab w:val="left" w:pos="9540"/>
        </w:tabs>
        <w:kinsoku/>
        <w:wordWrap w:val="0"/>
        <w:overflowPunct/>
        <w:topLinePunct w:val="0"/>
        <w:bidi w:val="0"/>
        <w:snapToGrid w:val="0"/>
        <w:spacing w:line="360" w:lineRule="auto"/>
        <w:ind w:right="-197" w:rightChars="-94" w:firstLine="420" w:firstLineChars="200"/>
        <w:jc w:val="left"/>
        <w:rPr>
          <w:rFonts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联 系 人：</w:t>
      </w:r>
      <w:r>
        <w:rPr>
          <w:rFonts w:hint="eastAsia" w:asciiTheme="minorEastAsia" w:hAnsiTheme="minorEastAsia" w:eastAsiaTheme="minorEastAsia" w:cstheme="minorEastAsia"/>
          <w:kern w:val="0"/>
          <w:szCs w:val="21"/>
          <w:highlight w:val="none"/>
          <w:lang w:val="en-US" w:eastAsia="zh-CN"/>
        </w:rPr>
        <w:t>陈</w:t>
      </w:r>
      <w:r>
        <w:rPr>
          <w:rFonts w:hint="eastAsia" w:asciiTheme="minorEastAsia" w:hAnsiTheme="minorEastAsia" w:eastAsiaTheme="minorEastAsia" w:cstheme="minorEastAsia"/>
          <w:kern w:val="0"/>
          <w:szCs w:val="21"/>
          <w:highlight w:val="none"/>
        </w:rPr>
        <w:t>先生</w:t>
      </w:r>
    </w:p>
    <w:p>
      <w:pPr>
        <w:keepNext w:val="0"/>
        <w:keepLines w:val="0"/>
        <w:pageBreakBefore w:val="0"/>
        <w:widowControl/>
        <w:tabs>
          <w:tab w:val="left" w:pos="9540"/>
        </w:tabs>
        <w:kinsoku/>
        <w:wordWrap w:val="0"/>
        <w:overflowPunct/>
        <w:topLinePunct w:val="0"/>
        <w:bidi w:val="0"/>
        <w:snapToGrid w:val="0"/>
        <w:spacing w:line="360" w:lineRule="auto"/>
        <w:ind w:right="-197" w:rightChars="-94"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highlight w:val="none"/>
        </w:rPr>
        <w:t xml:space="preserve">电 </w:t>
      </w:r>
      <w:r>
        <w:rPr>
          <w:rFonts w:hint="eastAsia" w:asciiTheme="minorEastAsia" w:hAnsiTheme="minorEastAsia" w:eastAsiaTheme="minorEastAsia" w:cstheme="minorEastAsia"/>
          <w:kern w:val="0"/>
          <w:szCs w:val="21"/>
          <w:highlight w:val="none"/>
          <w:lang w:val="en-US" w:eastAsia="zh-CN"/>
        </w:rPr>
        <w:t xml:space="preserve">   </w:t>
      </w:r>
      <w:r>
        <w:rPr>
          <w:rFonts w:hint="eastAsia" w:asciiTheme="minorEastAsia" w:hAnsiTheme="minorEastAsia" w:eastAsiaTheme="minorEastAsia" w:cstheme="minorEastAsia"/>
          <w:kern w:val="0"/>
          <w:szCs w:val="21"/>
          <w:highlight w:val="none"/>
        </w:rPr>
        <w:t>话：</w:t>
      </w:r>
      <w:r>
        <w:rPr>
          <w:rFonts w:hint="eastAsia" w:ascii="Times New Roman" w:hAnsi="Times New Roman" w:eastAsia="宋体" w:cs="Times New Roman"/>
          <w:kern w:val="2"/>
          <w:sz w:val="21"/>
          <w:lang w:val="en-US" w:eastAsia="zh-CN" w:bidi="ar-SA"/>
        </w:rPr>
        <w:t xml:space="preserve">0396-8027029 </w:t>
      </w:r>
    </w:p>
    <w:p>
      <w:pPr>
        <w:keepNext w:val="0"/>
        <w:keepLines w:val="0"/>
        <w:pageBreakBefore w:val="0"/>
        <w:widowControl/>
        <w:tabs>
          <w:tab w:val="left" w:pos="9540"/>
        </w:tabs>
        <w:kinsoku/>
        <w:wordWrap w:val="0"/>
        <w:overflowPunct/>
        <w:topLinePunct w:val="0"/>
        <w:bidi w:val="0"/>
        <w:spacing w:line="360" w:lineRule="auto"/>
        <w:ind w:right="-197" w:rightChars="-94" w:firstLine="420" w:firstLineChars="200"/>
        <w:jc w:val="left"/>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eastAsia="zh-CN"/>
        </w:rPr>
        <w:t>招标</w:t>
      </w:r>
      <w:r>
        <w:rPr>
          <w:rFonts w:hint="eastAsia" w:asciiTheme="minorEastAsia" w:hAnsiTheme="minorEastAsia" w:eastAsiaTheme="minorEastAsia" w:cstheme="minorEastAsia"/>
          <w:kern w:val="0"/>
          <w:szCs w:val="21"/>
        </w:rPr>
        <w:t>代理机构：</w:t>
      </w:r>
      <w:r>
        <w:rPr>
          <w:rFonts w:hint="eastAsia" w:asciiTheme="minorEastAsia" w:hAnsiTheme="minorEastAsia" w:eastAsiaTheme="minorEastAsia" w:cstheme="minorEastAsia"/>
          <w:kern w:val="0"/>
          <w:szCs w:val="21"/>
          <w:lang w:eastAsia="zh-CN"/>
        </w:rPr>
        <w:t>河南申鑫工程管理有限公司</w:t>
      </w:r>
    </w:p>
    <w:p>
      <w:pPr>
        <w:keepNext w:val="0"/>
        <w:keepLines w:val="0"/>
        <w:pageBreakBefore w:val="0"/>
        <w:widowControl/>
        <w:tabs>
          <w:tab w:val="left" w:pos="9540"/>
        </w:tabs>
        <w:kinsoku/>
        <w:wordWrap w:val="0"/>
        <w:overflowPunct/>
        <w:topLinePunct w:val="0"/>
        <w:bidi w:val="0"/>
        <w:spacing w:line="360" w:lineRule="auto"/>
        <w:ind w:right="-197" w:rightChars="-94"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地  址：河南省焦作市北环路EGO人力双创大厦209室</w:t>
      </w:r>
    </w:p>
    <w:p>
      <w:pPr>
        <w:keepNext w:val="0"/>
        <w:keepLines w:val="0"/>
        <w:pageBreakBefore w:val="0"/>
        <w:widowControl/>
        <w:tabs>
          <w:tab w:val="left" w:pos="9540"/>
        </w:tabs>
        <w:kinsoku/>
        <w:wordWrap w:val="0"/>
        <w:overflowPunct/>
        <w:topLinePunct w:val="0"/>
        <w:bidi w:val="0"/>
        <w:spacing w:line="360" w:lineRule="auto"/>
        <w:ind w:right="-197" w:rightChars="-94" w:firstLine="420" w:firstLineChars="200"/>
        <w:jc w:val="lef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联系人：</w:t>
      </w:r>
      <w:r>
        <w:rPr>
          <w:rFonts w:hint="eastAsia" w:asciiTheme="minorEastAsia" w:hAnsiTheme="minorEastAsia" w:eastAsiaTheme="minorEastAsia" w:cstheme="minorEastAsia"/>
          <w:kern w:val="0"/>
          <w:szCs w:val="21"/>
          <w:lang w:eastAsia="zh-CN"/>
        </w:rPr>
        <w:t>王女士</w:t>
      </w:r>
      <w:r>
        <w:rPr>
          <w:rFonts w:hint="eastAsia" w:asciiTheme="minorEastAsia" w:hAnsiTheme="minorEastAsia" w:eastAsiaTheme="minorEastAsia" w:cstheme="minorEastAsia"/>
          <w:kern w:val="0"/>
          <w:szCs w:val="21"/>
        </w:rPr>
        <w:t xml:space="preserve">  电  话：18768871023   </w:t>
      </w:r>
    </w:p>
    <w:p>
      <w:pPr>
        <w:keepNext w:val="0"/>
        <w:keepLines w:val="0"/>
        <w:pageBreakBefore w:val="0"/>
        <w:widowControl/>
        <w:tabs>
          <w:tab w:val="left" w:pos="9540"/>
        </w:tabs>
        <w:kinsoku/>
        <w:wordWrap w:val="0"/>
        <w:overflowPunct/>
        <w:topLinePunct w:val="0"/>
        <w:bidi w:val="0"/>
        <w:spacing w:line="360" w:lineRule="auto"/>
        <w:ind w:right="-197" w:rightChars="-94"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监督单位：汝南县住房和城乡建设局            </w:t>
      </w:r>
    </w:p>
    <w:p>
      <w:pPr>
        <w:keepNext w:val="0"/>
        <w:keepLines w:val="0"/>
        <w:pageBreakBefore w:val="0"/>
        <w:widowControl/>
        <w:tabs>
          <w:tab w:val="left" w:pos="9540"/>
        </w:tabs>
        <w:kinsoku/>
        <w:wordWrap w:val="0"/>
        <w:overflowPunct/>
        <w:topLinePunct w:val="0"/>
        <w:bidi w:val="0"/>
        <w:spacing w:line="360" w:lineRule="auto"/>
        <w:ind w:right="-197" w:rightChars="-94"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办公地址：汝南县行政新区                  </w:t>
      </w:r>
    </w:p>
    <w:p>
      <w:pPr>
        <w:keepNext w:val="0"/>
        <w:keepLines w:val="0"/>
        <w:pageBreakBefore w:val="0"/>
        <w:widowControl/>
        <w:tabs>
          <w:tab w:val="left" w:pos="9540"/>
        </w:tabs>
        <w:kinsoku/>
        <w:wordWrap w:val="0"/>
        <w:overflowPunct/>
        <w:topLinePunct w:val="0"/>
        <w:bidi w:val="0"/>
        <w:spacing w:line="360" w:lineRule="auto"/>
        <w:ind w:right="-197" w:rightChars="-94" w:firstLine="420" w:firstLineChars="200"/>
        <w:jc w:val="left"/>
      </w:pPr>
      <w:r>
        <w:rPr>
          <w:rFonts w:hint="eastAsia" w:asciiTheme="minorEastAsia" w:hAnsiTheme="minorEastAsia" w:eastAsiaTheme="minorEastAsia" w:cstheme="minorEastAsia"/>
          <w:kern w:val="0"/>
          <w:szCs w:val="21"/>
        </w:rPr>
        <w:t>电  话：0396—8021501</w:t>
      </w:r>
    </w:p>
    <w:p>
      <w:pPr>
        <w:keepNext w:val="0"/>
        <w:keepLines w:val="0"/>
        <w:pageBreakBefore w:val="0"/>
        <w:kinsoku/>
        <w:wordWrap w:val="0"/>
        <w:overflowPunct/>
        <w:topLinePunct w:val="0"/>
        <w:bidi w:val="0"/>
        <w:spacing w:line="360" w:lineRule="auto"/>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10.特别提醒</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因驻马店不见面交易系统具备视频直播、语音通话等，对网络带宽及硬件要求相对较高的功能，故投标人在参与使用不见面交易系统开标的项目时，需确认是否满足如下要求：</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1、网络要求：</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网络带宽4M以上。</w:t>
      </w:r>
    </w:p>
    <w:p>
      <w:pPr>
        <w:keepNext w:val="0"/>
        <w:keepLines w:val="0"/>
        <w:pageBreakBefore w:val="0"/>
        <w:widowControl/>
        <w:numPr>
          <w:ilvl w:val="0"/>
          <w:numId w:val="2"/>
        </w:numPr>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硬件要求</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电脑要求内存4G及以上，且需配套网络摄像头、麦克风、音箱等，并确保其均能正常运转。操作系统要求Windows7及以上，IE浏览器IE11及以上。</w:t>
      </w:r>
    </w:p>
    <w:p>
      <w:pPr>
        <w:keepNext w:val="0"/>
        <w:keepLines w:val="0"/>
        <w:pageBreakBefore w:val="0"/>
        <w:widowControl/>
        <w:kinsoku/>
        <w:wordWrap w:val="0"/>
        <w:overflowPunct/>
        <w:topLinePunct w:val="0"/>
        <w:bidi w:val="0"/>
        <w:snapToGrid w:val="0"/>
        <w:spacing w:line="360" w:lineRule="auto"/>
        <w:ind w:firstLine="420" w:firstLineChars="200"/>
        <w:jc w:val="left"/>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3、人员要求</w:t>
      </w:r>
    </w:p>
    <w:p>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20" w:firstLineChars="200"/>
        <w:jc w:val="left"/>
        <w:textAlignment w:val="auto"/>
        <w:outlineLvl w:val="3"/>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对于参与驻马店不见面交易系统开标的投标企业代表，要求能熟练掌握电脑基础操作。不见面开标操作手册下载地址：（</w:t>
      </w:r>
      <w:r>
        <w:fldChar w:fldCharType="begin"/>
      </w:r>
      <w:r>
        <w:instrText xml:space="preserve"> HYPERLINK "http://www.zmdggzy.gov.cn/TPFront/InfoDetail/?InfoID=6e085538-6be5-4d25-80b2-12f5fc669ba1&amp;CategoryNum=026005" </w:instrText>
      </w:r>
      <w:r>
        <w:fldChar w:fldCharType="separate"/>
      </w:r>
      <w:r>
        <w:rPr>
          <w:rFonts w:hint="eastAsia" w:asciiTheme="minorEastAsia" w:hAnsiTheme="minorEastAsia" w:eastAsiaTheme="minorEastAsia" w:cstheme="minorEastAsia"/>
          <w:kern w:val="0"/>
          <w:szCs w:val="21"/>
          <w:lang w:eastAsia="zh-CN"/>
        </w:rPr>
        <w:t>https://ggzy.zhumadian.gov.cn/TPFront/</w:t>
      </w:r>
      <w:r>
        <w:rPr>
          <w:rFonts w:hint="eastAsia" w:asciiTheme="minorEastAsia" w:hAnsiTheme="minorEastAsia" w:eastAsiaTheme="minorEastAsia" w:cstheme="minorEastAsia"/>
          <w:kern w:val="0"/>
          <w:szCs w:val="21"/>
        </w:rPr>
        <w:t>InfoDetail/?InfoID=6e085538-6be5-4d25-80b2-12f5fc669ba1&amp;CategoryNum=026005</w:t>
      </w:r>
      <w:r>
        <w:rPr>
          <w:rFonts w:hint="eastAsia" w:asciiTheme="minorEastAsia" w:hAnsiTheme="minorEastAsia" w:eastAsiaTheme="minorEastAsia" w:cstheme="minorEastAsia"/>
          <w:kern w:val="0"/>
          <w:szCs w:val="21"/>
        </w:rPr>
        <w:fldChar w:fldCharType="end"/>
      </w:r>
      <w:r>
        <w:rPr>
          <w:rFonts w:hint="eastAsia" w:asciiTheme="minorEastAsia" w:hAnsiTheme="minorEastAsia" w:eastAsiaTheme="minorEastAsia" w:cstheme="minorEastAsia"/>
          <w:kern w:val="0"/>
          <w:szCs w:val="21"/>
        </w:rPr>
        <w:t>）</w:t>
      </w:r>
    </w:p>
    <w:p>
      <w:r>
        <w:rPr>
          <w:rFonts w:hint="eastAsia"/>
        </w:rPr>
        <w:br w:type="page"/>
      </w:r>
    </w:p>
    <w:p>
      <w:pPr>
        <w:autoSpaceDE w:val="0"/>
        <w:autoSpaceDN w:val="0"/>
        <w:adjustRightInd w:val="0"/>
        <w:spacing w:line="400" w:lineRule="exact"/>
        <w:jc w:val="center"/>
        <w:outlineLvl w:val="0"/>
        <w:rPr>
          <w:rFonts w:ascii="宋体" w:hAnsi="宋体"/>
          <w:b/>
          <w:kern w:val="0"/>
          <w:sz w:val="36"/>
          <w:szCs w:val="22"/>
        </w:rPr>
      </w:pPr>
      <w:r>
        <w:rPr>
          <w:rFonts w:hint="eastAsia" w:ascii="宋体" w:hAnsi="宋体"/>
          <w:b/>
          <w:kern w:val="0"/>
          <w:sz w:val="36"/>
          <w:szCs w:val="22"/>
        </w:rPr>
        <w:t>第二章投标人须知</w:t>
      </w:r>
    </w:p>
    <w:p>
      <w:pPr>
        <w:autoSpaceDE w:val="0"/>
        <w:autoSpaceDN w:val="0"/>
        <w:adjustRightInd w:val="0"/>
        <w:spacing w:line="400" w:lineRule="exact"/>
        <w:ind w:right="-34" w:rightChars="-16"/>
        <w:jc w:val="center"/>
        <w:outlineLvl w:val="0"/>
        <w:rPr>
          <w:rFonts w:ascii="宋体" w:hAnsi="宋体"/>
          <w:b/>
          <w:kern w:val="0"/>
          <w:sz w:val="28"/>
        </w:rPr>
      </w:pPr>
      <w:r>
        <w:rPr>
          <w:rFonts w:hint="eastAsia" w:ascii="宋体" w:hAnsi="宋体"/>
          <w:b/>
          <w:kern w:val="0"/>
          <w:sz w:val="28"/>
        </w:rPr>
        <w:t>投标人须知前附表</w:t>
      </w:r>
      <w:bookmarkEnd w:id="15"/>
      <w:bookmarkEnd w:id="16"/>
      <w:bookmarkEnd w:id="17"/>
      <w:bookmarkEnd w:id="18"/>
      <w:bookmarkEnd w:id="19"/>
      <w:bookmarkEnd w:id="20"/>
      <w:bookmarkEnd w:id="21"/>
      <w:bookmarkEnd w:id="22"/>
      <w:bookmarkEnd w:id="23"/>
      <w:bookmarkEnd w:id="24"/>
      <w:bookmarkEnd w:id="25"/>
      <w:bookmarkEnd w:id="26"/>
    </w:p>
    <w:tbl>
      <w:tblPr>
        <w:tblStyle w:val="46"/>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41"/>
        <w:gridCol w:w="2137"/>
        <w:gridCol w:w="6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820" w:type="dxa"/>
            <w:vAlign w:val="center"/>
          </w:tcPr>
          <w:p>
            <w:pPr>
              <w:autoSpaceDE w:val="0"/>
              <w:autoSpaceDN w:val="0"/>
              <w:adjustRightInd w:val="0"/>
              <w:spacing w:line="320" w:lineRule="exact"/>
              <w:ind w:right="-34" w:rightChars="-16"/>
              <w:jc w:val="center"/>
              <w:rPr>
                <w:rFonts w:ascii="宋体" w:hAnsi="宋体"/>
                <w:b/>
                <w:kern w:val="0"/>
                <w:sz w:val="28"/>
              </w:rPr>
            </w:pPr>
            <w:r>
              <w:rPr>
                <w:rFonts w:hint="eastAsia" w:ascii="宋体" w:hAnsi="宋体"/>
                <w:b/>
                <w:kern w:val="0"/>
              </w:rPr>
              <w:t>条款号</w:t>
            </w:r>
          </w:p>
        </w:tc>
        <w:tc>
          <w:tcPr>
            <w:tcW w:w="2278" w:type="dxa"/>
            <w:gridSpan w:val="2"/>
            <w:vAlign w:val="center"/>
          </w:tcPr>
          <w:p>
            <w:pPr>
              <w:autoSpaceDE w:val="0"/>
              <w:autoSpaceDN w:val="0"/>
              <w:adjustRightInd w:val="0"/>
              <w:spacing w:line="320" w:lineRule="exact"/>
              <w:ind w:right="-34" w:rightChars="-16"/>
              <w:jc w:val="center"/>
              <w:rPr>
                <w:rFonts w:ascii="宋体" w:hAnsi="宋体"/>
                <w:b/>
                <w:kern w:val="0"/>
                <w:sz w:val="28"/>
              </w:rPr>
            </w:pPr>
            <w:r>
              <w:rPr>
                <w:rFonts w:hint="eastAsia" w:ascii="宋体" w:hAnsi="宋体"/>
                <w:b/>
                <w:kern w:val="0"/>
              </w:rPr>
              <w:t>条款名称</w:t>
            </w:r>
          </w:p>
        </w:tc>
        <w:tc>
          <w:tcPr>
            <w:tcW w:w="6651" w:type="dxa"/>
            <w:vAlign w:val="center"/>
          </w:tcPr>
          <w:p>
            <w:pPr>
              <w:autoSpaceDE w:val="0"/>
              <w:autoSpaceDN w:val="0"/>
              <w:adjustRightInd w:val="0"/>
              <w:spacing w:line="320" w:lineRule="exact"/>
              <w:ind w:right="-34" w:rightChars="-16"/>
              <w:jc w:val="center"/>
              <w:rPr>
                <w:rFonts w:ascii="宋体" w:hAnsi="宋体"/>
                <w:b/>
                <w:kern w:val="0"/>
                <w:sz w:val="28"/>
              </w:rPr>
            </w:pPr>
            <w:r>
              <w:rPr>
                <w:rFonts w:hint="eastAsia" w:ascii="宋体" w:hAnsi="宋体"/>
                <w:b/>
                <w:kern w:val="0"/>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1.1.2</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招标人</w:t>
            </w:r>
          </w:p>
        </w:tc>
        <w:tc>
          <w:tcPr>
            <w:tcW w:w="6651" w:type="dxa"/>
            <w:vAlign w:val="center"/>
          </w:tcPr>
          <w:p>
            <w:pPr>
              <w:autoSpaceDE w:val="0"/>
              <w:autoSpaceDN w:val="0"/>
              <w:adjustRightInd w:val="0"/>
              <w:spacing w:line="320" w:lineRule="exact"/>
              <w:ind w:right="-34" w:rightChars="-16"/>
              <w:rPr>
                <w:rFonts w:hint="eastAsia" w:ascii="宋体" w:hAnsi="宋体" w:eastAsia="宋体"/>
                <w:szCs w:val="21"/>
                <w:lang w:eastAsia="zh-CN"/>
              </w:rPr>
            </w:pPr>
            <w:r>
              <w:rPr>
                <w:rFonts w:hint="eastAsia" w:ascii="宋体" w:hAnsi="宋体"/>
                <w:szCs w:val="21"/>
              </w:rPr>
              <w:t>招 标 人：</w:t>
            </w:r>
            <w:r>
              <w:rPr>
                <w:rFonts w:hint="eastAsia" w:ascii="宋体" w:hAnsi="宋体"/>
                <w:szCs w:val="21"/>
                <w:lang w:eastAsia="zh-CN"/>
              </w:rPr>
              <w:t>汝南县教育局</w:t>
            </w:r>
          </w:p>
          <w:p>
            <w:pPr>
              <w:autoSpaceDE w:val="0"/>
              <w:autoSpaceDN w:val="0"/>
              <w:adjustRightInd w:val="0"/>
              <w:spacing w:line="320" w:lineRule="exact"/>
              <w:ind w:right="-34" w:rightChars="-16"/>
              <w:rPr>
                <w:rFonts w:hint="default" w:ascii="宋体" w:hAnsi="宋体"/>
                <w:szCs w:val="21"/>
                <w:lang w:val="en-US" w:eastAsia="zh-CN"/>
              </w:rPr>
            </w:pPr>
            <w:r>
              <w:rPr>
                <w:rFonts w:hint="eastAsia" w:ascii="宋体" w:hAnsi="宋体"/>
                <w:szCs w:val="21"/>
              </w:rPr>
              <w:t>地</w:t>
            </w:r>
            <w:r>
              <w:rPr>
                <w:rFonts w:hint="eastAsia" w:ascii="宋体" w:hAnsi="宋体"/>
                <w:szCs w:val="21"/>
                <w:lang w:val="en-US" w:eastAsia="zh-CN"/>
              </w:rPr>
              <w:t xml:space="preserve">    </w:t>
            </w:r>
            <w:r>
              <w:rPr>
                <w:rFonts w:hint="eastAsia" w:ascii="宋体" w:hAnsi="宋体"/>
                <w:szCs w:val="21"/>
              </w:rPr>
              <w:t>址：汝南县</w:t>
            </w:r>
            <w:r>
              <w:rPr>
                <w:rFonts w:hint="eastAsia" w:ascii="宋体" w:hAnsi="宋体"/>
                <w:szCs w:val="21"/>
                <w:lang w:val="en-US" w:eastAsia="zh-CN"/>
              </w:rPr>
              <w:t>行政新区4号楼</w:t>
            </w:r>
          </w:p>
          <w:p>
            <w:pPr>
              <w:autoSpaceDE w:val="0"/>
              <w:autoSpaceDN w:val="0"/>
              <w:adjustRightInd w:val="0"/>
              <w:spacing w:line="320" w:lineRule="exact"/>
              <w:ind w:right="-34" w:rightChars="-16"/>
              <w:rPr>
                <w:rFonts w:ascii="宋体" w:hAnsi="宋体"/>
                <w:szCs w:val="21"/>
              </w:rPr>
            </w:pPr>
            <w:r>
              <w:rPr>
                <w:rFonts w:hint="eastAsia" w:ascii="宋体" w:hAnsi="宋体"/>
                <w:szCs w:val="21"/>
              </w:rPr>
              <w:t>联 系 人：</w:t>
            </w:r>
            <w:r>
              <w:rPr>
                <w:rFonts w:hint="eastAsia" w:ascii="宋体" w:hAnsi="宋体"/>
                <w:szCs w:val="21"/>
                <w:lang w:val="en-US" w:eastAsia="zh-CN"/>
              </w:rPr>
              <w:t>陈</w:t>
            </w:r>
            <w:r>
              <w:rPr>
                <w:rFonts w:hint="eastAsia" w:ascii="宋体" w:hAnsi="宋体"/>
                <w:szCs w:val="21"/>
              </w:rPr>
              <w:t>先生</w:t>
            </w:r>
          </w:p>
          <w:p>
            <w:pPr>
              <w:autoSpaceDE w:val="0"/>
              <w:autoSpaceDN w:val="0"/>
              <w:adjustRightInd w:val="0"/>
              <w:spacing w:line="320" w:lineRule="exact"/>
              <w:ind w:right="-34" w:rightChars="-16"/>
              <w:rPr>
                <w:rFonts w:ascii="宋体" w:hAnsi="宋体"/>
                <w:szCs w:val="21"/>
              </w:rPr>
            </w:pPr>
            <w:r>
              <w:rPr>
                <w:rFonts w:hint="eastAsia" w:ascii="宋体" w:hAnsi="宋体"/>
                <w:szCs w:val="21"/>
              </w:rPr>
              <w:t xml:space="preserve">电 </w:t>
            </w:r>
            <w:r>
              <w:rPr>
                <w:rFonts w:hint="eastAsia" w:ascii="宋体" w:hAnsi="宋体"/>
                <w:szCs w:val="21"/>
                <w:lang w:val="en-US" w:eastAsia="zh-CN"/>
              </w:rPr>
              <w:t xml:space="preserve">   </w:t>
            </w:r>
            <w:r>
              <w:rPr>
                <w:rFonts w:hint="eastAsia" w:ascii="宋体" w:hAnsi="宋体"/>
                <w:szCs w:val="21"/>
              </w:rPr>
              <w:t>话：</w:t>
            </w:r>
            <w:r>
              <w:rPr>
                <w:rFonts w:hint="eastAsia" w:ascii="宋体" w:hAnsi="宋体"/>
                <w:szCs w:val="21"/>
                <w:lang w:val="en-US" w:eastAsia="zh-CN"/>
              </w:rPr>
              <w:t xml:space="preserve">0396-8027029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1.1.3</w:t>
            </w:r>
          </w:p>
        </w:tc>
        <w:tc>
          <w:tcPr>
            <w:tcW w:w="2278" w:type="dxa"/>
            <w:gridSpan w:val="2"/>
            <w:vAlign w:val="center"/>
          </w:tcPr>
          <w:p>
            <w:pPr>
              <w:autoSpaceDE w:val="0"/>
              <w:autoSpaceDN w:val="0"/>
              <w:adjustRightInd w:val="0"/>
              <w:spacing w:line="360" w:lineRule="auto"/>
              <w:ind w:right="-34" w:rightChars="-16"/>
              <w:jc w:val="center"/>
              <w:rPr>
                <w:rFonts w:hint="eastAsia" w:ascii="宋体" w:hAnsi="宋体" w:cs="仿宋_GB2312"/>
                <w:kern w:val="0"/>
                <w:szCs w:val="21"/>
                <w:lang w:eastAsia="zh-CN"/>
              </w:rPr>
            </w:pPr>
            <w:r>
              <w:rPr>
                <w:rFonts w:hint="eastAsia" w:ascii="宋体" w:hAnsi="宋体" w:cs="仿宋_GB2312"/>
                <w:kern w:val="0"/>
                <w:szCs w:val="21"/>
                <w:lang w:eastAsia="zh-CN"/>
              </w:rPr>
              <w:t>招标代理机构</w:t>
            </w:r>
          </w:p>
        </w:tc>
        <w:tc>
          <w:tcPr>
            <w:tcW w:w="6651" w:type="dxa"/>
            <w:vAlign w:val="center"/>
          </w:tcPr>
          <w:p>
            <w:pPr>
              <w:autoSpaceDE w:val="0"/>
              <w:autoSpaceDN w:val="0"/>
              <w:adjustRightInd w:val="0"/>
              <w:spacing w:line="240" w:lineRule="auto"/>
              <w:ind w:right="-34" w:rightChars="-16"/>
              <w:rPr>
                <w:rFonts w:hint="eastAsia" w:ascii="宋体" w:hAnsi="宋体" w:cs="仿宋_GB2312"/>
                <w:kern w:val="0"/>
                <w:szCs w:val="21"/>
                <w:lang w:eastAsia="zh-CN"/>
              </w:rPr>
            </w:pPr>
            <w:r>
              <w:rPr>
                <w:rFonts w:hint="eastAsia" w:ascii="宋体" w:hAnsi="宋体" w:cs="仿宋_GB2312"/>
                <w:kern w:val="0"/>
                <w:szCs w:val="21"/>
                <w:lang w:eastAsia="zh-CN"/>
              </w:rPr>
              <w:t>招标代理机构：河南申鑫工程管理有限公司</w:t>
            </w:r>
          </w:p>
          <w:p>
            <w:pPr>
              <w:autoSpaceDE w:val="0"/>
              <w:autoSpaceDN w:val="0"/>
              <w:adjustRightInd w:val="0"/>
              <w:spacing w:line="240" w:lineRule="auto"/>
              <w:ind w:right="-34" w:rightChars="-16"/>
              <w:rPr>
                <w:rFonts w:hint="eastAsia" w:ascii="宋体" w:hAnsi="宋体" w:cs="仿宋_GB2312"/>
                <w:kern w:val="0"/>
                <w:szCs w:val="21"/>
                <w:lang w:eastAsia="zh-CN"/>
              </w:rPr>
            </w:pPr>
            <w:r>
              <w:rPr>
                <w:rFonts w:hint="eastAsia" w:ascii="宋体" w:hAnsi="宋体" w:cs="仿宋_GB2312"/>
                <w:kern w:val="0"/>
                <w:szCs w:val="21"/>
                <w:lang w:eastAsia="zh-CN"/>
              </w:rPr>
              <w:t>地  址：河南省焦作市北环路EGO人力双创大厦209室</w:t>
            </w:r>
          </w:p>
          <w:p>
            <w:pPr>
              <w:autoSpaceDE w:val="0"/>
              <w:autoSpaceDN w:val="0"/>
              <w:adjustRightInd w:val="0"/>
              <w:spacing w:line="240" w:lineRule="auto"/>
              <w:ind w:right="-34" w:rightChars="-16"/>
              <w:rPr>
                <w:rFonts w:hint="eastAsia" w:ascii="宋体" w:hAnsi="宋体" w:cs="仿宋_GB2312"/>
                <w:kern w:val="0"/>
                <w:szCs w:val="21"/>
                <w:lang w:eastAsia="zh-CN"/>
              </w:rPr>
            </w:pPr>
            <w:r>
              <w:rPr>
                <w:rFonts w:hint="eastAsia" w:ascii="宋体" w:hAnsi="宋体" w:cs="仿宋_GB2312"/>
                <w:kern w:val="0"/>
                <w:szCs w:val="21"/>
                <w:lang w:eastAsia="zh-CN"/>
              </w:rPr>
              <w:t xml:space="preserve">联系人：王女士  </w:t>
            </w:r>
          </w:p>
          <w:p>
            <w:pPr>
              <w:autoSpaceDE w:val="0"/>
              <w:autoSpaceDN w:val="0"/>
              <w:adjustRightInd w:val="0"/>
              <w:spacing w:line="240" w:lineRule="auto"/>
              <w:ind w:right="-34" w:rightChars="-16"/>
              <w:rPr>
                <w:rFonts w:hint="eastAsia" w:ascii="宋体" w:hAnsi="宋体" w:cs="仿宋_GB2312"/>
                <w:kern w:val="0"/>
                <w:szCs w:val="21"/>
                <w:lang w:eastAsia="zh-CN"/>
              </w:rPr>
            </w:pPr>
            <w:r>
              <w:rPr>
                <w:rFonts w:hint="eastAsia" w:ascii="宋体" w:hAnsi="宋体" w:cs="仿宋_GB2312"/>
                <w:kern w:val="0"/>
                <w:szCs w:val="21"/>
                <w:lang w:eastAsia="zh-CN"/>
              </w:rPr>
              <w:t xml:space="preserve">电  话：18768871023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1.1.4</w:t>
            </w:r>
          </w:p>
        </w:tc>
        <w:tc>
          <w:tcPr>
            <w:tcW w:w="2278" w:type="dxa"/>
            <w:gridSpan w:val="2"/>
            <w:vAlign w:val="center"/>
          </w:tcPr>
          <w:p>
            <w:pPr>
              <w:autoSpaceDE w:val="0"/>
              <w:autoSpaceDN w:val="0"/>
              <w:adjustRightInd w:val="0"/>
              <w:spacing w:line="320" w:lineRule="exact"/>
              <w:ind w:right="-34" w:rightChars="-16"/>
              <w:jc w:val="center"/>
              <w:rPr>
                <w:rFonts w:ascii="宋体" w:hAnsi="宋体"/>
                <w:color w:val="auto"/>
                <w:kern w:val="0"/>
                <w:szCs w:val="21"/>
              </w:rPr>
            </w:pPr>
            <w:r>
              <w:rPr>
                <w:rFonts w:hint="eastAsia" w:ascii="宋体" w:hAnsi="宋体"/>
                <w:color w:val="auto"/>
                <w:kern w:val="0"/>
                <w:szCs w:val="21"/>
              </w:rPr>
              <w:t>项目名称</w:t>
            </w:r>
          </w:p>
        </w:tc>
        <w:tc>
          <w:tcPr>
            <w:tcW w:w="6651" w:type="dxa"/>
            <w:vAlign w:val="center"/>
          </w:tcPr>
          <w:p>
            <w:pPr>
              <w:spacing w:line="320" w:lineRule="exact"/>
              <w:ind w:right="-34" w:rightChars="-16"/>
              <w:rPr>
                <w:rFonts w:hint="default" w:ascii="宋体" w:hAnsi="宋体" w:cs="宋体" w:eastAsiaTheme="minorEastAsia"/>
                <w:color w:val="auto"/>
                <w:kern w:val="0"/>
                <w:szCs w:val="21"/>
                <w:lang w:val="en-US" w:eastAsia="zh-CN"/>
              </w:rPr>
            </w:pPr>
            <w:r>
              <w:rPr>
                <w:rFonts w:hint="eastAsia" w:asciiTheme="minorEastAsia" w:hAnsiTheme="minorEastAsia" w:eastAsiaTheme="minorEastAsia" w:cstheme="minorEastAsia"/>
                <w:color w:val="auto"/>
                <w:szCs w:val="21"/>
                <w:lang w:eastAsia="zh-CN"/>
              </w:rPr>
              <w:t>汝南县2023年校舍维修改造长效机制项目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1.1.5</w:t>
            </w:r>
          </w:p>
        </w:tc>
        <w:tc>
          <w:tcPr>
            <w:tcW w:w="2278" w:type="dxa"/>
            <w:gridSpan w:val="2"/>
            <w:vAlign w:val="center"/>
          </w:tcPr>
          <w:p>
            <w:pPr>
              <w:autoSpaceDE w:val="0"/>
              <w:autoSpaceDN w:val="0"/>
              <w:adjustRightInd w:val="0"/>
              <w:spacing w:line="320" w:lineRule="exact"/>
              <w:ind w:right="-34" w:rightChars="-16"/>
              <w:jc w:val="center"/>
              <w:rPr>
                <w:rFonts w:ascii="宋体" w:hAnsi="宋体"/>
                <w:color w:val="auto"/>
                <w:kern w:val="0"/>
                <w:szCs w:val="21"/>
              </w:rPr>
            </w:pPr>
            <w:r>
              <w:rPr>
                <w:rFonts w:hint="eastAsia" w:ascii="宋体" w:hAnsi="宋体"/>
                <w:color w:val="auto"/>
                <w:kern w:val="0"/>
                <w:szCs w:val="21"/>
              </w:rPr>
              <w:t>建设地点</w:t>
            </w:r>
          </w:p>
        </w:tc>
        <w:tc>
          <w:tcPr>
            <w:tcW w:w="6651" w:type="dxa"/>
            <w:vAlign w:val="center"/>
          </w:tcPr>
          <w:p>
            <w:pPr>
              <w:spacing w:line="320" w:lineRule="exact"/>
              <w:ind w:right="-34" w:rightChars="-16"/>
              <w:rPr>
                <w:rFonts w:hint="eastAsia" w:ascii="宋体" w:hAnsi="宋体" w:eastAsia="宋体"/>
                <w:color w:val="auto"/>
                <w:szCs w:val="21"/>
                <w:lang w:eastAsia="zh-CN"/>
              </w:rPr>
            </w:pPr>
            <w:r>
              <w:rPr>
                <w:rFonts w:hint="eastAsia" w:asciiTheme="minorEastAsia" w:hAnsiTheme="minorEastAsia" w:eastAsiaTheme="minorEastAsia" w:cstheme="minorEastAsia"/>
                <w:color w:val="auto"/>
                <w:szCs w:val="21"/>
                <w:lang w:eastAsia="zh-CN"/>
              </w:rPr>
              <w:t>汝南县境内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1.2.1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资金来源</w:t>
            </w:r>
          </w:p>
        </w:tc>
        <w:tc>
          <w:tcPr>
            <w:tcW w:w="6651" w:type="dxa"/>
            <w:vAlign w:val="center"/>
          </w:tcPr>
          <w:p>
            <w:pPr>
              <w:autoSpaceDE w:val="0"/>
              <w:autoSpaceDN w:val="0"/>
              <w:adjustRightInd w:val="0"/>
              <w:spacing w:line="320" w:lineRule="exact"/>
              <w:ind w:right="-34" w:rightChars="-16"/>
              <w:rPr>
                <w:rFonts w:ascii="宋体" w:hAnsi="宋体" w:cs="Tahoma"/>
                <w:kern w:val="0"/>
                <w:szCs w:val="21"/>
              </w:rPr>
            </w:pPr>
            <w:r>
              <w:rPr>
                <w:rFonts w:hint="eastAsia" w:asciiTheme="minorEastAsia" w:hAnsiTheme="minorEastAsia" w:eastAsiaTheme="minorEastAsia" w:cstheme="minorEastAsia"/>
                <w:szCs w:val="21"/>
                <w:lang w:val="en-US" w:eastAsia="zh-CN"/>
              </w:rPr>
              <w:t>2023年农村中小学校舍安全保障长效机制资金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1.2.2</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出资比例</w:t>
            </w:r>
          </w:p>
        </w:tc>
        <w:tc>
          <w:tcPr>
            <w:tcW w:w="6651" w:type="dxa"/>
            <w:vAlign w:val="center"/>
          </w:tcPr>
          <w:p>
            <w:pPr>
              <w:autoSpaceDE w:val="0"/>
              <w:autoSpaceDN w:val="0"/>
              <w:adjustRightInd w:val="0"/>
              <w:spacing w:line="320" w:lineRule="exact"/>
              <w:ind w:right="-34" w:rightChars="-16"/>
              <w:rPr>
                <w:rFonts w:ascii="宋体" w:hAnsi="宋体" w:cs="宋体"/>
                <w:szCs w:val="21"/>
              </w:rPr>
            </w:pPr>
            <w:r>
              <w:rPr>
                <w:rFonts w:hint="eastAsia" w:ascii="宋体" w:hAnsi="宋体" w:cs="宋体"/>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1.2.3</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资金落实情况</w:t>
            </w:r>
          </w:p>
        </w:tc>
        <w:tc>
          <w:tcPr>
            <w:tcW w:w="6651" w:type="dxa"/>
            <w:vAlign w:val="center"/>
          </w:tcPr>
          <w:p>
            <w:pPr>
              <w:autoSpaceDE w:val="0"/>
              <w:autoSpaceDN w:val="0"/>
              <w:adjustRightInd w:val="0"/>
              <w:spacing w:line="320" w:lineRule="exact"/>
              <w:ind w:right="-34" w:rightChars="-16"/>
              <w:rPr>
                <w:rFonts w:ascii="宋体" w:hAnsi="宋体" w:cs="仿宋_GB2312"/>
                <w:kern w:val="0"/>
                <w:szCs w:val="21"/>
              </w:rPr>
            </w:pPr>
            <w:r>
              <w:rPr>
                <w:rFonts w:hint="eastAsia" w:ascii="宋体" w:hAnsi="宋体" w:cs="仿宋_GB2312"/>
                <w:kern w:val="0"/>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1.3.1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招标范围</w:t>
            </w:r>
          </w:p>
        </w:tc>
        <w:tc>
          <w:tcPr>
            <w:tcW w:w="6651" w:type="dxa"/>
            <w:tcBorders>
              <w:bottom w:val="single" w:color="auto" w:sz="4" w:space="0"/>
            </w:tcBorders>
            <w:vAlign w:val="center"/>
          </w:tcPr>
          <w:p>
            <w:pPr>
              <w:spacing w:line="440" w:lineRule="exact"/>
              <w:rPr>
                <w:rFonts w:hint="eastAsia" w:hAnsi="宋体" w:eastAsia="宋体" w:cs="仿宋_GB2312"/>
                <w:szCs w:val="21"/>
                <w:lang w:eastAsia="zh-CN"/>
              </w:rPr>
            </w:pPr>
            <w:r>
              <w:rPr>
                <w:rFonts w:hint="eastAsia" w:hAnsi="宋体" w:cs="仿宋_GB2312"/>
                <w:szCs w:val="21"/>
              </w:rPr>
              <w:t>本项目招标文件、图纸、工程量清单包含所有工作内容的施工、竣工验收及保修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1.3.2</w:t>
            </w:r>
          </w:p>
        </w:tc>
        <w:tc>
          <w:tcPr>
            <w:tcW w:w="2278" w:type="dxa"/>
            <w:gridSpan w:val="2"/>
            <w:tcBorders>
              <w:right w:val="single" w:color="auto" w:sz="4" w:space="0"/>
            </w:tcBorders>
            <w:vAlign w:val="center"/>
          </w:tcPr>
          <w:p>
            <w:pPr>
              <w:autoSpaceDE w:val="0"/>
              <w:autoSpaceDN w:val="0"/>
              <w:adjustRightInd w:val="0"/>
              <w:spacing w:line="320" w:lineRule="exact"/>
              <w:ind w:right="-34" w:rightChars="-16"/>
              <w:jc w:val="center"/>
              <w:rPr>
                <w:rFonts w:ascii="宋体" w:hAnsi="宋体"/>
                <w:kern w:val="0"/>
                <w:szCs w:val="21"/>
                <w:highlight w:val="none"/>
              </w:rPr>
            </w:pPr>
            <w:r>
              <w:rPr>
                <w:rFonts w:hint="eastAsia" w:ascii="宋体" w:hAnsi="宋体"/>
                <w:kern w:val="0"/>
                <w:szCs w:val="21"/>
                <w:highlight w:val="none"/>
              </w:rPr>
              <w:t>计划工期</w:t>
            </w:r>
          </w:p>
        </w:tc>
        <w:tc>
          <w:tcPr>
            <w:tcW w:w="66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20" w:lineRule="exact"/>
              <w:ind w:right="-34" w:rightChars="-16"/>
              <w:rPr>
                <w:rFonts w:hint="default" w:ascii="宋体" w:hAnsi="宋体" w:cs="宋体"/>
                <w:kern w:val="0"/>
                <w:szCs w:val="21"/>
                <w:highlight w:val="none"/>
                <w:lang w:val="en-US"/>
              </w:rPr>
            </w:pPr>
            <w:r>
              <w:rPr>
                <w:rFonts w:hint="eastAsia" w:asciiTheme="minorEastAsia" w:hAnsiTheme="minorEastAsia" w:eastAsiaTheme="minorEastAsia" w:cstheme="minorEastAsia"/>
                <w:szCs w:val="21"/>
                <w:highlight w:val="none"/>
                <w:lang w:val="en-US" w:eastAsia="zh-CN"/>
              </w:rPr>
              <w:t>180日历天/标段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1.3.3</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质量标准</w:t>
            </w:r>
          </w:p>
        </w:tc>
        <w:tc>
          <w:tcPr>
            <w:tcW w:w="6651" w:type="dxa"/>
            <w:tcBorders>
              <w:top w:val="single" w:color="auto" w:sz="4" w:space="0"/>
            </w:tcBorders>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cs="Tahoma"/>
                <w:kern w:val="0"/>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1.4.1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投标人资质条件、能力</w:t>
            </w:r>
          </w:p>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和信誉</w:t>
            </w:r>
          </w:p>
        </w:tc>
        <w:tc>
          <w:tcPr>
            <w:tcW w:w="6651" w:type="dxa"/>
            <w:vAlign w:val="center"/>
          </w:tcPr>
          <w:p>
            <w:pPr>
              <w:spacing w:line="482" w:lineRule="exact"/>
              <w:rPr>
                <w:rFonts w:ascii="宋体" w:hAnsi="宋体" w:cs="宋体"/>
                <w:szCs w:val="21"/>
              </w:rPr>
            </w:pPr>
            <w:r>
              <w:rPr>
                <w:rFonts w:hint="eastAsia" w:ascii="宋体" w:hAnsi="宋体" w:cs="宋体"/>
                <w:szCs w:val="21"/>
              </w:rPr>
              <w:t>1.投标人须具备独立法人资格，</w:t>
            </w:r>
            <w:r>
              <w:rPr>
                <w:rFonts w:hint="eastAsia" w:ascii="宋体" w:hAnsi="宋体" w:cs="宋体"/>
                <w:szCs w:val="21"/>
                <w:lang w:eastAsia="zh-CN"/>
              </w:rPr>
              <w:t>具有建设行政主管部门核发的建筑工程总承包三级或以上资质</w:t>
            </w:r>
            <w:r>
              <w:rPr>
                <w:rFonts w:hint="eastAsia" w:ascii="宋体" w:hAnsi="宋体" w:cs="宋体"/>
                <w:szCs w:val="21"/>
                <w:highlight w:val="none"/>
              </w:rPr>
              <w:t>，</w:t>
            </w:r>
            <w:r>
              <w:rPr>
                <w:rFonts w:hint="eastAsia" w:ascii="宋体" w:hAnsi="宋体" w:cs="宋体"/>
                <w:szCs w:val="21"/>
              </w:rPr>
              <w:t>具有有效的安全生产许可证，并在人员、设备、资金等方面具有相应的施工能力证明。</w:t>
            </w:r>
          </w:p>
          <w:p>
            <w:pPr>
              <w:spacing w:line="482" w:lineRule="exact"/>
              <w:rPr>
                <w:rFonts w:ascii="宋体" w:hAnsi="宋体" w:cs="宋体"/>
                <w:szCs w:val="21"/>
              </w:rPr>
            </w:pPr>
            <w:r>
              <w:rPr>
                <w:rFonts w:hint="eastAsia" w:ascii="宋体" w:hAnsi="宋体" w:cs="宋体"/>
                <w:szCs w:val="21"/>
              </w:rPr>
              <w:t>2.拟派项目经理须具备建筑工程专业贰级（含贰级）以上注册建造师执业资格，并具有有效的安全生产考核合格证书，且未担任其他在建工程的项目经理。</w:t>
            </w:r>
          </w:p>
          <w:p>
            <w:pPr>
              <w:spacing w:line="482" w:lineRule="exact"/>
              <w:rPr>
                <w:rFonts w:ascii="宋体" w:hAnsi="宋体" w:cs="宋体"/>
                <w:szCs w:val="21"/>
              </w:rPr>
            </w:pPr>
            <w:r>
              <w:rPr>
                <w:rFonts w:hint="eastAsia" w:ascii="宋体" w:hAnsi="宋体" w:cs="宋体"/>
                <w:szCs w:val="21"/>
              </w:rPr>
              <w:t>3.财务要求：企业财务状况良好，提供</w:t>
            </w:r>
            <w:r>
              <w:rPr>
                <w:rFonts w:hint="eastAsia" w:ascii="宋体" w:hAnsi="宋体" w:cs="宋体"/>
                <w:szCs w:val="21"/>
                <w:lang w:eastAsia="zh-CN"/>
              </w:rPr>
              <w:t>2021年度、2022年度、2023年度</w:t>
            </w:r>
            <w:r>
              <w:rPr>
                <w:rFonts w:hint="eastAsia" w:ascii="宋体" w:hAnsi="宋体" w:cs="宋体"/>
                <w:szCs w:val="21"/>
              </w:rPr>
              <w:t>经审计的财务报告或提供开户银行资信证明。</w:t>
            </w:r>
          </w:p>
          <w:p>
            <w:pPr>
              <w:spacing w:line="482" w:lineRule="exact"/>
              <w:rPr>
                <w:rFonts w:hint="eastAsia" w:ascii="宋体" w:hAnsi="宋体" w:cs="宋体"/>
                <w:szCs w:val="21"/>
              </w:rPr>
            </w:pPr>
            <w:r>
              <w:rPr>
                <w:rFonts w:hint="eastAsia" w:ascii="宋体" w:hAnsi="宋体" w:cs="宋体"/>
                <w:szCs w:val="21"/>
              </w:rPr>
              <w:t>4.信誉要求：对列入失信被执行人名单的投标人，拒绝参与本次投标活动；查询渠道：在“信用中国”网（www.creditchina.gov.cn）查询“失信被执行人”（此项查询以信用中国网站自动链接至中国执行信息公开网的查询结果为准），査询日期在发布公告之日到投标截止时间前有效，将查询网页打印件加盖公章附入投标文件内。</w:t>
            </w:r>
          </w:p>
          <w:p>
            <w:pPr>
              <w:spacing w:line="482" w:lineRule="exact"/>
              <w:rPr>
                <w:rFonts w:ascii="宋体" w:hAnsi="宋体" w:cs="宋体"/>
                <w:szCs w:val="21"/>
              </w:rPr>
            </w:pPr>
            <w:r>
              <w:rPr>
                <w:rFonts w:hint="eastAsia" w:ascii="宋体" w:hAnsi="宋体" w:cs="宋体"/>
                <w:szCs w:val="21"/>
              </w:rPr>
              <w:t>5.本项目不接受联合体投标。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1.4.2</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是否接受联合体投标</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sym w:font="Wingdings" w:char="F0FE"/>
            </w:r>
            <w:r>
              <w:rPr>
                <w:rFonts w:hint="eastAsia" w:ascii="宋体" w:hAnsi="宋体"/>
                <w:kern w:val="0"/>
                <w:szCs w:val="21"/>
              </w:rPr>
              <w:t>不接受</w:t>
            </w:r>
          </w:p>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□接受，应满足下列要求：</w:t>
            </w:r>
          </w:p>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联合体资质按照联合体协议约定的分工认定。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1.9.1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踏勘现场</w:t>
            </w:r>
          </w:p>
        </w:tc>
        <w:tc>
          <w:tcPr>
            <w:tcW w:w="6651" w:type="dxa"/>
            <w:vAlign w:val="center"/>
          </w:tcPr>
          <w:p>
            <w:pPr>
              <w:autoSpaceDE w:val="0"/>
              <w:autoSpaceDN w:val="0"/>
              <w:adjustRightInd w:val="0"/>
              <w:spacing w:line="360" w:lineRule="auto"/>
              <w:ind w:right="-34" w:rightChars="-16"/>
              <w:rPr>
                <w:rFonts w:hint="eastAsia"/>
              </w:rPr>
            </w:pPr>
            <w:r>
              <w:rPr>
                <w:rFonts w:hint="eastAsia"/>
                <w:lang w:eastAsia="zh-CN"/>
              </w:rPr>
              <w:t>□</w:t>
            </w:r>
            <w:r>
              <w:rPr>
                <w:rFonts w:hint="eastAsia"/>
              </w:rPr>
              <w:t>组织</w:t>
            </w:r>
          </w:p>
          <w:p>
            <w:pPr>
              <w:autoSpaceDE w:val="0"/>
              <w:autoSpaceDN w:val="0"/>
              <w:adjustRightInd w:val="0"/>
              <w:spacing w:line="360" w:lineRule="auto"/>
              <w:ind w:right="-34" w:rightChars="-16"/>
              <w:rPr>
                <w:rFonts w:hint="eastAsia"/>
              </w:rPr>
            </w:pPr>
            <w:r>
              <w:rPr>
                <w:rFonts w:hint="eastAsia"/>
                <w:lang w:eastAsia="zh-CN"/>
              </w:rPr>
              <w:t>☑</w:t>
            </w:r>
            <w:r>
              <w:rPr>
                <w:rFonts w:hint="eastAsia"/>
              </w:rPr>
              <w:t>不组织</w:t>
            </w:r>
          </w:p>
          <w:p>
            <w:pPr>
              <w:pStyle w:val="7"/>
              <w:spacing w:line="360" w:lineRule="auto"/>
            </w:pPr>
            <w:r>
              <w:rPr>
                <w:rFonts w:hint="eastAsia" w:ascii="宋体" w:hAnsi="宋体" w:eastAsia="宋体" w:cs="Times New Roman"/>
                <w:b w:val="0"/>
                <w:kern w:val="0"/>
                <w:sz w:val="21"/>
                <w:szCs w:val="21"/>
                <w:lang w:val="en-US" w:eastAsia="zh-CN" w:bidi="ar-SA"/>
              </w:rPr>
              <w:t>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1.10.1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投标预备会</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ascii="宋体" w:hAnsi="宋体"/>
                <w:kern w:val="0"/>
                <w:szCs w:val="21"/>
              </w:rPr>
              <w:fldChar w:fldCharType="begin"/>
            </w:r>
            <w:r>
              <w:rPr>
                <w:rFonts w:hint="eastAsia" w:ascii="宋体" w:hAnsi="宋体"/>
                <w:kern w:val="0"/>
                <w:szCs w:val="21"/>
              </w:rPr>
              <w:instrText xml:space="preserve">eq \o\ac(□,</w:instrText>
            </w:r>
            <w:r>
              <w:rPr>
                <w:rFonts w:hint="eastAsia" w:ascii="宋体" w:hAnsi="宋体"/>
                <w:kern w:val="0"/>
                <w:position w:val="3"/>
                <w:szCs w:val="21"/>
              </w:rPr>
              <w:instrText xml:space="preserve">√</w:instrText>
            </w:r>
            <w:r>
              <w:rPr>
                <w:rFonts w:hint="eastAsia" w:ascii="宋体" w:hAnsi="宋体"/>
                <w:kern w:val="0"/>
                <w:szCs w:val="21"/>
              </w:rPr>
              <w:instrText xml:space="preserve">)</w:instrText>
            </w:r>
            <w:r>
              <w:rPr>
                <w:rFonts w:ascii="宋体" w:hAnsi="宋体"/>
                <w:kern w:val="0"/>
                <w:szCs w:val="21"/>
              </w:rPr>
              <w:fldChar w:fldCharType="end"/>
            </w:r>
            <w:r>
              <w:rPr>
                <w:rFonts w:hint="eastAsia" w:ascii="宋体" w:hAnsi="宋体"/>
                <w:kern w:val="0"/>
                <w:szCs w:val="21"/>
              </w:rPr>
              <w:t xml:space="preserve">不召开        </w:t>
            </w:r>
          </w:p>
          <w:p>
            <w:pPr>
              <w:autoSpaceDE w:val="0"/>
              <w:autoSpaceDN w:val="0"/>
              <w:adjustRightInd w:val="0"/>
              <w:spacing w:line="320" w:lineRule="exact"/>
              <w:ind w:right="-34" w:rightChars="-16"/>
              <w:rPr>
                <w:rFonts w:ascii="宋体" w:hAnsi="宋体"/>
                <w:kern w:val="0"/>
                <w:szCs w:val="21"/>
              </w:rPr>
            </w:pPr>
            <w:r>
              <w:rPr>
                <w:rFonts w:hint="eastAsia" w:ascii="宋体" w:hAnsi="宋体" w:cs="仿宋_GB2312"/>
                <w:kern w:val="0"/>
                <w:szCs w:val="21"/>
              </w:rPr>
              <w:t>投标单位在收到招标文件三日内，如有疑问登录交易平台向招标单位和招标代理机构提问，招标单位及招标代理机构审查后认为如有必要答疑，会将答疑纪要在交易平台公布。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820" w:type="dxa"/>
            <w:vAlign w:val="center"/>
          </w:tcPr>
          <w:p>
            <w:pPr>
              <w:spacing w:line="440" w:lineRule="exact"/>
              <w:jc w:val="center"/>
              <w:rPr>
                <w:rFonts w:ascii="宋体" w:hAnsi="宋体"/>
                <w:kern w:val="0"/>
                <w:szCs w:val="21"/>
              </w:rPr>
            </w:pPr>
            <w:r>
              <w:rPr>
                <w:szCs w:val="21"/>
              </w:rPr>
              <w:t>1.10.2</w:t>
            </w:r>
          </w:p>
        </w:tc>
        <w:tc>
          <w:tcPr>
            <w:tcW w:w="2278" w:type="dxa"/>
            <w:gridSpan w:val="2"/>
            <w:vAlign w:val="center"/>
          </w:tcPr>
          <w:p>
            <w:pPr>
              <w:spacing w:line="440" w:lineRule="exact"/>
              <w:jc w:val="center"/>
              <w:rPr>
                <w:rFonts w:ascii="宋体" w:hAnsi="宋体"/>
                <w:kern w:val="0"/>
                <w:szCs w:val="21"/>
              </w:rPr>
            </w:pPr>
            <w:r>
              <w:rPr>
                <w:szCs w:val="21"/>
              </w:rPr>
              <w:t>投标人提出问题的截止时间</w:t>
            </w:r>
          </w:p>
        </w:tc>
        <w:tc>
          <w:tcPr>
            <w:tcW w:w="6651" w:type="dxa"/>
            <w:vAlign w:val="center"/>
          </w:tcPr>
          <w:p>
            <w:pPr>
              <w:autoSpaceDE w:val="0"/>
              <w:autoSpaceDN w:val="0"/>
              <w:adjustRightInd w:val="0"/>
              <w:spacing w:line="320" w:lineRule="exact"/>
              <w:ind w:right="-34" w:rightChars="-16"/>
              <w:rPr>
                <w:rFonts w:ascii="宋体" w:hAnsi="宋体" w:cs="仿宋_GB2312"/>
                <w:kern w:val="0"/>
                <w:szCs w:val="21"/>
              </w:rPr>
            </w:pPr>
            <w:r>
              <w:rPr>
                <w:rFonts w:hint="eastAsia"/>
              </w:rPr>
              <w:t>递交投标文件截止之日10日前，招标人收到异议，3日内给予答复；逾期未提出的视为无异议。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jc w:val="center"/>
        </w:trPr>
        <w:tc>
          <w:tcPr>
            <w:tcW w:w="820" w:type="dxa"/>
            <w:vAlign w:val="center"/>
          </w:tcPr>
          <w:p>
            <w:pPr>
              <w:spacing w:line="440" w:lineRule="exact"/>
              <w:jc w:val="center"/>
              <w:rPr>
                <w:rFonts w:ascii="宋体" w:hAnsi="宋体"/>
                <w:kern w:val="0"/>
                <w:szCs w:val="21"/>
              </w:rPr>
            </w:pPr>
            <w:r>
              <w:rPr>
                <w:szCs w:val="21"/>
              </w:rPr>
              <w:t>1.10.3</w:t>
            </w:r>
          </w:p>
        </w:tc>
        <w:tc>
          <w:tcPr>
            <w:tcW w:w="2278" w:type="dxa"/>
            <w:gridSpan w:val="2"/>
            <w:vAlign w:val="center"/>
          </w:tcPr>
          <w:p>
            <w:pPr>
              <w:spacing w:line="440" w:lineRule="exact"/>
              <w:jc w:val="center"/>
              <w:rPr>
                <w:rFonts w:ascii="宋体" w:hAnsi="宋体"/>
                <w:kern w:val="0"/>
                <w:szCs w:val="21"/>
              </w:rPr>
            </w:pPr>
            <w:r>
              <w:rPr>
                <w:szCs w:val="21"/>
              </w:rPr>
              <w:t>招标人书面澄清的时间</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时间：递交投标文件截止之日15日前</w:t>
            </w:r>
          </w:p>
          <w:p>
            <w:pPr>
              <w:pStyle w:val="44"/>
              <w:ind w:left="0" w:leftChars="0" w:firstLine="0"/>
            </w:pPr>
            <w:r>
              <w:rPr>
                <w:rFonts w:hint="eastAsia" w:ascii="宋体" w:hAnsi="宋体"/>
                <w:kern w:val="0"/>
                <w:szCs w:val="21"/>
              </w:rPr>
              <w:t>形式：</w:t>
            </w:r>
            <w:r>
              <w:rPr>
                <w:rFonts w:ascii="宋体" w:hAnsi="宋体"/>
                <w:kern w:val="0"/>
                <w:szCs w:val="21"/>
              </w:rPr>
              <w:t>在原公告发布媒体上发布澄清或修改公告，</w:t>
            </w:r>
            <w:r>
              <w:rPr>
                <w:rFonts w:hint="eastAsia" w:ascii="宋体" w:hAnsi="宋体"/>
                <w:kern w:val="0"/>
                <w:szCs w:val="21"/>
              </w:rPr>
              <w:t>投标人</w:t>
            </w:r>
            <w:r>
              <w:rPr>
                <w:rFonts w:ascii="宋体" w:hAnsi="宋体"/>
                <w:kern w:val="0"/>
                <w:szCs w:val="21"/>
              </w:rPr>
              <w:t>在</w:t>
            </w:r>
            <w:r>
              <w:rPr>
                <w:rFonts w:hint="eastAsia" w:ascii="宋体" w:hAnsi="宋体"/>
                <w:kern w:val="0"/>
                <w:szCs w:val="21"/>
              </w:rPr>
              <w:t>投标</w:t>
            </w:r>
            <w:r>
              <w:rPr>
                <w:rFonts w:ascii="宋体" w:hAnsi="宋体"/>
                <w:kern w:val="0"/>
                <w:szCs w:val="21"/>
              </w:rPr>
              <w:t>截止时间前须自行</w:t>
            </w:r>
            <w:r>
              <w:rPr>
                <w:rFonts w:hint="eastAsia" w:ascii="宋体" w:hAnsi="宋体"/>
                <w:kern w:val="0"/>
                <w:szCs w:val="21"/>
              </w:rPr>
              <w:t>登录“驻马店市</w:t>
            </w:r>
            <w:r>
              <w:rPr>
                <w:rFonts w:ascii="宋体" w:hAnsi="宋体"/>
                <w:kern w:val="0"/>
                <w:szCs w:val="21"/>
              </w:rPr>
              <w:t>公共资源交易平台</w:t>
            </w:r>
            <w:r>
              <w:rPr>
                <w:rFonts w:hint="eastAsia" w:ascii="宋体" w:hAnsi="宋体"/>
                <w:kern w:val="0"/>
                <w:szCs w:val="21"/>
              </w:rPr>
              <w:t>－投标人</w:t>
            </w:r>
            <w:r>
              <w:rPr>
                <w:rFonts w:ascii="宋体" w:hAnsi="宋体"/>
                <w:kern w:val="0"/>
                <w:szCs w:val="21"/>
              </w:rPr>
              <w:t>登录</w:t>
            </w:r>
            <w:r>
              <w:rPr>
                <w:rFonts w:hint="eastAsia" w:ascii="宋体" w:hAnsi="宋体"/>
                <w:kern w:val="0"/>
                <w:szCs w:val="21"/>
              </w:rPr>
              <w:t>－</w:t>
            </w:r>
            <w:r>
              <w:rPr>
                <w:rFonts w:ascii="宋体" w:hAnsi="宋体"/>
                <w:kern w:val="0"/>
                <w:szCs w:val="21"/>
              </w:rPr>
              <w:t>答疑文件</w:t>
            </w:r>
            <w:r>
              <w:rPr>
                <w:rFonts w:hint="eastAsia" w:ascii="宋体" w:hAnsi="宋体"/>
                <w:kern w:val="0"/>
                <w:szCs w:val="21"/>
              </w:rPr>
              <w:t>领取”进行领取，并以最新的</w:t>
            </w:r>
            <w:r>
              <w:rPr>
                <w:rFonts w:ascii="宋体" w:hAnsi="宋体"/>
                <w:kern w:val="0"/>
                <w:szCs w:val="21"/>
              </w:rPr>
              <w:t>澄清或修改文件编制投标文件，因</w:t>
            </w:r>
            <w:r>
              <w:rPr>
                <w:rFonts w:hint="eastAsia" w:ascii="宋体" w:hAnsi="宋体"/>
                <w:kern w:val="0"/>
                <w:szCs w:val="21"/>
              </w:rPr>
              <w:t>投标人</w:t>
            </w:r>
            <w:r>
              <w:rPr>
                <w:rFonts w:ascii="宋体" w:hAnsi="宋体"/>
                <w:kern w:val="0"/>
                <w:szCs w:val="21"/>
              </w:rPr>
              <w:t>未及时查看而造成的后果自负</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1.11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分包</w:t>
            </w:r>
          </w:p>
        </w:tc>
        <w:tc>
          <w:tcPr>
            <w:tcW w:w="6651" w:type="dxa"/>
            <w:vAlign w:val="center"/>
          </w:tcPr>
          <w:p>
            <w:pPr>
              <w:spacing w:line="312" w:lineRule="auto"/>
              <w:rPr>
                <w:szCs w:val="21"/>
              </w:rPr>
            </w:pPr>
            <w:r>
              <w:rPr>
                <w:rFonts w:hint="eastAsia"/>
                <w:szCs w:val="21"/>
              </w:rPr>
              <w:sym w:font="Wingdings" w:char="F0FE"/>
            </w:r>
            <w:r>
              <w:rPr>
                <w:rFonts w:hint="eastAsia"/>
                <w:szCs w:val="21"/>
              </w:rPr>
              <w:t>不允许</w:t>
            </w:r>
          </w:p>
          <w:p>
            <w:pPr>
              <w:spacing w:line="312" w:lineRule="auto"/>
              <w:rPr>
                <w:szCs w:val="21"/>
              </w:rPr>
            </w:pPr>
            <w:r>
              <w:rPr>
                <w:rFonts w:hint="eastAsia"/>
                <w:szCs w:val="21"/>
              </w:rPr>
              <w:t>□允许，分包内容要求：</w:t>
            </w:r>
          </w:p>
          <w:p>
            <w:pPr>
              <w:spacing w:line="312" w:lineRule="auto"/>
              <w:rPr>
                <w:szCs w:val="21"/>
              </w:rPr>
            </w:pPr>
            <w:r>
              <w:rPr>
                <w:rFonts w:hint="eastAsia"/>
                <w:szCs w:val="21"/>
              </w:rPr>
              <w:t xml:space="preserve">        分包金额要求：</w:t>
            </w:r>
          </w:p>
          <w:p>
            <w:pPr>
              <w:autoSpaceDE w:val="0"/>
              <w:autoSpaceDN w:val="0"/>
              <w:adjustRightInd w:val="0"/>
              <w:spacing w:line="320" w:lineRule="exact"/>
              <w:ind w:right="-34" w:rightChars="-16"/>
              <w:rPr>
                <w:rFonts w:ascii="宋体" w:hAnsi="宋体"/>
                <w:kern w:val="0"/>
                <w:szCs w:val="21"/>
              </w:rPr>
            </w:pPr>
            <w:r>
              <w:rPr>
                <w:rFonts w:hint="eastAsia"/>
                <w:szCs w:val="21"/>
              </w:rPr>
              <w:t xml:space="preserve">        接受分包的第三人资质要求：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 xml:space="preserve">1.12 </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偏离</w:t>
            </w:r>
          </w:p>
        </w:tc>
        <w:tc>
          <w:tcPr>
            <w:tcW w:w="6651" w:type="dxa"/>
            <w:vAlign w:val="center"/>
          </w:tcPr>
          <w:p>
            <w:pPr>
              <w:spacing w:line="288" w:lineRule="auto"/>
              <w:rPr>
                <w:szCs w:val="21"/>
              </w:rPr>
            </w:pPr>
            <w:r>
              <w:rPr>
                <w:rFonts w:hint="eastAsia"/>
                <w:szCs w:val="21"/>
              </w:rPr>
              <w:sym w:font="Wingdings" w:char="F0FE"/>
            </w:r>
            <w:r>
              <w:rPr>
                <w:rFonts w:hint="eastAsia"/>
                <w:szCs w:val="21"/>
              </w:rPr>
              <w:t>不允许</w:t>
            </w:r>
          </w:p>
          <w:p>
            <w:pPr>
              <w:spacing w:line="288" w:lineRule="auto"/>
              <w:rPr>
                <w:szCs w:val="21"/>
              </w:rPr>
            </w:pPr>
            <w:r>
              <w:rPr>
                <w:rFonts w:hint="eastAsia"/>
                <w:szCs w:val="21"/>
              </w:rPr>
              <w:t>□允许，可偏离的项目和范围见第七章</w:t>
            </w:r>
          </w:p>
          <w:p>
            <w:pPr>
              <w:spacing w:line="288" w:lineRule="auto"/>
              <w:rPr>
                <w:szCs w:val="21"/>
              </w:rPr>
            </w:pPr>
            <w:r>
              <w:rPr>
                <w:rFonts w:hint="eastAsia"/>
                <w:szCs w:val="21"/>
              </w:rPr>
              <w:t xml:space="preserve">       “技术标准和要求”：</w:t>
            </w:r>
          </w:p>
          <w:p>
            <w:pPr>
              <w:spacing w:line="288" w:lineRule="auto"/>
              <w:rPr>
                <w:szCs w:val="21"/>
              </w:rPr>
            </w:pPr>
            <w:r>
              <w:rPr>
                <w:rFonts w:hint="eastAsia"/>
                <w:szCs w:val="21"/>
              </w:rPr>
              <w:t xml:space="preserve">        允许偏离最高项数：</w:t>
            </w:r>
          </w:p>
          <w:p>
            <w:pPr>
              <w:autoSpaceDE w:val="0"/>
              <w:autoSpaceDN w:val="0"/>
              <w:adjustRightInd w:val="0"/>
              <w:spacing w:line="320" w:lineRule="exact"/>
              <w:ind w:right="-34" w:rightChars="-16" w:firstLine="210" w:firstLineChars="100"/>
              <w:rPr>
                <w:rFonts w:ascii="宋体" w:hAnsi="宋体"/>
                <w:kern w:val="0"/>
                <w:szCs w:val="21"/>
              </w:rPr>
            </w:pPr>
            <w:r>
              <w:rPr>
                <w:rFonts w:hint="eastAsia"/>
                <w:szCs w:val="21"/>
              </w:rPr>
              <w:t xml:space="preserve">        偏差调整方法：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 xml:space="preserve">2.1 </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构成招标文件的其他材料</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招标文件的补充文件（如有）、</w:t>
            </w:r>
            <w:r>
              <w:rPr>
                <w:rFonts w:hint="eastAsia" w:ascii="宋体" w:hAnsi="宋体"/>
                <w:szCs w:val="21"/>
              </w:rPr>
              <w:t>图纸（另册提供）、工程量清单（另册提供）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2.2.1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投标人要求澄清招标文件的截止时间</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时间：递交投标文件截止之日17日前</w:t>
            </w:r>
          </w:p>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形式：登录交易平台匿名提出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820" w:type="dxa"/>
            <w:vAlign w:val="center"/>
          </w:tcPr>
          <w:p>
            <w:pPr>
              <w:spacing w:line="440" w:lineRule="exact"/>
              <w:jc w:val="center"/>
              <w:rPr>
                <w:rFonts w:ascii="宋体" w:hAnsi="宋体"/>
                <w:kern w:val="0"/>
                <w:szCs w:val="21"/>
              </w:rPr>
            </w:pPr>
            <w:r>
              <w:rPr>
                <w:szCs w:val="21"/>
              </w:rPr>
              <w:t>2.2.2</w:t>
            </w:r>
          </w:p>
        </w:tc>
        <w:tc>
          <w:tcPr>
            <w:tcW w:w="2278" w:type="dxa"/>
            <w:gridSpan w:val="2"/>
            <w:vAlign w:val="center"/>
          </w:tcPr>
          <w:p>
            <w:pPr>
              <w:spacing w:line="440" w:lineRule="exact"/>
              <w:jc w:val="center"/>
              <w:rPr>
                <w:rFonts w:ascii="宋体" w:hAnsi="宋体"/>
                <w:kern w:val="0"/>
                <w:szCs w:val="21"/>
                <w:highlight w:val="none"/>
              </w:rPr>
            </w:pPr>
            <w:r>
              <w:rPr>
                <w:szCs w:val="21"/>
                <w:highlight w:val="none"/>
              </w:rPr>
              <w:t>投标截止时间</w:t>
            </w:r>
          </w:p>
        </w:tc>
        <w:tc>
          <w:tcPr>
            <w:tcW w:w="6651" w:type="dxa"/>
            <w:vAlign w:val="center"/>
          </w:tcPr>
          <w:p>
            <w:pPr>
              <w:autoSpaceDE w:val="0"/>
              <w:autoSpaceDN w:val="0"/>
              <w:adjustRightInd w:val="0"/>
              <w:spacing w:line="320" w:lineRule="exact"/>
              <w:ind w:right="-34" w:rightChars="-16"/>
              <w:rPr>
                <w:rFonts w:ascii="宋体" w:hAnsi="宋体"/>
                <w:kern w:val="0"/>
                <w:szCs w:val="21"/>
                <w:highlight w:val="none"/>
              </w:rPr>
            </w:pPr>
            <w:r>
              <w:rPr>
                <w:rFonts w:hint="eastAsia" w:ascii="宋体" w:hAnsi="宋体"/>
                <w:kern w:val="0"/>
                <w:szCs w:val="21"/>
                <w:highlight w:val="none"/>
              </w:rPr>
              <w:t>202</w:t>
            </w:r>
            <w:r>
              <w:rPr>
                <w:rFonts w:hint="eastAsia" w:ascii="宋体" w:hAnsi="宋体"/>
                <w:kern w:val="0"/>
                <w:szCs w:val="21"/>
                <w:highlight w:val="none"/>
                <w:lang w:val="en-US" w:eastAsia="zh-CN"/>
              </w:rPr>
              <w:t>4</w:t>
            </w:r>
            <w:r>
              <w:rPr>
                <w:rFonts w:hint="eastAsia" w:ascii="宋体" w:hAnsi="宋体"/>
                <w:kern w:val="0"/>
                <w:szCs w:val="21"/>
                <w:highlight w:val="none"/>
              </w:rPr>
              <w:t>年</w:t>
            </w:r>
            <w:r>
              <w:rPr>
                <w:rFonts w:hint="eastAsia" w:ascii="宋体" w:hAnsi="宋体"/>
                <w:kern w:val="0"/>
                <w:szCs w:val="21"/>
                <w:highlight w:val="none"/>
                <w:u w:val="single"/>
                <w:lang w:val="en-US" w:eastAsia="zh-CN"/>
              </w:rPr>
              <w:t xml:space="preserve"> 6 </w:t>
            </w:r>
            <w:r>
              <w:rPr>
                <w:rFonts w:hint="eastAsia" w:ascii="宋体" w:hAnsi="宋体"/>
                <w:kern w:val="0"/>
                <w:szCs w:val="21"/>
                <w:highlight w:val="none"/>
              </w:rPr>
              <w:t>月</w:t>
            </w:r>
            <w:r>
              <w:rPr>
                <w:rFonts w:hint="eastAsia" w:ascii="宋体" w:hAnsi="宋体"/>
                <w:kern w:val="0"/>
                <w:szCs w:val="21"/>
                <w:highlight w:val="none"/>
                <w:u w:val="single"/>
                <w:lang w:val="en-US" w:eastAsia="zh-CN"/>
              </w:rPr>
              <w:t xml:space="preserve"> 12 </w:t>
            </w:r>
            <w:r>
              <w:rPr>
                <w:rFonts w:hint="eastAsia" w:ascii="宋体" w:hAnsi="宋体"/>
                <w:kern w:val="0"/>
                <w:szCs w:val="21"/>
                <w:highlight w:val="none"/>
              </w:rPr>
              <w:t>日09时00分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820" w:type="dxa"/>
            <w:vAlign w:val="center"/>
          </w:tcPr>
          <w:p>
            <w:pPr>
              <w:spacing w:line="440" w:lineRule="exact"/>
              <w:jc w:val="center"/>
              <w:rPr>
                <w:szCs w:val="21"/>
              </w:rPr>
            </w:pPr>
            <w:r>
              <w:rPr>
                <w:szCs w:val="21"/>
              </w:rPr>
              <w:t>2.2.3</w:t>
            </w:r>
          </w:p>
        </w:tc>
        <w:tc>
          <w:tcPr>
            <w:tcW w:w="2278" w:type="dxa"/>
            <w:gridSpan w:val="2"/>
            <w:vAlign w:val="center"/>
          </w:tcPr>
          <w:p>
            <w:pPr>
              <w:spacing w:line="440" w:lineRule="exact"/>
              <w:jc w:val="center"/>
              <w:rPr>
                <w:szCs w:val="21"/>
              </w:rPr>
            </w:pPr>
            <w:r>
              <w:rPr>
                <w:szCs w:val="21"/>
              </w:rPr>
              <w:t>投标人确认收到招标文件澄清的时间</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时间：招标文件的补充文件发出之日2日内</w:t>
            </w:r>
          </w:p>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形式：投标人在投标截止时间前须自行查看在原公告发布媒体上发布</w:t>
            </w:r>
          </w:p>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的澄清或修改公告，因投标人未及时查看而造成的后果自负。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20" w:type="dxa"/>
            <w:vAlign w:val="center"/>
          </w:tcPr>
          <w:p>
            <w:pPr>
              <w:spacing w:line="440" w:lineRule="exact"/>
              <w:jc w:val="center"/>
              <w:rPr>
                <w:szCs w:val="21"/>
              </w:rPr>
            </w:pPr>
            <w:r>
              <w:rPr>
                <w:szCs w:val="21"/>
              </w:rPr>
              <w:t>2.3.2</w:t>
            </w:r>
          </w:p>
        </w:tc>
        <w:tc>
          <w:tcPr>
            <w:tcW w:w="2278" w:type="dxa"/>
            <w:gridSpan w:val="2"/>
            <w:vAlign w:val="center"/>
          </w:tcPr>
          <w:p>
            <w:pPr>
              <w:spacing w:line="440" w:lineRule="exact"/>
              <w:jc w:val="center"/>
              <w:rPr>
                <w:szCs w:val="21"/>
              </w:rPr>
            </w:pPr>
            <w:r>
              <w:rPr>
                <w:szCs w:val="21"/>
              </w:rPr>
              <w:t>投标人确认收到招标文件修改的时间</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时间：招标文件的补充文件发出之日2日内</w:t>
            </w:r>
          </w:p>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形式：投标人在投标截止时间前须自行查看在原公告发布媒体上发布的澄清或修改公告，因投标人未及时查看而造成的后果自负。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3.1.1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构成投标文件的其他材料</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根据招标文件要求需要附的其他资料；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3.3.1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投标有效期</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60日历天（从投标截止之日算起）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3.4.1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投标保证金</w:t>
            </w:r>
          </w:p>
        </w:tc>
        <w:tc>
          <w:tcPr>
            <w:tcW w:w="6651" w:type="dxa"/>
            <w:vAlign w:val="center"/>
          </w:tcPr>
          <w:p>
            <w:pPr>
              <w:adjustRightInd w:val="0"/>
              <w:snapToGrid w:val="0"/>
              <w:spacing w:line="380" w:lineRule="exact"/>
              <w:ind w:firstLine="315" w:firstLineChars="15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是否要求投标人递交投标保证金：</w:t>
            </w:r>
          </w:p>
          <w:p>
            <w:pPr>
              <w:adjustRightInd w:val="0"/>
              <w:snapToGrid w:val="0"/>
              <w:spacing w:line="380" w:lineRule="exact"/>
              <w:ind w:firstLine="315" w:firstLineChars="15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☑要求</w:t>
            </w:r>
          </w:p>
          <w:p>
            <w:pPr>
              <w:adjustRightInd w:val="0"/>
              <w:snapToGrid w:val="0"/>
              <w:spacing w:line="380" w:lineRule="exact"/>
              <w:ind w:firstLine="315" w:firstLineChars="15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投标保证金的金额：一标段：伍万元整；二标段、三标段：叁万元整/标段。</w:t>
            </w:r>
          </w:p>
          <w:p>
            <w:pPr>
              <w:adjustRightInd w:val="0"/>
              <w:snapToGrid w:val="0"/>
              <w:spacing w:line="380" w:lineRule="exact"/>
              <w:ind w:firstLine="315" w:firstLineChars="15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投标保证金递交截止时间：同投标截止时间</w:t>
            </w:r>
          </w:p>
          <w:p>
            <w:pPr>
              <w:adjustRightInd w:val="0"/>
              <w:snapToGrid w:val="0"/>
              <w:spacing w:line="380" w:lineRule="exact"/>
              <w:ind w:firstLine="315" w:firstLineChars="15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投标保证金递交形式：转账或电子保函</w:t>
            </w:r>
          </w:p>
          <w:p>
            <w:pPr>
              <w:adjustRightInd w:val="0"/>
              <w:snapToGrid w:val="0"/>
              <w:spacing w:line="380" w:lineRule="exact"/>
              <w:ind w:firstLine="315" w:firstLineChars="150"/>
              <w:rPr>
                <w:rFonts w:hint="eastAsia" w:ascii="宋体" w:hAnsi="宋体" w:cs="宋体"/>
                <w:kern w:val="0"/>
                <w:szCs w:val="21"/>
              </w:rPr>
            </w:pPr>
            <w:r>
              <w:rPr>
                <w:rFonts w:hint="eastAsia" w:ascii="宋体" w:hAnsi="宋体" w:eastAsia="宋体" w:cs="宋体"/>
                <w:kern w:val="0"/>
                <w:szCs w:val="21"/>
                <w:lang w:val="en-US" w:eastAsia="zh-CN"/>
              </w:rPr>
              <w:t>转账形式：投标人须登录交易系统，在【业</w:t>
            </w:r>
            <w:r>
              <w:rPr>
                <w:rFonts w:hint="eastAsia" w:ascii="宋体" w:hAnsi="宋体" w:cs="宋体"/>
                <w:kern w:val="0"/>
                <w:szCs w:val="21"/>
              </w:rPr>
              <w:t>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pPr>
              <w:adjustRightInd w:val="0"/>
              <w:snapToGrid w:val="0"/>
              <w:spacing w:line="380" w:lineRule="exact"/>
              <w:ind w:firstLine="315" w:firstLineChars="150"/>
              <w:rPr>
                <w:rFonts w:hint="eastAsia" w:ascii="宋体" w:hAnsi="宋体" w:eastAsia="宋体" w:cs="宋体"/>
                <w:kern w:val="0"/>
                <w:szCs w:val="21"/>
                <w:lang w:val="en-US" w:eastAsia="zh-CN"/>
              </w:rPr>
            </w:pPr>
            <w:r>
              <w:rPr>
                <w:rFonts w:hint="eastAsia" w:ascii="宋体" w:hAnsi="宋体" w:cs="宋体"/>
                <w:kern w:val="0"/>
                <w:szCs w:val="21"/>
              </w:rPr>
              <w:t>投标人将投标保证金于开标时间前登录交易系统从本公司基本账户一次性足额存至</w:t>
            </w:r>
            <w:r>
              <w:rPr>
                <w:rFonts w:hint="eastAsia" w:ascii="宋体" w:hAnsi="宋体" w:cs="宋体"/>
                <w:kern w:val="0"/>
                <w:szCs w:val="21"/>
                <w:lang w:val="en-US" w:eastAsia="zh-CN"/>
              </w:rPr>
              <w:t>汝南县</w:t>
            </w:r>
            <w:r>
              <w:rPr>
                <w:rFonts w:hint="eastAsia" w:ascii="宋体" w:hAnsi="宋体" w:cs="宋体"/>
                <w:kern w:val="0"/>
                <w:szCs w:val="21"/>
                <w:lang w:eastAsia="zh-CN"/>
              </w:rPr>
              <w:t>公共资源交易中心</w:t>
            </w:r>
            <w:r>
              <w:rPr>
                <w:rFonts w:hint="eastAsia" w:ascii="宋体" w:hAnsi="宋体" w:cs="宋体"/>
                <w:kern w:val="0"/>
                <w:szCs w:val="21"/>
              </w:rPr>
              <w:t>指定账户,不得以现金提交，逾期到账的投标保证金不予受理。（未从基本账户汇出或未按时到账者视为无效）。如联合体投标，应当以联合体中牵头人的名义提交保证金</w:t>
            </w:r>
            <w:r>
              <w:rPr>
                <w:rFonts w:hint="eastAsia" w:ascii="宋体" w:hAnsi="宋体" w:cs="宋体"/>
                <w:kern w:val="0"/>
                <w:szCs w:val="21"/>
                <w:lang w:val="en-US" w:eastAsia="zh-CN"/>
              </w:rPr>
              <w:t>.</w:t>
            </w:r>
          </w:p>
          <w:p>
            <w:pPr>
              <w:adjustRightInd w:val="0"/>
              <w:snapToGrid w:val="0"/>
              <w:spacing w:line="380" w:lineRule="exact"/>
              <w:ind w:firstLine="315" w:firstLineChars="150"/>
              <w:rPr>
                <w:rFonts w:hint="eastAsia" w:ascii="宋体" w:hAnsi="宋体" w:cs="宋体"/>
                <w:color w:val="auto"/>
                <w:szCs w:val="21"/>
                <w:highlight w:val="none"/>
              </w:rPr>
            </w:pPr>
            <w:r>
              <w:rPr>
                <w:rFonts w:hint="eastAsia" w:ascii="宋体" w:hAnsi="宋体" w:cs="宋体"/>
                <w:color w:val="auto"/>
                <w:szCs w:val="21"/>
                <w:highlight w:val="none"/>
              </w:rPr>
              <w:t>保函形式：采用保函形式缴纳的，投标人在投标截止时间前须由专业担保机构出具投标保证金保函，并将保函证明按规定附于投标文件内并上传至项目资格审查材料内。</w:t>
            </w:r>
          </w:p>
          <w:p>
            <w:pPr>
              <w:adjustRightInd w:val="0"/>
              <w:snapToGrid w:val="0"/>
              <w:spacing w:line="380" w:lineRule="exact"/>
              <w:ind w:firstLine="315" w:firstLineChars="150"/>
              <w:rPr>
                <w:rFonts w:hint="eastAsia" w:ascii="宋体" w:hAnsi="宋体" w:eastAsia="宋体" w:cs="宋体"/>
                <w:kern w:val="0"/>
                <w:szCs w:val="21"/>
              </w:rPr>
            </w:pPr>
            <w:r>
              <w:rPr>
                <w:rFonts w:hint="eastAsia" w:ascii="宋体" w:hAnsi="宋体" w:cs="宋体"/>
                <w:color w:val="auto"/>
                <w:szCs w:val="21"/>
                <w:highlight w:val="none"/>
              </w:rPr>
              <w:t>项目开标前，投标人在交易系统“电子保函申请”页面进行电子保函申请，出具保函的相关机构审批通过后，将以密文形式出具电子保函</w:t>
            </w:r>
            <w:r>
              <w:rPr>
                <w:rFonts w:hint="eastAsia" w:ascii="宋体" w:hAnsi="宋体" w:eastAsia="宋体" w:cs="宋体"/>
                <w:kern w:val="0"/>
                <w:szCs w:val="21"/>
              </w:rPr>
              <w:t>文件，投标人在金融服务平台可下载该保函文件。</w:t>
            </w:r>
          </w:p>
          <w:p>
            <w:pPr>
              <w:adjustRightInd w:val="0"/>
              <w:snapToGrid w:val="0"/>
              <w:spacing w:line="380" w:lineRule="exact"/>
              <w:ind w:firstLine="315" w:firstLineChars="150"/>
              <w:rPr>
                <w:rFonts w:hint="eastAsia" w:ascii="宋体" w:hAnsi="宋体" w:eastAsia="宋体" w:cs="宋体"/>
                <w:kern w:val="0"/>
                <w:szCs w:val="21"/>
              </w:rPr>
            </w:pPr>
            <w:r>
              <w:rPr>
                <w:rFonts w:hint="eastAsia" w:ascii="宋体" w:hAnsi="宋体" w:eastAsia="宋体" w:cs="宋体"/>
                <w:kern w:val="0"/>
                <w:szCs w:val="21"/>
              </w:rPr>
              <w:t>电子保函的申请、使用、查看及应用过程中遇到问题可以咨询以下部门：</w:t>
            </w:r>
          </w:p>
          <w:p>
            <w:pPr>
              <w:adjustRightInd w:val="0"/>
              <w:snapToGrid w:val="0"/>
              <w:spacing w:line="380" w:lineRule="exact"/>
              <w:ind w:firstLine="315" w:firstLineChars="150"/>
              <w:rPr>
                <w:rFonts w:hint="eastAsia" w:ascii="宋体" w:hAnsi="宋体" w:eastAsia="宋体" w:cs="宋体"/>
                <w:kern w:val="0"/>
                <w:szCs w:val="21"/>
              </w:rPr>
            </w:pPr>
            <w:r>
              <w:rPr>
                <w:rFonts w:hint="eastAsia" w:ascii="宋体" w:hAnsi="宋体" w:eastAsia="宋体" w:cs="宋体"/>
                <w:kern w:val="0"/>
                <w:szCs w:val="21"/>
              </w:rPr>
              <w:t>交易平台技术咨询：0396-2613088</w:t>
            </w:r>
          </w:p>
          <w:p>
            <w:pPr>
              <w:adjustRightInd w:val="0"/>
              <w:snapToGrid w:val="0"/>
              <w:spacing w:line="380" w:lineRule="exact"/>
              <w:ind w:firstLine="315" w:firstLineChars="150"/>
              <w:rPr>
                <w:rFonts w:hint="eastAsia" w:ascii="宋体" w:hAnsi="宋体" w:eastAsia="宋体" w:cs="宋体"/>
                <w:kern w:val="0"/>
                <w:szCs w:val="21"/>
              </w:rPr>
            </w:pPr>
            <w:r>
              <w:rPr>
                <w:rFonts w:hint="eastAsia" w:ascii="宋体" w:hAnsi="宋体" w:eastAsia="宋体" w:cs="宋体"/>
                <w:kern w:val="0"/>
                <w:szCs w:val="21"/>
              </w:rPr>
              <w:t>银行保函技术支持：0571-85817300-884</w:t>
            </w:r>
          </w:p>
          <w:p>
            <w:pPr>
              <w:adjustRightInd w:val="0"/>
              <w:snapToGrid w:val="0"/>
              <w:spacing w:line="380" w:lineRule="exact"/>
              <w:ind w:firstLine="315" w:firstLineChars="150"/>
              <w:rPr>
                <w:rFonts w:hint="eastAsia" w:ascii="宋体" w:hAnsi="宋体" w:eastAsia="宋体" w:cs="宋体"/>
                <w:kern w:val="0"/>
                <w:szCs w:val="21"/>
              </w:rPr>
            </w:pPr>
            <w:r>
              <w:rPr>
                <w:rFonts w:hint="eastAsia" w:ascii="宋体" w:hAnsi="宋体" w:eastAsia="宋体" w:cs="宋体"/>
                <w:kern w:val="0"/>
                <w:szCs w:val="21"/>
              </w:rPr>
              <w:t>保险保函技术支持：0371-69158801、17319726812</w:t>
            </w:r>
          </w:p>
          <w:p>
            <w:pPr>
              <w:adjustRightInd w:val="0"/>
              <w:snapToGrid w:val="0"/>
              <w:spacing w:line="380" w:lineRule="exact"/>
              <w:ind w:firstLine="315" w:firstLineChars="150"/>
              <w:rPr>
                <w:rFonts w:hint="eastAsia" w:ascii="宋体" w:hAnsi="宋体" w:eastAsia="宋体" w:cs="宋体"/>
                <w:kern w:val="0"/>
                <w:szCs w:val="21"/>
              </w:rPr>
            </w:pPr>
            <w:r>
              <w:rPr>
                <w:rFonts w:hint="eastAsia" w:ascii="宋体" w:hAnsi="宋体" w:eastAsia="宋体" w:cs="宋体"/>
                <w:kern w:val="0"/>
                <w:szCs w:val="21"/>
              </w:rPr>
              <w:t>担保保函技术支持：0371-58670003</w:t>
            </w:r>
          </w:p>
          <w:p>
            <w:pPr>
              <w:adjustRightInd w:val="0"/>
              <w:spacing w:line="380" w:lineRule="exact"/>
              <w:ind w:firstLine="315" w:firstLineChars="150"/>
              <w:textAlignment w:val="baseline"/>
              <w:rPr>
                <w:rFonts w:ascii="宋体" w:hAnsi="宋体"/>
                <w:b/>
                <w:color w:val="FF0000"/>
                <w:szCs w:val="21"/>
              </w:rPr>
            </w:pPr>
            <w:r>
              <w:rPr>
                <w:rFonts w:hint="eastAsia" w:ascii="宋体" w:hAnsi="宋体" w:cs="宋体"/>
                <w:color w:val="auto"/>
                <w:kern w:val="0"/>
                <w:szCs w:val="21"/>
                <w:highlight w:val="none"/>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3.5.2</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近年财务状况的年份要求</w:t>
            </w:r>
          </w:p>
        </w:tc>
        <w:tc>
          <w:tcPr>
            <w:tcW w:w="6651" w:type="dxa"/>
            <w:vAlign w:val="center"/>
          </w:tcPr>
          <w:p>
            <w:pPr>
              <w:pStyle w:val="19"/>
              <w:rPr>
                <w:rFonts w:ascii="宋体" w:hAnsi="宋体"/>
                <w:kern w:val="0"/>
                <w:szCs w:val="21"/>
              </w:rPr>
            </w:pPr>
            <w:r>
              <w:rPr>
                <w:rFonts w:hint="eastAsia" w:ascii="宋体" w:hAnsi="宋体"/>
                <w:kern w:val="0"/>
                <w:szCs w:val="21"/>
                <w:lang w:eastAsia="zh-CN"/>
              </w:rPr>
              <w:t>2021年度、2022年度、2023年度</w:t>
            </w:r>
            <w:r>
              <w:rPr>
                <w:rFonts w:hint="eastAsia" w:ascii="宋体" w:hAnsi="宋体"/>
                <w:kern w:val="0"/>
                <w:szCs w:val="21"/>
              </w:rPr>
              <w:t>经审计的财务报告或开户银行资信证明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3.5.3</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近年完成的类似项目的年份要求</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近3年（</w:t>
            </w:r>
            <w:r>
              <w:rPr>
                <w:rFonts w:hint="eastAsia" w:ascii="宋体" w:hAnsi="宋体"/>
                <w:kern w:val="0"/>
                <w:szCs w:val="21"/>
                <w:lang w:val="en-US" w:eastAsia="zh-CN"/>
              </w:rPr>
              <w:t>2021</w:t>
            </w:r>
            <w:r>
              <w:rPr>
                <w:rFonts w:hint="eastAsia" w:ascii="宋体" w:hAnsi="宋体"/>
                <w:kern w:val="0"/>
                <w:szCs w:val="21"/>
              </w:rPr>
              <w:t>年1月1日以来）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3.5.4</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正在施工和新承接的项目的年份要求</w:t>
            </w:r>
          </w:p>
        </w:tc>
        <w:tc>
          <w:tcPr>
            <w:tcW w:w="6651" w:type="dxa"/>
            <w:vAlign w:val="center"/>
          </w:tcPr>
          <w:p>
            <w:pPr>
              <w:autoSpaceDE w:val="0"/>
              <w:autoSpaceDN w:val="0"/>
              <w:adjustRightInd w:val="0"/>
              <w:spacing w:line="320" w:lineRule="exact"/>
              <w:ind w:right="-34" w:rightChars="-16"/>
              <w:rPr>
                <w:rFonts w:ascii="宋体" w:hAnsi="宋体"/>
                <w:kern w:val="0"/>
                <w:szCs w:val="21"/>
                <w:u w:val="single"/>
              </w:rPr>
            </w:pPr>
            <w:r>
              <w:rPr>
                <w:rFonts w:hint="eastAsia" w:ascii="宋体" w:hAnsi="宋体"/>
                <w:kern w:val="0"/>
                <w:szCs w:val="21"/>
              </w:rPr>
              <w:t>近3年（20</w:t>
            </w:r>
            <w:r>
              <w:rPr>
                <w:rFonts w:hint="eastAsia" w:ascii="宋体" w:hAnsi="宋体"/>
                <w:kern w:val="0"/>
                <w:szCs w:val="21"/>
                <w:lang w:val="en-US" w:eastAsia="zh-CN"/>
              </w:rPr>
              <w:t>21</w:t>
            </w:r>
            <w:r>
              <w:rPr>
                <w:rFonts w:hint="eastAsia" w:ascii="宋体" w:hAnsi="宋体"/>
                <w:kern w:val="0"/>
                <w:szCs w:val="21"/>
              </w:rPr>
              <w:t>年1月</w:t>
            </w:r>
            <w:r>
              <w:rPr>
                <w:rFonts w:hint="eastAsia" w:ascii="宋体" w:hAnsi="宋体"/>
                <w:kern w:val="0"/>
                <w:szCs w:val="21"/>
                <w:lang w:val="en-US" w:eastAsia="zh-CN"/>
              </w:rPr>
              <w:t>1</w:t>
            </w:r>
            <w:r>
              <w:rPr>
                <w:rFonts w:hint="eastAsia" w:ascii="宋体" w:hAnsi="宋体"/>
                <w:kern w:val="0"/>
                <w:szCs w:val="21"/>
              </w:rPr>
              <w:t>日以来）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3.5.5</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近年发生的诉讼及仲裁情况的年份要求</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近3年（20</w:t>
            </w:r>
            <w:r>
              <w:rPr>
                <w:rFonts w:hint="eastAsia" w:ascii="宋体" w:hAnsi="宋体"/>
                <w:kern w:val="0"/>
                <w:szCs w:val="21"/>
                <w:lang w:val="en-US" w:eastAsia="zh-CN"/>
              </w:rPr>
              <w:t>21</w:t>
            </w:r>
            <w:r>
              <w:rPr>
                <w:rFonts w:hint="eastAsia" w:ascii="宋体" w:hAnsi="宋体"/>
                <w:kern w:val="0"/>
                <w:szCs w:val="21"/>
              </w:rPr>
              <w:t>年1月1日以来）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3.6</w:t>
            </w:r>
          </w:p>
        </w:tc>
        <w:tc>
          <w:tcPr>
            <w:tcW w:w="2278" w:type="dxa"/>
            <w:gridSpan w:val="2"/>
            <w:vAlign w:val="center"/>
          </w:tcPr>
          <w:p>
            <w:pPr>
              <w:autoSpaceDE w:val="0"/>
              <w:autoSpaceDN w:val="0"/>
              <w:adjustRightInd w:val="0"/>
              <w:spacing w:line="320" w:lineRule="exact"/>
              <w:ind w:left="-2" w:leftChars="-1" w:right="-34" w:rightChars="-16"/>
              <w:rPr>
                <w:rFonts w:ascii="宋体" w:hAnsi="宋体"/>
                <w:spacing w:val="-6"/>
                <w:kern w:val="0"/>
                <w:szCs w:val="21"/>
              </w:rPr>
            </w:pPr>
            <w:r>
              <w:rPr>
                <w:rFonts w:hint="eastAsia" w:ascii="宋体" w:hAnsi="宋体"/>
                <w:spacing w:val="-6"/>
                <w:kern w:val="0"/>
                <w:szCs w:val="21"/>
              </w:rPr>
              <w:t>是否允许递交备选投标方案</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ascii="宋体" w:hAnsi="宋体"/>
                <w:kern w:val="0"/>
                <w:szCs w:val="21"/>
              </w:rPr>
              <w:sym w:font="Wingdings" w:char="F0FE"/>
            </w:r>
            <w:r>
              <w:rPr>
                <w:rFonts w:hint="eastAsia" w:ascii="宋体" w:hAnsi="宋体"/>
                <w:kern w:val="0"/>
                <w:szCs w:val="21"/>
              </w:rPr>
              <w:t xml:space="preserve">不允许             </w:t>
            </w:r>
            <w:r>
              <w:rPr>
                <w:rFonts w:ascii="宋体" w:hAnsi="宋体"/>
                <w:kern w:val="0"/>
                <w:szCs w:val="21"/>
              </w:rPr>
              <w:t>□</w:t>
            </w:r>
            <w:r>
              <w:rPr>
                <w:rFonts w:hint="eastAsia" w:ascii="宋体" w:hAnsi="宋体"/>
                <w:kern w:val="0"/>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3.7.3</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签字或盖章要求</w:t>
            </w:r>
          </w:p>
        </w:tc>
        <w:tc>
          <w:tcPr>
            <w:tcW w:w="6651" w:type="dxa"/>
          </w:tcPr>
          <w:p>
            <w:pPr>
              <w:adjustRightInd w:val="0"/>
              <w:snapToGrid w:val="0"/>
              <w:spacing w:line="380" w:lineRule="exact"/>
              <w:ind w:left="-21"/>
              <w:jc w:val="left"/>
              <w:rPr>
                <w:b/>
                <w:bCs/>
                <w:szCs w:val="21"/>
                <w:u w:val="single"/>
              </w:rPr>
            </w:pPr>
            <w:r>
              <w:rPr>
                <w:rFonts w:hint="eastAsia"/>
                <w:b/>
                <w:bCs/>
                <w:szCs w:val="21"/>
                <w:u w:val="single"/>
              </w:rPr>
              <w:t>电子投标文件</w:t>
            </w:r>
          </w:p>
          <w:p>
            <w:pPr>
              <w:adjustRightInd w:val="0"/>
              <w:snapToGrid w:val="0"/>
              <w:spacing w:line="380" w:lineRule="exact"/>
              <w:ind w:left="-21"/>
              <w:jc w:val="left"/>
              <w:rPr>
                <w:b/>
                <w:bCs/>
                <w:szCs w:val="21"/>
                <w:u w:val="single"/>
              </w:rPr>
            </w:pPr>
            <w:r>
              <w:rPr>
                <w:rFonts w:hint="eastAsia"/>
                <w:b/>
                <w:bCs/>
                <w:szCs w:val="21"/>
                <w:u w:val="single"/>
              </w:rPr>
              <w:t>（1）经过加密的电子投标文件上传件为正本</w:t>
            </w:r>
          </w:p>
          <w:p>
            <w:pPr>
              <w:adjustRightInd w:val="0"/>
              <w:snapToGrid w:val="0"/>
              <w:spacing w:line="380" w:lineRule="exact"/>
              <w:ind w:left="-126" w:leftChars="-60" w:firstLine="105" w:firstLineChars="50"/>
              <w:jc w:val="left"/>
              <w:rPr>
                <w:b/>
                <w:bCs/>
                <w:szCs w:val="21"/>
                <w:u w:val="single"/>
              </w:rPr>
            </w:pPr>
            <w:r>
              <w:rPr>
                <w:rFonts w:hint="eastAsia"/>
                <w:b/>
                <w:bCs/>
                <w:szCs w:val="21"/>
                <w:u w:val="single"/>
              </w:rPr>
              <w:t>（2）所有要求投标人加盖公章的地方都须加盖投标人单位的 CA 印章。</w:t>
            </w:r>
          </w:p>
          <w:p>
            <w:pPr>
              <w:adjustRightInd w:val="0"/>
              <w:snapToGrid w:val="0"/>
              <w:spacing w:line="380" w:lineRule="exact"/>
              <w:ind w:left="-126" w:leftChars="-60" w:firstLine="105" w:firstLineChars="50"/>
              <w:jc w:val="left"/>
              <w:rPr>
                <w:b/>
                <w:bCs/>
                <w:szCs w:val="21"/>
                <w:u w:val="single"/>
              </w:rPr>
            </w:pPr>
            <w:r>
              <w:rPr>
                <w:rFonts w:hint="eastAsia"/>
                <w:b/>
                <w:bCs/>
                <w:szCs w:val="21"/>
                <w:u w:val="single"/>
              </w:rPr>
              <w:t>（3）所有要求法定代表人签字的地方都须加盖法定代表人CA 印章, 需要委托代理人签字的地方，可由委托代理人签字后以图片的形式扫描上传。</w:t>
            </w:r>
          </w:p>
          <w:p>
            <w:pPr>
              <w:adjustRightInd w:val="0"/>
              <w:snapToGrid w:val="0"/>
              <w:spacing w:line="380" w:lineRule="exact"/>
              <w:ind w:left="-126" w:leftChars="-60" w:firstLine="105" w:firstLineChars="50"/>
              <w:jc w:val="left"/>
              <w:rPr>
                <w:rFonts w:ascii="新宋体" w:hAnsi="新宋体" w:eastAsia="新宋体"/>
                <w:szCs w:val="21"/>
              </w:rPr>
            </w:pPr>
            <w:r>
              <w:rPr>
                <w:rFonts w:hint="eastAsia"/>
                <w:b/>
                <w:bCs/>
                <w:szCs w:val="21"/>
                <w:u w:val="single"/>
              </w:rPr>
              <w:t>（4）工程量清单报价封面的签字、盖章执行以下要求：采用电子版工程量清单报价的清单封面须加盖投标人公章、法定代表人或其授权人的印章或签字。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3.7.4</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投标文件份数</w:t>
            </w:r>
          </w:p>
        </w:tc>
        <w:tc>
          <w:tcPr>
            <w:tcW w:w="6651" w:type="dxa"/>
            <w:vAlign w:val="center"/>
          </w:tcPr>
          <w:p>
            <w:pPr>
              <w:adjustRightInd w:val="0"/>
              <w:snapToGrid w:val="0"/>
              <w:spacing w:line="360" w:lineRule="auto"/>
              <w:jc w:val="center"/>
            </w:pPr>
            <w:r>
              <w:rPr>
                <w:rFonts w:hint="eastAsia"/>
              </w:rPr>
              <w:t>加密的电子投标文件壹份（*.zmd</w:t>
            </w:r>
            <w:r>
              <w:t>t</w:t>
            </w:r>
            <w:r>
              <w:rPr>
                <w:rFonts w:hint="eastAsia"/>
              </w:rPr>
              <w:t>f 格式，在会员系统指定位置上传）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4.1.</w:t>
            </w:r>
            <w:r>
              <w:rPr>
                <w:rFonts w:hint="eastAsia" w:ascii="宋体" w:hAnsi="宋体"/>
                <w:kern w:val="0"/>
                <w:szCs w:val="21"/>
              </w:rPr>
              <w:t>2</w:t>
            </w:r>
          </w:p>
        </w:tc>
        <w:tc>
          <w:tcPr>
            <w:tcW w:w="2278" w:type="dxa"/>
            <w:gridSpan w:val="2"/>
            <w:vAlign w:val="center"/>
          </w:tcPr>
          <w:p>
            <w:pPr>
              <w:jc w:val="center"/>
              <w:rPr>
                <w:szCs w:val="21"/>
              </w:rPr>
            </w:pPr>
            <w:r>
              <w:rPr>
                <w:rFonts w:hint="eastAsia"/>
                <w:szCs w:val="21"/>
              </w:rPr>
              <w:t>电子投标文件U盘、纸质投标文件要求</w:t>
            </w:r>
          </w:p>
        </w:tc>
        <w:tc>
          <w:tcPr>
            <w:tcW w:w="6651" w:type="dxa"/>
            <w:vAlign w:val="center"/>
          </w:tcPr>
          <w:p>
            <w:pPr>
              <w:pStyle w:val="19"/>
            </w:pPr>
            <w:r>
              <w:rPr>
                <w:rFonts w:hint="eastAsia" w:ascii="Times New Roman" w:hAnsi="Times New Roman" w:eastAsia="宋体" w:cs="Times New Roman"/>
                <w:b/>
                <w:bCs/>
                <w:kern w:val="2"/>
                <w:sz w:val="21"/>
                <w:szCs w:val="21"/>
                <w:u w:val="single"/>
                <w:lang w:val="en-US" w:eastAsia="zh-CN" w:bidi="ar-SA"/>
              </w:rPr>
              <w:t>确定中标后三日内，中标人需向招标人提供与上传电子投标文件一致的纸质版投标文件正本壹份，副本叁份和非加密的电子投标文件U盘壹份。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exac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4.2.2</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递交投标文件的地点</w:t>
            </w:r>
          </w:p>
          <w:p>
            <w:pPr>
              <w:autoSpaceDE w:val="0"/>
              <w:autoSpaceDN w:val="0"/>
              <w:adjustRightInd w:val="0"/>
              <w:spacing w:line="320" w:lineRule="exact"/>
              <w:ind w:right="-34" w:rightChars="-16"/>
              <w:jc w:val="center"/>
              <w:rPr>
                <w:rFonts w:ascii="宋体" w:hAnsi="宋体"/>
                <w:kern w:val="0"/>
                <w:szCs w:val="21"/>
              </w:rPr>
            </w:pPr>
          </w:p>
        </w:tc>
        <w:tc>
          <w:tcPr>
            <w:tcW w:w="6651" w:type="dxa"/>
            <w:vAlign w:val="center"/>
          </w:tcPr>
          <w:p>
            <w:pPr>
              <w:adjustRightInd w:val="0"/>
              <w:snapToGrid w:val="0"/>
              <w:spacing w:line="400" w:lineRule="exact"/>
              <w:rPr>
                <w:rFonts w:ascii="宋体" w:hAnsi="宋体"/>
                <w:kern w:val="0"/>
                <w:szCs w:val="21"/>
              </w:rPr>
            </w:pPr>
            <w:r>
              <w:rPr>
                <w:rFonts w:hint="eastAsia"/>
                <w:szCs w:val="21"/>
              </w:rPr>
              <w:t>各投标人应在投标截止时间前上传加密的电子投标文件（*.zmdtf）到驻马店市公共资源交易中心系统的指定位置。上传时必须得到电脑“上传成功”的确认回复后</w:t>
            </w:r>
            <w:r>
              <w:rPr>
                <w:szCs w:val="21"/>
              </w:rPr>
              <w:t>方</w:t>
            </w:r>
            <w:r>
              <w:rPr>
                <w:rFonts w:hint="eastAsia"/>
                <w:szCs w:val="21"/>
              </w:rPr>
              <w:t>为</w:t>
            </w:r>
            <w:r>
              <w:rPr>
                <w:szCs w:val="21"/>
              </w:rPr>
              <w:t>上传成功</w:t>
            </w:r>
            <w:r>
              <w:rPr>
                <w:rFonts w:hint="eastAsia"/>
                <w:szCs w:val="21"/>
              </w:rPr>
              <w:t>。请投标人在上传前</w:t>
            </w:r>
            <w:r>
              <w:rPr>
                <w:szCs w:val="21"/>
              </w:rPr>
              <w:t>务必</w:t>
            </w:r>
            <w:r>
              <w:rPr>
                <w:rFonts w:hint="eastAsia"/>
                <w:szCs w:val="21"/>
              </w:rPr>
              <w:t>认真检查上传投标文件是否完整、正确。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exac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4.2.</w:t>
            </w:r>
            <w:r>
              <w:rPr>
                <w:rFonts w:hint="eastAsia" w:ascii="宋体" w:hAnsi="宋体"/>
                <w:kern w:val="0"/>
                <w:szCs w:val="21"/>
              </w:rPr>
              <w:t>3</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是否退还投标文件</w:t>
            </w:r>
          </w:p>
        </w:tc>
        <w:tc>
          <w:tcPr>
            <w:tcW w:w="6651" w:type="dxa"/>
            <w:vAlign w:val="center"/>
          </w:tcPr>
          <w:p>
            <w:pPr>
              <w:autoSpaceDE w:val="0"/>
              <w:autoSpaceDN w:val="0"/>
              <w:adjustRightInd w:val="0"/>
              <w:spacing w:line="320" w:lineRule="exact"/>
              <w:ind w:right="-34" w:rightChars="-16"/>
              <w:rPr>
                <w:rFonts w:ascii="宋体" w:hAnsi="宋体"/>
                <w:kern w:val="0"/>
                <w:szCs w:val="21"/>
              </w:rPr>
            </w:pPr>
            <w:r>
              <w:rPr>
                <w:rFonts w:ascii="宋体" w:hAnsi="宋体"/>
                <w:kern w:val="0"/>
                <w:szCs w:val="21"/>
              </w:rPr>
              <w:sym w:font="Wingdings" w:char="F0FE"/>
            </w:r>
            <w:r>
              <w:rPr>
                <w:rFonts w:hint="eastAsia" w:ascii="宋体" w:hAnsi="宋体"/>
                <w:kern w:val="0"/>
                <w:szCs w:val="21"/>
              </w:rPr>
              <w:t xml:space="preserve">不退还           </w:t>
            </w:r>
            <w:r>
              <w:rPr>
                <w:rFonts w:ascii="宋体" w:hAnsi="宋体"/>
                <w:kern w:val="0"/>
                <w:szCs w:val="21"/>
              </w:rPr>
              <w:t>□</w:t>
            </w:r>
            <w:r>
              <w:rPr>
                <w:rFonts w:hint="eastAsia" w:ascii="宋体" w:hAnsi="宋体"/>
                <w:kern w:val="0"/>
                <w:szCs w:val="21"/>
              </w:rPr>
              <w:t>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5" w:hRule="exac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4.2.4</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资格审查文件及业绩信誉资料原件的递交</w:t>
            </w:r>
          </w:p>
        </w:tc>
        <w:tc>
          <w:tcPr>
            <w:tcW w:w="6651" w:type="dxa"/>
            <w:vAlign w:val="center"/>
          </w:tcPr>
          <w:p>
            <w:pPr>
              <w:adjustRightInd w:val="0"/>
              <w:snapToGrid w:val="0"/>
              <w:spacing w:line="400" w:lineRule="exact"/>
              <w:rPr>
                <w:szCs w:val="21"/>
              </w:rPr>
            </w:pPr>
            <w:r>
              <w:rPr>
                <w:rFonts w:hint="eastAsia" w:ascii="宋体" w:hAnsi="宋体" w:eastAsia="宋体" w:cs="宋体"/>
                <w:kern w:val="0"/>
                <w:szCs w:val="21"/>
              </w:rPr>
              <w:t>投标人无需递交纸质投标文件及原件，投标企业应在项目开标前，将项目经理、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5.1</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开标时间和地点</w:t>
            </w:r>
          </w:p>
        </w:tc>
        <w:tc>
          <w:tcPr>
            <w:tcW w:w="6651" w:type="dxa"/>
            <w:vAlign w:val="center"/>
          </w:tcPr>
          <w:p>
            <w:pPr>
              <w:autoSpaceDE w:val="0"/>
              <w:autoSpaceDN w:val="0"/>
              <w:adjustRightInd w:val="0"/>
              <w:spacing w:line="320" w:lineRule="exact"/>
              <w:ind w:right="-34" w:rightChars="-16"/>
              <w:rPr>
                <w:rFonts w:ascii="宋体" w:hAnsi="宋体"/>
                <w:b/>
                <w:kern w:val="0"/>
                <w:szCs w:val="21"/>
              </w:rPr>
            </w:pPr>
            <w:r>
              <w:rPr>
                <w:rFonts w:hint="eastAsia" w:ascii="宋体" w:hAnsi="宋体"/>
                <w:kern w:val="0"/>
                <w:szCs w:val="21"/>
              </w:rPr>
              <w:t>开标时间</w:t>
            </w:r>
            <w:r>
              <w:rPr>
                <w:rFonts w:hint="eastAsia" w:ascii="宋体" w:hAnsi="宋体"/>
                <w:kern w:val="0"/>
                <w:szCs w:val="21"/>
                <w:highlight w:val="none"/>
              </w:rPr>
              <w:t>：</w:t>
            </w:r>
            <w:r>
              <w:rPr>
                <w:rFonts w:hint="eastAsia" w:ascii="宋体" w:hAnsi="宋体"/>
                <w:b/>
                <w:bCs/>
                <w:kern w:val="0"/>
                <w:szCs w:val="21"/>
                <w:highlight w:val="none"/>
              </w:rPr>
              <w:t>202</w:t>
            </w:r>
            <w:r>
              <w:rPr>
                <w:rFonts w:hint="eastAsia" w:ascii="宋体" w:hAnsi="宋体"/>
                <w:b/>
                <w:bCs/>
                <w:kern w:val="0"/>
                <w:szCs w:val="21"/>
                <w:highlight w:val="none"/>
                <w:lang w:val="en-US" w:eastAsia="zh-CN"/>
              </w:rPr>
              <w:t>4</w:t>
            </w:r>
            <w:r>
              <w:rPr>
                <w:rFonts w:hint="eastAsia" w:ascii="宋体" w:hAnsi="宋体"/>
                <w:b/>
                <w:bCs/>
                <w:kern w:val="0"/>
                <w:szCs w:val="21"/>
                <w:highlight w:val="none"/>
              </w:rPr>
              <w:t>年</w:t>
            </w:r>
            <w:r>
              <w:rPr>
                <w:rFonts w:hint="eastAsia" w:ascii="宋体" w:hAnsi="宋体"/>
                <w:b/>
                <w:bCs/>
                <w:kern w:val="0"/>
                <w:szCs w:val="21"/>
                <w:highlight w:val="none"/>
                <w:u w:val="single"/>
                <w:lang w:val="en-US" w:eastAsia="zh-CN"/>
              </w:rPr>
              <w:t xml:space="preserve"> 6 </w:t>
            </w:r>
            <w:r>
              <w:rPr>
                <w:rFonts w:hint="eastAsia" w:ascii="宋体" w:hAnsi="宋体"/>
                <w:b/>
                <w:kern w:val="0"/>
                <w:szCs w:val="21"/>
                <w:highlight w:val="none"/>
              </w:rPr>
              <w:t>月</w:t>
            </w:r>
            <w:r>
              <w:rPr>
                <w:rFonts w:hint="eastAsia" w:ascii="宋体" w:hAnsi="宋体"/>
                <w:b/>
                <w:kern w:val="0"/>
                <w:szCs w:val="21"/>
                <w:highlight w:val="none"/>
                <w:lang w:val="en-US" w:eastAsia="zh-CN"/>
              </w:rPr>
              <w:t xml:space="preserve"> </w:t>
            </w:r>
            <w:r>
              <w:rPr>
                <w:rFonts w:hint="eastAsia" w:ascii="宋体" w:hAnsi="宋体"/>
                <w:b/>
                <w:kern w:val="0"/>
                <w:szCs w:val="21"/>
                <w:highlight w:val="none"/>
                <w:u w:val="single"/>
                <w:lang w:val="en-US" w:eastAsia="zh-CN"/>
              </w:rPr>
              <w:t xml:space="preserve"> 12 </w:t>
            </w:r>
            <w:r>
              <w:rPr>
                <w:rFonts w:hint="eastAsia" w:ascii="宋体" w:hAnsi="宋体"/>
                <w:b/>
                <w:kern w:val="0"/>
                <w:szCs w:val="21"/>
                <w:highlight w:val="none"/>
              </w:rPr>
              <w:t>日09时00分</w:t>
            </w:r>
          </w:p>
          <w:p>
            <w:pPr>
              <w:autoSpaceDE w:val="0"/>
              <w:autoSpaceDN w:val="0"/>
              <w:adjustRightInd w:val="0"/>
              <w:spacing w:line="320" w:lineRule="exact"/>
              <w:ind w:right="-34" w:rightChars="-16"/>
              <w:rPr>
                <w:rFonts w:ascii="宋体" w:hAnsi="宋体"/>
                <w:kern w:val="0"/>
                <w:szCs w:val="21"/>
              </w:rPr>
            </w:pPr>
            <w:r>
              <w:rPr>
                <w:rFonts w:hint="eastAsia" w:ascii="宋体" w:hAnsi="宋体"/>
                <w:kern w:val="0"/>
                <w:szCs w:val="21"/>
              </w:rPr>
              <w:t>开标地点：汝南县公共资源交易中心不见面开标大厅</w:t>
            </w:r>
          </w:p>
          <w:p>
            <w:pPr>
              <w:autoSpaceDE w:val="0"/>
              <w:autoSpaceDN w:val="0"/>
              <w:adjustRightInd w:val="0"/>
              <w:spacing w:line="320" w:lineRule="exact"/>
              <w:ind w:right="-34" w:rightChars="-16"/>
              <w:rPr>
                <w:rFonts w:ascii="宋体" w:hAnsi="宋体"/>
                <w:kern w:val="0"/>
                <w:szCs w:val="21"/>
              </w:rPr>
            </w:pPr>
            <w:r>
              <w:rPr>
                <w:rFonts w:hint="eastAsia" w:ascii="Times New Roman" w:hAnsi="Times New Roman" w:eastAsia="宋体" w:cs="Times New Roman"/>
                <w:b/>
                <w:bCs/>
                <w:kern w:val="2"/>
                <w:sz w:val="21"/>
                <w:szCs w:val="21"/>
                <w:u w:val="single"/>
                <w:lang w:val="en-US" w:eastAsia="zh-CN" w:bidi="ar-SA"/>
              </w:rPr>
              <w:t>（电子投标文件必须凭制作投标文件所用的 CA 密匙在</w:t>
            </w:r>
            <w:r>
              <w:rPr>
                <w:rFonts w:hint="eastAsia" w:cs="Times New Roman"/>
                <w:b/>
                <w:bCs/>
                <w:kern w:val="2"/>
                <w:sz w:val="21"/>
                <w:szCs w:val="21"/>
                <w:u w:val="single"/>
                <w:lang w:val="en-US" w:eastAsia="zh-CN" w:bidi="ar-SA"/>
              </w:rPr>
              <w:t>10</w:t>
            </w:r>
            <w:r>
              <w:rPr>
                <w:rFonts w:hint="eastAsia" w:ascii="Times New Roman" w:hAnsi="Times New Roman" w:eastAsia="宋体" w:cs="Times New Roman"/>
                <w:b/>
                <w:bCs/>
                <w:kern w:val="2"/>
                <w:sz w:val="21"/>
                <w:szCs w:val="21"/>
                <w:u w:val="single"/>
                <w:lang w:val="en-US" w:eastAsia="zh-CN" w:bidi="ar-SA"/>
              </w:rPr>
              <w:t>分钟内完成解密）。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 xml:space="preserve">5.2 </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开标程序</w:t>
            </w:r>
          </w:p>
        </w:tc>
        <w:tc>
          <w:tcPr>
            <w:tcW w:w="6651" w:type="dxa"/>
            <w:vAlign w:val="center"/>
          </w:tcPr>
          <w:p>
            <w:pPr>
              <w:adjustRightInd w:val="0"/>
              <w:snapToGrid w:val="0"/>
              <w:spacing w:line="360" w:lineRule="exact"/>
              <w:rPr>
                <w:szCs w:val="21"/>
              </w:rPr>
            </w:pPr>
            <w:r>
              <w:rPr>
                <w:rFonts w:hint="eastAsia" w:ascii="宋体" w:hAnsi="宋体" w:eastAsia="宋体" w:cs="宋体"/>
                <w:kern w:val="0"/>
                <w:szCs w:val="21"/>
              </w:rPr>
              <w:t>（本工程采用远程不见面交易的模式。开标当日，投标人无需到达开标现场，仅需在任意地点通过驻马店不见面开标系统（http://</w:t>
            </w:r>
            <w:r>
              <w:rPr>
                <w:rFonts w:hint="eastAsia" w:ascii="宋体" w:hAnsi="宋体" w:eastAsia="宋体" w:cs="宋体"/>
                <w:kern w:val="0"/>
                <w:szCs w:val="21"/>
                <w:lang w:eastAsia="zh-CN"/>
              </w:rPr>
              <w:t>ggzy.zhumadian.gov.cn</w:t>
            </w:r>
            <w:r>
              <w:rPr>
                <w:rFonts w:hint="eastAsia" w:ascii="宋体" w:hAnsi="宋体" w:eastAsia="宋体" w:cs="宋体"/>
                <w:kern w:val="0"/>
                <w:szCs w:val="21"/>
              </w:rPr>
              <w:t>: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4"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 xml:space="preserve">6.1.1 </w:t>
            </w:r>
          </w:p>
        </w:tc>
        <w:tc>
          <w:tcPr>
            <w:tcW w:w="2278" w:type="dxa"/>
            <w:gridSpan w:val="2"/>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评标委员会的组建</w:t>
            </w:r>
          </w:p>
        </w:tc>
        <w:tc>
          <w:tcPr>
            <w:tcW w:w="6651" w:type="dxa"/>
            <w:vAlign w:val="center"/>
          </w:tcPr>
          <w:p>
            <w:pPr>
              <w:autoSpaceDE w:val="0"/>
              <w:autoSpaceDN w:val="0"/>
              <w:adjustRightInd w:val="0"/>
              <w:spacing w:line="320" w:lineRule="exact"/>
              <w:ind w:right="-34" w:rightChars="-16"/>
              <w:rPr>
                <w:rFonts w:ascii="宋体" w:hAnsi="宋体" w:cs="宋体"/>
                <w:kern w:val="0"/>
                <w:szCs w:val="21"/>
              </w:rPr>
            </w:pPr>
            <w:r>
              <w:rPr>
                <w:rFonts w:ascii="宋体" w:hAnsi="宋体" w:cs="宋体"/>
                <w:kern w:val="0"/>
                <w:szCs w:val="21"/>
              </w:rPr>
              <w:t>评标委员会由招标人依法组建</w:t>
            </w:r>
            <w:r>
              <w:rPr>
                <w:rFonts w:hint="eastAsia" w:ascii="宋体" w:hAnsi="宋体" w:cs="宋体"/>
                <w:kern w:val="0"/>
                <w:szCs w:val="21"/>
              </w:rPr>
              <w:t>，由</w:t>
            </w:r>
            <w:r>
              <w:rPr>
                <w:rFonts w:hint="eastAsia" w:ascii="宋体" w:hAnsi="宋体" w:cs="宋体"/>
                <w:kern w:val="0"/>
                <w:szCs w:val="21"/>
                <w:u w:val="single"/>
              </w:rPr>
              <w:t xml:space="preserve"> 5 </w:t>
            </w:r>
            <w:r>
              <w:rPr>
                <w:rFonts w:hint="eastAsia" w:ascii="宋体" w:hAnsi="宋体" w:cs="宋体"/>
                <w:kern w:val="0"/>
                <w:szCs w:val="21"/>
              </w:rPr>
              <w:t>人组成；</w:t>
            </w:r>
          </w:p>
          <w:p>
            <w:pPr>
              <w:adjustRightInd w:val="0"/>
              <w:snapToGrid w:val="0"/>
              <w:spacing w:line="400" w:lineRule="exact"/>
            </w:pPr>
            <w:r>
              <w:rPr>
                <w:rFonts w:hint="eastAsia"/>
              </w:rPr>
              <w:t>其中</w:t>
            </w:r>
            <w:r>
              <w:rPr>
                <w:rFonts w:hint="eastAsia"/>
                <w:lang w:eastAsia="zh-CN"/>
              </w:rPr>
              <w:t>：</w:t>
            </w:r>
            <w:r>
              <w:rPr>
                <w:rFonts w:hint="eastAsia"/>
              </w:rPr>
              <w:t>招标人代表</w:t>
            </w:r>
            <w:r>
              <w:rPr>
                <w:rFonts w:hint="eastAsia"/>
                <w:u w:val="single"/>
              </w:rPr>
              <w:t>1</w:t>
            </w:r>
            <w:r>
              <w:rPr>
                <w:rFonts w:hint="eastAsia"/>
              </w:rPr>
              <w:t>人</w:t>
            </w:r>
          </w:p>
          <w:p>
            <w:pPr>
              <w:adjustRightInd w:val="0"/>
              <w:snapToGrid w:val="0"/>
              <w:spacing w:line="400" w:lineRule="exact"/>
            </w:pPr>
            <w:r>
              <w:rPr>
                <w:rFonts w:hint="eastAsia"/>
              </w:rPr>
              <w:t>专家</w:t>
            </w:r>
            <w:r>
              <w:rPr>
                <w:rFonts w:hint="eastAsia"/>
                <w:u w:val="single"/>
              </w:rPr>
              <w:t>4</w:t>
            </w:r>
            <w:r>
              <w:rPr>
                <w:rFonts w:hint="eastAsia"/>
              </w:rPr>
              <w:t>人</w:t>
            </w:r>
          </w:p>
          <w:p>
            <w:pPr>
              <w:adjustRightInd w:val="0"/>
              <w:snapToGrid w:val="0"/>
              <w:spacing w:line="400" w:lineRule="exact"/>
            </w:pPr>
            <w:r>
              <w:rPr>
                <w:rFonts w:hint="eastAsia"/>
              </w:rPr>
              <w:t>（经济类</w:t>
            </w:r>
            <w:r>
              <w:rPr>
                <w:rFonts w:hint="eastAsia"/>
                <w:u w:val="single"/>
              </w:rPr>
              <w:t xml:space="preserve"> 2 </w:t>
            </w:r>
            <w:r>
              <w:rPr>
                <w:rFonts w:hint="eastAsia"/>
              </w:rPr>
              <w:t>人，技术类</w:t>
            </w:r>
            <w:r>
              <w:rPr>
                <w:rFonts w:hint="eastAsia"/>
                <w:u w:val="single"/>
              </w:rPr>
              <w:t>2</w:t>
            </w:r>
            <w:r>
              <w:rPr>
                <w:rFonts w:hint="eastAsia"/>
              </w:rPr>
              <w:t>人）；</w:t>
            </w:r>
          </w:p>
          <w:p>
            <w:pPr>
              <w:adjustRightInd w:val="0"/>
              <w:snapToGrid w:val="0"/>
              <w:spacing w:line="400" w:lineRule="exact"/>
            </w:pPr>
            <w:r>
              <w:t>评标专家确定方式</w:t>
            </w:r>
            <w:r>
              <w:rPr>
                <w:rFonts w:hint="eastAsia"/>
              </w:rPr>
              <w:t>：</w:t>
            </w:r>
          </w:p>
          <w:p>
            <w:pPr>
              <w:adjustRightInd w:val="0"/>
              <w:snapToGrid w:val="0"/>
              <w:spacing w:line="400" w:lineRule="exact"/>
            </w:pPr>
            <w:r>
              <w:rPr>
                <w:sz w:val="32"/>
              </w:rPr>
              <w:sym w:font="Wingdings" w:char="F0FE"/>
            </w:r>
            <w:r>
              <w:rPr>
                <w:rFonts w:ascii="宋体" w:hAnsi="宋体" w:cs="宋体"/>
                <w:kern w:val="0"/>
                <w:szCs w:val="21"/>
              </w:rPr>
              <w:t>开标</w:t>
            </w:r>
            <w:r>
              <w:rPr>
                <w:rFonts w:hint="eastAsia" w:ascii="宋体" w:hAnsi="宋体" w:cs="宋体"/>
                <w:kern w:val="0"/>
                <w:szCs w:val="21"/>
              </w:rPr>
              <w:t>时</w:t>
            </w:r>
            <w:r>
              <w:rPr>
                <w:rFonts w:ascii="宋体" w:hAnsi="宋体" w:cs="宋体"/>
                <w:kern w:val="0"/>
                <w:szCs w:val="21"/>
              </w:rPr>
              <w:t>在监督部门的监督下</w:t>
            </w:r>
            <w:r>
              <w:rPr>
                <w:rFonts w:hint="eastAsia"/>
              </w:rPr>
              <w:t>从《河南省综合专家库》中采用电脑随机抽签方式确定,</w:t>
            </w:r>
            <w:r>
              <w:rPr>
                <w:rFonts w:ascii="宋体" w:hAnsi="宋体" w:cs="宋体"/>
                <w:kern w:val="0"/>
                <w:szCs w:val="21"/>
              </w:rPr>
              <w:t>负责评标活动。</w:t>
            </w:r>
          </w:p>
          <w:p>
            <w:pPr>
              <w:autoSpaceDE w:val="0"/>
              <w:autoSpaceDN w:val="0"/>
              <w:adjustRightInd w:val="0"/>
              <w:spacing w:line="320" w:lineRule="exact"/>
              <w:ind w:right="-34" w:rightChars="-16"/>
              <w:rPr>
                <w:rFonts w:ascii="宋体" w:hAnsi="宋体"/>
                <w:kern w:val="0"/>
                <w:szCs w:val="21"/>
              </w:rPr>
            </w:pPr>
            <w:r>
              <w:rPr>
                <w:sz w:val="32"/>
              </w:rPr>
              <w:t>□</w:t>
            </w:r>
            <w:r>
              <w:rPr>
                <w:rFonts w:hint="eastAsia"/>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20" w:type="dxa"/>
            <w:vAlign w:val="center"/>
          </w:tcPr>
          <w:p>
            <w:pPr>
              <w:adjustRightInd w:val="0"/>
              <w:snapToGrid w:val="0"/>
              <w:spacing w:line="400" w:lineRule="exact"/>
              <w:jc w:val="center"/>
              <w:rPr>
                <w:szCs w:val="21"/>
              </w:rPr>
            </w:pPr>
            <w:r>
              <w:rPr>
                <w:rFonts w:hint="eastAsia"/>
                <w:szCs w:val="21"/>
              </w:rPr>
              <w:t>6.3.4</w:t>
            </w:r>
          </w:p>
        </w:tc>
        <w:tc>
          <w:tcPr>
            <w:tcW w:w="2278" w:type="dxa"/>
            <w:gridSpan w:val="2"/>
            <w:vAlign w:val="center"/>
          </w:tcPr>
          <w:p>
            <w:pPr>
              <w:adjustRightInd w:val="0"/>
              <w:snapToGrid w:val="0"/>
              <w:spacing w:line="400" w:lineRule="exact"/>
              <w:jc w:val="center"/>
              <w:rPr>
                <w:szCs w:val="21"/>
              </w:rPr>
            </w:pPr>
            <w:r>
              <w:rPr>
                <w:rFonts w:hint="eastAsia"/>
                <w:szCs w:val="21"/>
              </w:rPr>
              <w:t>本次评标采用的评标方法</w:t>
            </w:r>
          </w:p>
        </w:tc>
        <w:tc>
          <w:tcPr>
            <w:tcW w:w="6651" w:type="dxa"/>
            <w:vAlign w:val="center"/>
          </w:tcPr>
          <w:p>
            <w:pPr>
              <w:adjustRightInd w:val="0"/>
              <w:snapToGrid w:val="0"/>
              <w:spacing w:line="400" w:lineRule="exact"/>
            </w:pPr>
            <w:r>
              <w:rPr>
                <w:sz w:val="32"/>
              </w:rPr>
              <w:sym w:font="Wingdings" w:char="00A8"/>
            </w:r>
            <w:r>
              <w:rPr>
                <w:rFonts w:hint="eastAsia"/>
              </w:rPr>
              <w:t xml:space="preserve">综合评估法      </w:t>
            </w:r>
            <w:r>
              <w:rPr>
                <w:sz w:val="32"/>
              </w:rPr>
              <w:sym w:font="Wingdings" w:char="F0FE"/>
            </w:r>
            <w:r>
              <w:rPr>
                <w:rFonts w:hint="eastAsia"/>
              </w:rPr>
              <w:t>合理低价法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820" w:type="dxa"/>
            <w:vAlign w:val="center"/>
          </w:tcPr>
          <w:p>
            <w:pPr>
              <w:adjustRightInd w:val="0"/>
              <w:snapToGrid w:val="0"/>
              <w:spacing w:line="400" w:lineRule="exact"/>
              <w:jc w:val="center"/>
            </w:pPr>
            <w:r>
              <w:rPr>
                <w:rFonts w:hint="eastAsia"/>
              </w:rPr>
              <w:t>6.3.5</w:t>
            </w:r>
          </w:p>
          <w:p>
            <w:pPr>
              <w:pStyle w:val="2"/>
              <w:ind w:left="63" w:right="63" w:firstLine="400"/>
            </w:pPr>
          </w:p>
        </w:tc>
        <w:tc>
          <w:tcPr>
            <w:tcW w:w="2278" w:type="dxa"/>
            <w:gridSpan w:val="2"/>
            <w:vAlign w:val="center"/>
          </w:tcPr>
          <w:p>
            <w:pPr>
              <w:adjustRightInd w:val="0"/>
              <w:snapToGrid w:val="0"/>
              <w:spacing w:line="300" w:lineRule="exact"/>
              <w:jc w:val="center"/>
              <w:rPr>
                <w:szCs w:val="21"/>
              </w:rPr>
            </w:pPr>
            <w:r>
              <w:rPr>
                <w:rFonts w:hint="eastAsia"/>
                <w:szCs w:val="21"/>
              </w:rPr>
              <w:t>评标方式</w:t>
            </w:r>
          </w:p>
        </w:tc>
        <w:tc>
          <w:tcPr>
            <w:tcW w:w="6651" w:type="dxa"/>
            <w:vAlign w:val="center"/>
          </w:tcPr>
          <w:p>
            <w:pPr>
              <w:adjustRightInd w:val="0"/>
              <w:snapToGrid w:val="0"/>
              <w:spacing w:line="300" w:lineRule="exact"/>
            </w:pPr>
            <w:r>
              <w:rPr>
                <w:rFonts w:hint="eastAsia"/>
              </w:rPr>
              <w:sym w:font="Wingdings" w:char="00A8"/>
            </w:r>
            <w:r>
              <w:rPr>
                <w:rFonts w:hint="eastAsia"/>
              </w:rPr>
              <w:t>网络电子评标（电子评标过程中当出现突发情况，导致系统无法正常运行且短时间内无法修复时，经监督部门同意，可根据实际情况相应延迟评标时间）</w:t>
            </w:r>
          </w:p>
          <w:p>
            <w:pPr>
              <w:adjustRightInd w:val="0"/>
              <w:snapToGrid w:val="0"/>
              <w:spacing w:line="300" w:lineRule="exact"/>
            </w:pPr>
            <w:r>
              <w:rPr>
                <w:rFonts w:hint="eastAsia"/>
              </w:rPr>
              <w:t>□纸质评标</w:t>
            </w:r>
          </w:p>
          <w:p>
            <w:pPr>
              <w:adjustRightInd w:val="0"/>
              <w:snapToGrid w:val="0"/>
              <w:spacing w:line="300" w:lineRule="exact"/>
            </w:pPr>
            <w:r>
              <w:rPr>
                <w:rFonts w:hint="eastAsia"/>
              </w:rPr>
              <w:t>☑远程网络电子评标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20" w:type="dxa"/>
            <w:tcBorders>
              <w:top w:val="nil"/>
            </w:tcBorders>
            <w:vAlign w:val="center"/>
          </w:tcPr>
          <w:p>
            <w:pPr>
              <w:autoSpaceDE w:val="0"/>
              <w:autoSpaceDN w:val="0"/>
              <w:adjustRightInd w:val="0"/>
              <w:spacing w:line="320" w:lineRule="exact"/>
              <w:ind w:right="-34" w:rightChars="-16"/>
              <w:jc w:val="center"/>
              <w:rPr>
                <w:rFonts w:ascii="宋体" w:hAnsi="宋体"/>
                <w:kern w:val="0"/>
                <w:szCs w:val="21"/>
              </w:rPr>
            </w:pPr>
            <w:r>
              <w:rPr>
                <w:rFonts w:ascii="宋体" w:hAnsi="宋体"/>
                <w:kern w:val="0"/>
                <w:szCs w:val="21"/>
              </w:rPr>
              <w:t>7.1</w:t>
            </w:r>
          </w:p>
        </w:tc>
        <w:tc>
          <w:tcPr>
            <w:tcW w:w="2278" w:type="dxa"/>
            <w:gridSpan w:val="2"/>
            <w:vAlign w:val="center"/>
          </w:tcPr>
          <w:p>
            <w:pPr>
              <w:autoSpaceDE w:val="0"/>
              <w:autoSpaceDN w:val="0"/>
              <w:adjustRightInd w:val="0"/>
              <w:spacing w:line="300" w:lineRule="exact"/>
              <w:ind w:right="-34" w:rightChars="-16"/>
              <w:jc w:val="center"/>
              <w:rPr>
                <w:rFonts w:ascii="宋体" w:hAnsi="宋体"/>
                <w:kern w:val="0"/>
                <w:szCs w:val="21"/>
              </w:rPr>
            </w:pPr>
            <w:r>
              <w:rPr>
                <w:rFonts w:hint="eastAsia" w:ascii="宋体" w:hAnsi="宋体"/>
                <w:kern w:val="0"/>
                <w:szCs w:val="21"/>
              </w:rPr>
              <w:t>是否授权评标委员会确定中标人</w:t>
            </w:r>
          </w:p>
        </w:tc>
        <w:tc>
          <w:tcPr>
            <w:tcW w:w="6651" w:type="dxa"/>
            <w:tcBorders>
              <w:top w:val="nil"/>
            </w:tcBorders>
            <w:vAlign w:val="center"/>
          </w:tcPr>
          <w:p>
            <w:pPr>
              <w:spacing w:line="300" w:lineRule="exact"/>
              <w:ind w:right="-34" w:rightChars="-16"/>
              <w:rPr>
                <w:rFonts w:ascii="宋体" w:hAnsi="宋体"/>
                <w:kern w:val="0"/>
                <w:szCs w:val="21"/>
              </w:rPr>
            </w:pPr>
            <w:r>
              <w:rPr>
                <w:rFonts w:ascii="宋体" w:hAnsi="宋体"/>
                <w:kern w:val="0"/>
                <w:szCs w:val="21"/>
              </w:rPr>
              <w:sym w:font="Wingdings" w:char="00A8"/>
            </w:r>
            <w:r>
              <w:rPr>
                <w:rFonts w:hint="eastAsia" w:ascii="宋体" w:hAnsi="宋体"/>
                <w:kern w:val="0"/>
                <w:szCs w:val="21"/>
              </w:rPr>
              <w:t>是</w:t>
            </w:r>
          </w:p>
          <w:p>
            <w:pPr>
              <w:spacing w:line="300" w:lineRule="exact"/>
              <w:ind w:right="-34" w:rightChars="-16"/>
              <w:rPr>
                <w:rFonts w:ascii="宋体" w:hAnsi="宋体"/>
                <w:szCs w:val="21"/>
              </w:rPr>
            </w:pPr>
            <w:r>
              <w:rPr>
                <w:rFonts w:hint="eastAsia"/>
              </w:rPr>
              <w:t>☑</w:t>
            </w:r>
            <w:r>
              <w:rPr>
                <w:rFonts w:hint="eastAsia" w:ascii="宋体" w:hAnsi="宋体"/>
                <w:kern w:val="0"/>
                <w:szCs w:val="21"/>
              </w:rPr>
              <w:t>否 ，推荐的中标候选人数：</w:t>
            </w:r>
            <w:r>
              <w:rPr>
                <w:rFonts w:hint="eastAsia" w:ascii="宋体" w:hAnsi="宋体"/>
                <w:szCs w:val="21"/>
              </w:rPr>
              <w:t>推荐</w:t>
            </w:r>
            <w:r>
              <w:rPr>
                <w:rFonts w:hint="eastAsia" w:ascii="宋体" w:hAnsi="宋体"/>
                <w:szCs w:val="21"/>
                <w:u w:val="single"/>
                <w:lang w:val="en-US" w:eastAsia="zh-CN"/>
              </w:rPr>
              <w:t>1</w:t>
            </w:r>
            <w:r>
              <w:rPr>
                <w:rFonts w:hint="eastAsia" w:ascii="宋体" w:hAnsi="宋体"/>
                <w:szCs w:val="21"/>
                <w:u w:val="single"/>
              </w:rPr>
              <w:t xml:space="preserve"> 名</w:t>
            </w:r>
            <w:r>
              <w:rPr>
                <w:rFonts w:hint="eastAsia" w:ascii="宋体" w:hAnsi="宋体"/>
                <w:szCs w:val="21"/>
              </w:rPr>
              <w:t xml:space="preserve">中标候选人。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7.</w:t>
            </w:r>
            <w:r>
              <w:rPr>
                <w:rFonts w:hint="eastAsia" w:ascii="宋体" w:hAnsi="宋体"/>
                <w:kern w:val="0"/>
                <w:szCs w:val="21"/>
                <w:lang w:val="en-US" w:eastAsia="zh-CN"/>
              </w:rPr>
              <w:t>6</w:t>
            </w:r>
            <w:r>
              <w:rPr>
                <w:rFonts w:hint="eastAsia" w:ascii="宋体" w:hAnsi="宋体"/>
                <w:kern w:val="0"/>
                <w:szCs w:val="21"/>
              </w:rPr>
              <w:t>.1</w:t>
            </w:r>
          </w:p>
        </w:tc>
        <w:tc>
          <w:tcPr>
            <w:tcW w:w="2278" w:type="dxa"/>
            <w:gridSpan w:val="2"/>
            <w:vAlign w:val="center"/>
          </w:tcPr>
          <w:p>
            <w:pPr>
              <w:autoSpaceDE w:val="0"/>
              <w:autoSpaceDN w:val="0"/>
              <w:adjustRightInd w:val="0"/>
              <w:spacing w:line="300" w:lineRule="exact"/>
              <w:ind w:right="-34" w:rightChars="-16"/>
              <w:jc w:val="center"/>
              <w:rPr>
                <w:rFonts w:ascii="宋体" w:hAnsi="宋体"/>
                <w:kern w:val="0"/>
                <w:szCs w:val="21"/>
              </w:rPr>
            </w:pPr>
            <w:r>
              <w:rPr>
                <w:rFonts w:hint="eastAsia" w:ascii="宋体" w:hAnsi="宋体"/>
                <w:kern w:val="0"/>
                <w:szCs w:val="21"/>
              </w:rPr>
              <w:t>履约保证金</w:t>
            </w:r>
          </w:p>
        </w:tc>
        <w:tc>
          <w:tcPr>
            <w:tcW w:w="6651" w:type="dxa"/>
            <w:vAlign w:val="center"/>
          </w:tcPr>
          <w:p>
            <w:pPr>
              <w:autoSpaceDE w:val="0"/>
              <w:autoSpaceDN w:val="0"/>
              <w:adjustRightInd w:val="0"/>
              <w:spacing w:line="320" w:lineRule="exact"/>
              <w:ind w:right="-34" w:rightChars="-16"/>
              <w:rPr>
                <w:rFonts w:ascii="宋体" w:hAnsi="宋体" w:cs="宋体"/>
                <w:kern w:val="0"/>
                <w:szCs w:val="21"/>
              </w:rPr>
            </w:pPr>
            <w:r>
              <w:rPr>
                <w:rFonts w:hint="eastAsia" w:ascii="宋体" w:hAnsi="宋体" w:cs="宋体"/>
                <w:kern w:val="0"/>
                <w:szCs w:val="21"/>
              </w:rPr>
              <w:t>是否要求中标人提供履约保证金：</w:t>
            </w:r>
          </w:p>
          <w:p>
            <w:pPr>
              <w:autoSpaceDE w:val="0"/>
              <w:autoSpaceDN w:val="0"/>
              <w:adjustRightInd w:val="0"/>
              <w:spacing w:line="320" w:lineRule="exact"/>
              <w:ind w:right="-34" w:rightChars="-16"/>
              <w:rPr>
                <w:rFonts w:ascii="宋体" w:hAnsi="宋体" w:cs="宋体"/>
                <w:kern w:val="0"/>
                <w:szCs w:val="21"/>
              </w:rPr>
            </w:pPr>
            <w:r>
              <w:rPr>
                <w:rFonts w:hint="eastAsia" w:ascii="宋体" w:hAnsi="宋体" w:cs="宋体"/>
                <w:kern w:val="0"/>
                <w:szCs w:val="21"/>
                <w:lang w:eastAsia="zh-CN"/>
              </w:rPr>
              <w:t>☑</w:t>
            </w:r>
            <w:r>
              <w:rPr>
                <w:rFonts w:hint="eastAsia" w:ascii="宋体" w:hAnsi="宋体" w:cs="宋体"/>
                <w:kern w:val="0"/>
                <w:szCs w:val="21"/>
              </w:rPr>
              <w:t xml:space="preserve">要求提供 </w:t>
            </w:r>
          </w:p>
          <w:p>
            <w:pPr>
              <w:autoSpaceDE w:val="0"/>
              <w:autoSpaceDN w:val="0"/>
              <w:adjustRightInd w:val="0"/>
              <w:spacing w:line="320" w:lineRule="exact"/>
              <w:ind w:right="-34" w:rightChars="-16"/>
              <w:rPr>
                <w:rFonts w:ascii="宋体" w:hAnsi="宋体" w:cs="宋体"/>
                <w:kern w:val="0"/>
                <w:szCs w:val="21"/>
              </w:rPr>
            </w:pPr>
            <w:r>
              <w:rPr>
                <w:rFonts w:hint="eastAsia" w:ascii="宋体" w:hAnsi="宋体" w:cs="宋体"/>
                <w:kern w:val="0"/>
                <w:szCs w:val="21"/>
              </w:rPr>
              <w:t>履约保证金的形式：现金转账或履约保函；</w:t>
            </w:r>
          </w:p>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履约保证金额：中标价的</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3</w:t>
            </w:r>
            <w:r>
              <w:rPr>
                <w:rFonts w:hint="eastAsia" w:ascii="宋体" w:hAnsi="宋体" w:cs="宋体"/>
                <w:kern w:val="0"/>
                <w:szCs w:val="21"/>
                <w:u w:val="single"/>
              </w:rPr>
              <w:t xml:space="preserve"> </w:t>
            </w:r>
            <w:r>
              <w:rPr>
                <w:rFonts w:hint="eastAsia" w:ascii="宋体" w:hAnsi="宋体" w:cs="宋体"/>
                <w:kern w:val="0"/>
                <w:szCs w:val="21"/>
              </w:rPr>
              <w:t xml:space="preserve">% </w:t>
            </w:r>
          </w:p>
          <w:p>
            <w:pPr>
              <w:autoSpaceDE w:val="0"/>
              <w:autoSpaceDN w:val="0"/>
              <w:adjustRightInd w:val="0"/>
              <w:spacing w:line="320" w:lineRule="exact"/>
              <w:ind w:right="-34" w:rightChars="-16"/>
              <w:rPr>
                <w:rFonts w:hint="eastAsia" w:ascii="宋体" w:hAnsi="宋体" w:eastAsia="宋体" w:cs="宋体"/>
                <w:kern w:val="0"/>
                <w:szCs w:val="21"/>
              </w:rPr>
            </w:pPr>
            <w:r>
              <w:rPr>
                <w:rFonts w:hint="eastAsia" w:ascii="宋体" w:hAnsi="宋体" w:eastAsia="宋体" w:cs="宋体"/>
                <w:kern w:val="0"/>
                <w:szCs w:val="21"/>
              </w:rPr>
              <w:t>履约保证金递交时间：招标人确定中标人后，中标人应在接到招标人通知后5日内，将履约保证金打入招标人指定账户或按照招标文件要求的形式提交其他保证。逾期未缴纳的取消其中标资格。</w:t>
            </w:r>
          </w:p>
          <w:p>
            <w:pPr>
              <w:autoSpaceDE w:val="0"/>
              <w:autoSpaceDN w:val="0"/>
              <w:adjustRightInd w:val="0"/>
              <w:spacing w:line="300" w:lineRule="exact"/>
              <w:ind w:right="-34" w:rightChars="-16"/>
              <w:rPr>
                <w:rFonts w:ascii="宋体" w:hAnsi="宋体"/>
                <w:kern w:val="0"/>
                <w:szCs w:val="21"/>
              </w:rPr>
            </w:pPr>
            <w:r>
              <w:rPr>
                <w:rFonts w:hint="eastAsia" w:ascii="宋体" w:hAnsi="宋体" w:cs="宋体"/>
                <w:kern w:val="0"/>
                <w:szCs w:val="21"/>
                <w:lang w:eastAsia="zh-CN"/>
              </w:rPr>
              <w:t>□</w:t>
            </w:r>
            <w:r>
              <w:rPr>
                <w:rFonts w:hint="eastAsia" w:ascii="宋体" w:hAnsi="宋体" w:cs="宋体"/>
                <w:kern w:val="0"/>
                <w:szCs w:val="21"/>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820" w:type="dxa"/>
            <w:vAlign w:val="center"/>
          </w:tcPr>
          <w:p>
            <w:pPr>
              <w:autoSpaceDE w:val="0"/>
              <w:autoSpaceDN w:val="0"/>
              <w:adjustRightInd w:val="0"/>
              <w:spacing w:line="320" w:lineRule="exact"/>
              <w:ind w:right="-34" w:rightChars="-16"/>
              <w:jc w:val="center"/>
              <w:rPr>
                <w:rFonts w:hint="default" w:ascii="宋体" w:hAnsi="宋体" w:eastAsia="宋体"/>
                <w:kern w:val="0"/>
                <w:szCs w:val="21"/>
                <w:lang w:val="en-US" w:eastAsia="zh-CN"/>
              </w:rPr>
            </w:pPr>
            <w:r>
              <w:rPr>
                <w:rFonts w:hint="eastAsia" w:ascii="宋体" w:hAnsi="宋体"/>
                <w:kern w:val="0"/>
                <w:szCs w:val="21"/>
                <w:lang w:val="en-US" w:eastAsia="zh-CN"/>
              </w:rPr>
              <w:t>7.6.2</w:t>
            </w:r>
          </w:p>
        </w:tc>
        <w:tc>
          <w:tcPr>
            <w:tcW w:w="2278" w:type="dxa"/>
            <w:gridSpan w:val="2"/>
            <w:vAlign w:val="center"/>
          </w:tcPr>
          <w:p>
            <w:pPr>
              <w:spacing w:line="360" w:lineRule="auto"/>
              <w:jc w:val="center"/>
              <w:rPr>
                <w:rFonts w:hint="eastAsia" w:ascii="宋体" w:hAnsi="宋体"/>
                <w:kern w:val="0"/>
                <w:szCs w:val="21"/>
              </w:rPr>
            </w:pPr>
            <w:r>
              <w:rPr>
                <w:rFonts w:hint="eastAsia" w:ascii="宋体" w:hAnsi="宋体" w:cs="宋体"/>
                <w:bCs/>
                <w:color w:val="auto"/>
                <w:szCs w:val="21"/>
                <w:highlight w:val="none"/>
              </w:rPr>
              <w:t>农民工工资保证金</w:t>
            </w:r>
          </w:p>
        </w:tc>
        <w:tc>
          <w:tcPr>
            <w:tcW w:w="6651" w:type="dxa"/>
            <w:vAlign w:val="center"/>
          </w:tcPr>
          <w:p>
            <w:pPr>
              <w:autoSpaceDE w:val="0"/>
              <w:autoSpaceDN w:val="0"/>
              <w:adjustRightInd w:val="0"/>
              <w:spacing w:line="320" w:lineRule="exact"/>
              <w:ind w:right="-34" w:rightChars="-16"/>
              <w:rPr>
                <w:rFonts w:hint="eastAsia" w:ascii="宋体" w:hAnsi="宋体" w:eastAsia="宋体" w:cs="宋体"/>
                <w:kern w:val="0"/>
                <w:szCs w:val="21"/>
              </w:rPr>
            </w:pPr>
            <w:r>
              <w:rPr>
                <w:rFonts w:hint="eastAsia" w:ascii="宋体" w:hAnsi="宋体" w:eastAsia="宋体" w:cs="宋体"/>
                <w:kern w:val="0"/>
                <w:szCs w:val="21"/>
              </w:rPr>
              <w:t>是否要求中标人提供农民工工资保证金：</w:t>
            </w:r>
          </w:p>
          <w:p>
            <w:pPr>
              <w:autoSpaceDE w:val="0"/>
              <w:autoSpaceDN w:val="0"/>
              <w:adjustRightInd w:val="0"/>
              <w:spacing w:line="320" w:lineRule="exact"/>
              <w:ind w:right="-34" w:rightChars="-16"/>
              <w:rPr>
                <w:rFonts w:hint="eastAsia" w:ascii="宋体" w:hAnsi="宋体" w:eastAsia="宋体" w:cs="宋体"/>
                <w:kern w:val="0"/>
                <w:szCs w:val="21"/>
              </w:rPr>
            </w:pPr>
            <w:r>
              <w:rPr>
                <w:rFonts w:hint="eastAsia" w:ascii="宋体" w:hAnsi="宋体" w:eastAsia="宋体" w:cs="宋体"/>
                <w:kern w:val="0"/>
                <w:szCs w:val="21"/>
              </w:rPr>
              <w:t>☑要求提供（根据人社厅函〔2022〕99号文规定执行）</w:t>
            </w:r>
          </w:p>
          <w:p>
            <w:pPr>
              <w:autoSpaceDE w:val="0"/>
              <w:autoSpaceDN w:val="0"/>
              <w:adjustRightInd w:val="0"/>
              <w:spacing w:line="320" w:lineRule="exact"/>
              <w:ind w:right="-34" w:rightChars="-16"/>
              <w:rPr>
                <w:rFonts w:hint="eastAsia" w:ascii="宋体" w:hAnsi="宋体" w:eastAsia="宋体" w:cs="宋体"/>
                <w:kern w:val="0"/>
                <w:szCs w:val="21"/>
              </w:rPr>
            </w:pPr>
            <w:r>
              <w:rPr>
                <w:rFonts w:hint="eastAsia" w:ascii="宋体" w:hAnsi="宋体" w:eastAsia="宋体" w:cs="宋体"/>
                <w:kern w:val="0"/>
                <w:szCs w:val="21"/>
              </w:rPr>
              <w:t>农民工工资保证金的形式：转账或保函</w:t>
            </w:r>
          </w:p>
          <w:p>
            <w:pPr>
              <w:autoSpaceDE w:val="0"/>
              <w:autoSpaceDN w:val="0"/>
              <w:adjustRightInd w:val="0"/>
              <w:spacing w:line="320" w:lineRule="exact"/>
              <w:ind w:right="-34" w:rightChars="-16"/>
              <w:rPr>
                <w:rFonts w:hint="eastAsia" w:ascii="宋体" w:hAnsi="宋体" w:eastAsia="宋体" w:cs="宋体"/>
                <w:kern w:val="0"/>
                <w:szCs w:val="21"/>
              </w:rPr>
            </w:pPr>
            <w:r>
              <w:rPr>
                <w:rFonts w:hint="eastAsia" w:ascii="宋体" w:hAnsi="宋体" w:eastAsia="宋体" w:cs="宋体"/>
                <w:kern w:val="0"/>
                <w:szCs w:val="21"/>
                <w:lang w:eastAsia="zh-CN"/>
              </w:rPr>
              <w:t>中标</w:t>
            </w:r>
            <w:r>
              <w:rPr>
                <w:rFonts w:hint="eastAsia" w:ascii="宋体" w:hAnsi="宋体" w:eastAsia="宋体" w:cs="宋体"/>
                <w:kern w:val="0"/>
                <w:szCs w:val="21"/>
              </w:rPr>
              <w:t>人需按中标总价的2%向有关单位交纳农民工工资保障金，对一定时期内发生工资拖欠的企业可适当提高缴存比例，并承诺一旦出现拖欠农民工工资情形的，由招标人申请有关部门从其工资保障金中先予划支；若拖欠农民工工资超过农民工工资保障金，建设单位将直接从工程款中扣除。</w:t>
            </w:r>
          </w:p>
          <w:p>
            <w:pPr>
              <w:autoSpaceDE w:val="0"/>
              <w:autoSpaceDN w:val="0"/>
              <w:adjustRightInd w:val="0"/>
              <w:spacing w:line="320" w:lineRule="exact"/>
              <w:ind w:right="-34" w:rightChars="-16"/>
              <w:rPr>
                <w:rFonts w:hint="eastAsia"/>
                <w:lang w:eastAsia="zh-CN"/>
              </w:rPr>
            </w:pPr>
            <w:r>
              <w:rPr>
                <w:rFonts w:hint="eastAsia" w:ascii="宋体" w:hAnsi="宋体" w:eastAsia="宋体" w:cs="宋体"/>
                <w:kern w:val="0"/>
                <w:szCs w:val="21"/>
                <w:lang w:eastAsia="zh-CN"/>
              </w:rPr>
              <w:t>□</w:t>
            </w:r>
            <w:r>
              <w:rPr>
                <w:rFonts w:hint="eastAsia" w:ascii="宋体" w:hAnsi="宋体" w:eastAsia="宋体" w:cs="宋体"/>
                <w:kern w:val="0"/>
                <w:szCs w:val="21"/>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749" w:type="dxa"/>
            <w:gridSpan w:val="4"/>
            <w:vAlign w:val="center"/>
          </w:tcPr>
          <w:p>
            <w:pPr>
              <w:autoSpaceDE w:val="0"/>
              <w:autoSpaceDN w:val="0"/>
              <w:adjustRightInd w:val="0"/>
              <w:spacing w:line="300" w:lineRule="exact"/>
              <w:ind w:right="-34" w:rightChars="-16"/>
              <w:rPr>
                <w:rFonts w:ascii="宋体" w:hAnsi="宋体" w:cs="仿宋_GB2312"/>
                <w:kern w:val="0"/>
                <w:szCs w:val="21"/>
              </w:rPr>
            </w:pPr>
            <w:r>
              <w:rPr>
                <w:rFonts w:hint="eastAsia" w:ascii="黑体" w:eastAsia="黑体"/>
                <w:szCs w:val="21"/>
              </w:rPr>
              <w:t>10. 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749" w:type="dxa"/>
            <w:gridSpan w:val="4"/>
            <w:vAlign w:val="center"/>
          </w:tcPr>
          <w:p>
            <w:pPr>
              <w:autoSpaceDE w:val="0"/>
              <w:autoSpaceDN w:val="0"/>
              <w:adjustRightInd w:val="0"/>
              <w:spacing w:line="300" w:lineRule="exact"/>
              <w:ind w:right="-34" w:rightChars="-16"/>
              <w:rPr>
                <w:rFonts w:ascii="宋体" w:hAnsi="宋体" w:cs="仿宋_GB2312"/>
                <w:kern w:val="0"/>
                <w:szCs w:val="21"/>
              </w:rPr>
            </w:pPr>
            <w:r>
              <w:rPr>
                <w:rFonts w:hint="eastAsia"/>
                <w:szCs w:val="21"/>
              </w:rPr>
              <w:t>10.1 词语定义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820" w:type="dxa"/>
            <w:vAlign w:val="center"/>
          </w:tcPr>
          <w:p>
            <w:pPr>
              <w:adjustRightInd w:val="0"/>
              <w:snapToGrid w:val="0"/>
              <w:spacing w:line="400" w:lineRule="exact"/>
              <w:jc w:val="center"/>
              <w:rPr>
                <w:szCs w:val="21"/>
              </w:rPr>
            </w:pPr>
            <w:r>
              <w:rPr>
                <w:rFonts w:hint="eastAsia"/>
                <w:szCs w:val="21"/>
              </w:rPr>
              <w:t>10.1.1</w:t>
            </w:r>
          </w:p>
        </w:tc>
        <w:tc>
          <w:tcPr>
            <w:tcW w:w="2278" w:type="dxa"/>
            <w:gridSpan w:val="2"/>
            <w:vAlign w:val="center"/>
          </w:tcPr>
          <w:p>
            <w:pPr>
              <w:adjustRightInd w:val="0"/>
              <w:snapToGrid w:val="0"/>
              <w:spacing w:line="300" w:lineRule="exact"/>
              <w:jc w:val="center"/>
              <w:rPr>
                <w:szCs w:val="21"/>
              </w:rPr>
            </w:pPr>
            <w:r>
              <w:rPr>
                <w:rFonts w:hint="eastAsia"/>
                <w:szCs w:val="21"/>
              </w:rPr>
              <w:t>类似项目</w:t>
            </w:r>
          </w:p>
        </w:tc>
        <w:tc>
          <w:tcPr>
            <w:tcW w:w="6651" w:type="dxa"/>
            <w:vAlign w:val="center"/>
          </w:tcPr>
          <w:p>
            <w:pPr>
              <w:spacing w:line="300" w:lineRule="exact"/>
              <w:jc w:val="left"/>
              <w:rPr>
                <w:szCs w:val="21"/>
              </w:rPr>
            </w:pPr>
            <w:r>
              <w:rPr>
                <w:rFonts w:hint="eastAsia" w:ascii="宋体" w:hAnsi="宋体" w:cs="宋体"/>
                <w:szCs w:val="21"/>
              </w:rPr>
              <w:t>类似项目是指：</w:t>
            </w:r>
            <w:r>
              <w:rPr>
                <w:rFonts w:hint="eastAsia"/>
                <w:szCs w:val="21"/>
              </w:rPr>
              <w:t>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20" w:type="dxa"/>
            <w:vAlign w:val="center"/>
          </w:tcPr>
          <w:p>
            <w:pPr>
              <w:adjustRightInd w:val="0"/>
              <w:snapToGrid w:val="0"/>
              <w:spacing w:line="400" w:lineRule="exact"/>
              <w:jc w:val="center"/>
              <w:rPr>
                <w:szCs w:val="21"/>
              </w:rPr>
            </w:pPr>
            <w:r>
              <w:rPr>
                <w:rFonts w:hint="eastAsia"/>
                <w:szCs w:val="21"/>
              </w:rPr>
              <w:t>10.1.2</w:t>
            </w:r>
          </w:p>
        </w:tc>
        <w:tc>
          <w:tcPr>
            <w:tcW w:w="2278" w:type="dxa"/>
            <w:gridSpan w:val="2"/>
            <w:vAlign w:val="center"/>
          </w:tcPr>
          <w:p>
            <w:pPr>
              <w:adjustRightInd w:val="0"/>
              <w:snapToGrid w:val="0"/>
              <w:spacing w:line="300" w:lineRule="exact"/>
              <w:jc w:val="center"/>
              <w:rPr>
                <w:szCs w:val="21"/>
              </w:rPr>
            </w:pPr>
            <w:r>
              <w:rPr>
                <w:rFonts w:hint="eastAsia"/>
                <w:szCs w:val="21"/>
              </w:rPr>
              <w:t>不良行为记录</w:t>
            </w:r>
          </w:p>
        </w:tc>
        <w:tc>
          <w:tcPr>
            <w:tcW w:w="6651" w:type="dxa"/>
            <w:vAlign w:val="center"/>
          </w:tcPr>
          <w:p>
            <w:pPr>
              <w:adjustRightInd w:val="0"/>
              <w:snapToGrid w:val="0"/>
              <w:spacing w:line="300" w:lineRule="exact"/>
              <w:rPr>
                <w:szCs w:val="21"/>
              </w:rPr>
            </w:pPr>
            <w:r>
              <w:rPr>
                <w:rFonts w:ascii="宋体" w:hAnsi="宋体" w:cs="宋体"/>
                <w:spacing w:val="2"/>
                <w:szCs w:val="21"/>
              </w:rPr>
              <w:t>不良行为记录是指：（</w:t>
            </w:r>
            <w:r>
              <w:rPr>
                <w:rFonts w:eastAsia="Times New Roman"/>
                <w:spacing w:val="2"/>
                <w:szCs w:val="21"/>
              </w:rPr>
              <w:t>1</w:t>
            </w:r>
            <w:r>
              <w:rPr>
                <w:rFonts w:ascii="宋体" w:hAnsi="宋体" w:cs="宋体"/>
                <w:spacing w:val="2"/>
                <w:szCs w:val="21"/>
              </w:rPr>
              <w:t>）有质量或安全事故通报的；（</w:t>
            </w:r>
            <w:r>
              <w:rPr>
                <w:rFonts w:eastAsia="Times New Roman"/>
                <w:spacing w:val="2"/>
                <w:szCs w:val="21"/>
              </w:rPr>
              <w:t>2</w:t>
            </w:r>
            <w:r>
              <w:rPr>
                <w:rFonts w:ascii="宋体" w:hAnsi="宋体" w:cs="宋体"/>
                <w:spacing w:val="2"/>
                <w:szCs w:val="21"/>
              </w:rPr>
              <w:t>）投标</w:t>
            </w:r>
            <w:r>
              <w:rPr>
                <w:rFonts w:ascii="宋体" w:hAnsi="宋体" w:cs="宋体"/>
                <w:szCs w:val="21"/>
              </w:rPr>
              <w:t>活动中有违规行为的；（</w:t>
            </w:r>
            <w:r>
              <w:rPr>
                <w:rFonts w:eastAsia="Times New Roman"/>
                <w:szCs w:val="21"/>
              </w:rPr>
              <w:t>3</w:t>
            </w:r>
            <w:r>
              <w:rPr>
                <w:rFonts w:ascii="宋体" w:hAnsi="宋体" w:cs="宋体"/>
                <w:szCs w:val="21"/>
              </w:rPr>
              <w:t>）企业或拟任项目经理有不良行为记录等情况的。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3098" w:type="dxa"/>
            <w:gridSpan w:val="3"/>
            <w:tcBorders>
              <w:right w:val="nil"/>
            </w:tcBorders>
            <w:vAlign w:val="center"/>
          </w:tcPr>
          <w:p>
            <w:pPr>
              <w:autoSpaceDE w:val="0"/>
              <w:autoSpaceDN w:val="0"/>
              <w:adjustRightInd w:val="0"/>
              <w:spacing w:line="300" w:lineRule="exact"/>
              <w:ind w:right="-34" w:rightChars="-16"/>
              <w:rPr>
                <w:rFonts w:ascii="宋体" w:hAnsi="宋体"/>
                <w:kern w:val="0"/>
                <w:szCs w:val="21"/>
              </w:rPr>
            </w:pPr>
            <w:r>
              <w:rPr>
                <w:rFonts w:hint="eastAsia"/>
                <w:szCs w:val="21"/>
              </w:rPr>
              <w:t>10.2  招标控制价</w:t>
            </w:r>
          </w:p>
        </w:tc>
        <w:tc>
          <w:tcPr>
            <w:tcW w:w="6651" w:type="dxa"/>
            <w:tcBorders>
              <w:left w:val="nil"/>
            </w:tcBorders>
            <w:vAlign w:val="center"/>
          </w:tcPr>
          <w:p>
            <w:pPr>
              <w:autoSpaceDE w:val="0"/>
              <w:autoSpaceDN w:val="0"/>
              <w:adjustRightInd w:val="0"/>
              <w:spacing w:line="300" w:lineRule="exact"/>
              <w:ind w:right="-34" w:rightChars="-16"/>
              <w:rPr>
                <w:rFonts w:ascii="宋体" w:hAnsi="宋体"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p>
        </w:tc>
        <w:tc>
          <w:tcPr>
            <w:tcW w:w="2278" w:type="dxa"/>
            <w:gridSpan w:val="2"/>
            <w:tcBorders>
              <w:right w:val="single" w:color="auto" w:sz="4" w:space="0"/>
            </w:tcBorders>
            <w:vAlign w:val="center"/>
          </w:tcPr>
          <w:p>
            <w:pPr>
              <w:adjustRightInd w:val="0"/>
              <w:snapToGrid w:val="0"/>
              <w:spacing w:line="300" w:lineRule="exact"/>
              <w:jc w:val="center"/>
              <w:rPr>
                <w:szCs w:val="21"/>
              </w:rPr>
            </w:pPr>
            <w:r>
              <w:rPr>
                <w:rFonts w:hint="eastAsia"/>
                <w:szCs w:val="21"/>
              </w:rPr>
              <w:t>招标控制价</w:t>
            </w:r>
          </w:p>
        </w:tc>
        <w:tc>
          <w:tcPr>
            <w:tcW w:w="6651" w:type="dxa"/>
            <w:tcBorders>
              <w:left w:val="single" w:color="auto" w:sz="4" w:space="0"/>
            </w:tcBorders>
            <w:vAlign w:val="center"/>
          </w:tcPr>
          <w:p>
            <w:pPr>
              <w:adjustRightInd w:val="0"/>
              <w:snapToGrid w:val="0"/>
              <w:spacing w:line="300" w:lineRule="exact"/>
              <w:ind w:firstLine="105" w:firstLineChars="50"/>
            </w:pPr>
            <w:r>
              <w:rPr>
                <w:rFonts w:hint="eastAsia"/>
              </w:rPr>
              <w:sym w:font="Wingdings" w:char="F0A8"/>
            </w:r>
            <w:r>
              <w:rPr>
                <w:rFonts w:hint="eastAsia"/>
              </w:rPr>
              <w:t xml:space="preserve"> 不设招标控制价</w:t>
            </w:r>
          </w:p>
          <w:p>
            <w:pPr>
              <w:adjustRightInd w:val="0"/>
              <w:snapToGrid w:val="0"/>
              <w:spacing w:line="300" w:lineRule="exact"/>
              <w:ind w:firstLine="105" w:firstLineChars="50"/>
              <w:rPr>
                <w:rFonts w:hint="eastAsia" w:ascii="宋体" w:hAnsi="宋体" w:eastAsia="宋体" w:cs="宋体"/>
                <w:b/>
                <w:bCs/>
                <w:color w:val="auto"/>
                <w:sz w:val="22"/>
                <w:szCs w:val="22"/>
              </w:rPr>
            </w:pPr>
            <w:r>
              <w:rPr>
                <w:rFonts w:hint="eastAsia"/>
              </w:rPr>
              <w:sym w:font="Wingdings" w:char="F0FE"/>
            </w:r>
            <w:r>
              <w:rPr>
                <w:rFonts w:hint="eastAsia"/>
              </w:rPr>
              <w:t xml:space="preserve"> 设招标控制价</w:t>
            </w:r>
            <w:r>
              <w:rPr>
                <w:rFonts w:hint="eastAsia"/>
                <w:lang w:eastAsia="zh-CN"/>
              </w:rPr>
              <w:t>，</w:t>
            </w:r>
            <w:r>
              <w:rPr>
                <w:rFonts w:hint="eastAsia" w:ascii="宋体" w:hAnsi="宋体" w:eastAsia="宋体" w:cs="宋体"/>
                <w:b/>
                <w:bCs/>
                <w:color w:val="auto"/>
                <w:sz w:val="22"/>
                <w:szCs w:val="22"/>
              </w:rPr>
              <w:t>招标控制价为：</w:t>
            </w:r>
          </w:p>
          <w:p>
            <w:pPr>
              <w:adjustRightInd w:val="0"/>
              <w:snapToGrid w:val="0"/>
              <w:spacing w:line="300" w:lineRule="exact"/>
              <w:ind w:firstLine="110" w:firstLineChars="50"/>
              <w:rPr>
                <w:rFonts w:hint="eastAsia" w:ascii="宋体" w:hAnsi="宋体" w:eastAsia="宋体" w:cs="宋体"/>
                <w:b/>
                <w:bCs/>
                <w:color w:val="auto"/>
                <w:sz w:val="22"/>
                <w:szCs w:val="22"/>
                <w:lang w:val="en-US" w:eastAsia="zh-CN"/>
              </w:rPr>
            </w:pPr>
            <w:r>
              <w:rPr>
                <w:rFonts w:hint="eastAsia" w:ascii="宋体" w:hAnsi="宋体" w:cs="宋体"/>
                <w:b/>
                <w:bCs/>
                <w:color w:val="auto"/>
                <w:sz w:val="22"/>
                <w:szCs w:val="22"/>
                <w:lang w:eastAsia="zh-CN"/>
              </w:rPr>
              <w:t>一标段：5941756.12</w:t>
            </w:r>
            <w:r>
              <w:rPr>
                <w:rFonts w:hint="eastAsia" w:ascii="宋体" w:hAnsi="宋体" w:eastAsia="宋体" w:cs="宋体"/>
                <w:b/>
                <w:bCs/>
                <w:color w:val="auto"/>
                <w:sz w:val="22"/>
                <w:szCs w:val="22"/>
                <w:lang w:val="en-US" w:eastAsia="zh-CN"/>
              </w:rPr>
              <w:t>元</w:t>
            </w:r>
          </w:p>
          <w:tbl>
            <w:tblPr>
              <w:tblStyle w:val="46"/>
              <w:tblW w:w="5505"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24"/>
              <w:gridCol w:w="2766"/>
              <w:gridCol w:w="2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序号</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名称</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金额</w:t>
                  </w:r>
                  <w:r>
                    <w:rPr>
                      <w:rFonts w:hint="eastAsia" w:ascii="宋体" w:hAnsi="宋体" w:cs="宋体"/>
                      <w:i w:val="0"/>
                      <w:iCs w:val="0"/>
                      <w:color w:val="262626"/>
                      <w:kern w:val="0"/>
                      <w:sz w:val="18"/>
                      <w:szCs w:val="18"/>
                      <w:u w:val="none"/>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1</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汝南县韩庄镇中心小学</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383766.71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1.1</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汝南县韩庄镇中心小学</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367762.61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1.2</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汝南县韩庄镇中心小学安装工程</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16004.1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汝南县罗店镇</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5510059.05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罗店镇李岗小学大门--土建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52899.42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2.2</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罗店镇李岗小学厕所改造--安装</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10197.53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2.3</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罗店镇杨楼小学大门--土建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52905.94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2.4</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罗店镇杨楼小学围墙--土建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47994.27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2.5</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罗店镇杨楼小学厕所--土建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182337.64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2.6</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罗店镇杨楼小学厕所--安装</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19682.78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2.7</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罗店镇施庄小学厕所--土建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182337.64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2.8</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罗店镇施庄小学厕所--安装</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19682.78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2.9</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罗店镇袁庄小学大门--土建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52899.42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罗店镇袁庄小学围墙--土建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46956.38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2.11</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罗店镇双庙小学厕所--土建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231565.66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2.12</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罗店镇双庙小学厕所--安装</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21563.37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2.13</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罗店镇双庙小学大门--土建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52899.42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2.14</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罗店镇别桥小学围墙--土建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87977.97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2.15</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罗店镇六合小学教学楼及厕所改造--土建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77984.73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2.16</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罗店镇初级中学--土建</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3881475.15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2.17</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罗店镇初级中学--安装</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488698.95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罗店镇尤庄小学屋顶维修</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47930.36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3.1</w:t>
                  </w:r>
                </w:p>
              </w:tc>
              <w:tc>
                <w:tcPr>
                  <w:tcW w:w="27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罗店镇尤庄小学屋顶维修</w:t>
                  </w:r>
                </w:p>
              </w:tc>
              <w:tc>
                <w:tcPr>
                  <w:tcW w:w="21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47930.36</w:t>
                  </w:r>
                </w:p>
              </w:tc>
            </w:tr>
          </w:tbl>
          <w:p>
            <w:pPr>
              <w:pStyle w:val="44"/>
              <w:ind w:left="0" w:leftChars="0" w:firstLine="0"/>
              <w:rPr>
                <w:rFonts w:hint="eastAsia"/>
                <w:lang w:val="en-US" w:eastAsia="zh-CN"/>
              </w:rPr>
            </w:pPr>
            <w:r>
              <w:rPr>
                <w:rFonts w:hint="eastAsia"/>
                <w:lang w:val="en-US" w:eastAsia="zh-CN"/>
              </w:rPr>
              <w:t xml:space="preserve">措施项目费(含安全文明施工费)：327978.8元 </w:t>
            </w:r>
          </w:p>
          <w:p>
            <w:pPr>
              <w:pStyle w:val="44"/>
              <w:ind w:left="0" w:leftChars="0" w:firstLine="0"/>
              <w:rPr>
                <w:rFonts w:hint="eastAsia"/>
                <w:lang w:val="en-US" w:eastAsia="zh-CN"/>
              </w:rPr>
            </w:pPr>
            <w:r>
              <w:rPr>
                <w:rFonts w:hint="eastAsia"/>
                <w:lang w:val="en-US" w:eastAsia="zh-CN"/>
              </w:rPr>
              <w:t xml:space="preserve">安全文明施工费：137901.76元 </w:t>
            </w:r>
          </w:p>
          <w:p>
            <w:pPr>
              <w:pStyle w:val="44"/>
              <w:ind w:left="0" w:leftChars="0" w:firstLine="0"/>
              <w:rPr>
                <w:rFonts w:hint="default"/>
                <w:lang w:val="en-US" w:eastAsia="zh-CN"/>
              </w:rPr>
            </w:pPr>
            <w:r>
              <w:rPr>
                <w:rFonts w:hint="eastAsia"/>
                <w:lang w:val="en-US" w:eastAsia="zh-CN"/>
              </w:rPr>
              <w:t>规费：171481.29元</w:t>
            </w:r>
          </w:p>
          <w:p>
            <w:pPr>
              <w:pStyle w:val="44"/>
              <w:ind w:left="0" w:leftChars="0" w:firstLine="0"/>
              <w:rPr>
                <w:rFonts w:hint="default"/>
                <w:lang w:val="en-US" w:eastAsia="zh-CN"/>
              </w:rPr>
            </w:pPr>
            <w:r>
              <w:rPr>
                <w:rFonts w:hint="eastAsia"/>
                <w:lang w:val="en-US" w:eastAsia="zh-CN"/>
              </w:rPr>
              <w:t>税金：490603.7元</w:t>
            </w:r>
          </w:p>
          <w:p>
            <w:pPr>
              <w:pStyle w:val="44"/>
              <w:ind w:left="0" w:leftChars="0" w:firstLine="0"/>
              <w:rPr>
                <w:rFonts w:hint="eastAsia"/>
                <w:lang w:val="en-US" w:eastAsia="zh-CN"/>
              </w:rPr>
            </w:pPr>
            <w:r>
              <w:rPr>
                <w:rFonts w:hint="eastAsia"/>
                <w:lang w:val="en-US" w:eastAsia="zh-CN"/>
              </w:rPr>
              <w:t>暂列金额：0元</w:t>
            </w:r>
          </w:p>
          <w:p>
            <w:pPr>
              <w:pStyle w:val="44"/>
              <w:ind w:left="0" w:leftChars="0" w:firstLine="0"/>
              <w:rPr>
                <w:rFonts w:hint="eastAsia"/>
                <w:lang w:val="en-US" w:eastAsia="zh-CN"/>
              </w:rPr>
            </w:pPr>
            <w:r>
              <w:rPr>
                <w:rFonts w:hint="eastAsia"/>
                <w:lang w:val="en-US" w:eastAsia="zh-CN"/>
              </w:rPr>
              <w:t>专业工程暂估价：0元</w:t>
            </w:r>
          </w:p>
          <w:p>
            <w:pPr>
              <w:adjustRightInd w:val="0"/>
              <w:snapToGrid w:val="0"/>
              <w:spacing w:line="300" w:lineRule="exact"/>
              <w:ind w:firstLine="110" w:firstLineChars="50"/>
              <w:rPr>
                <w:rFonts w:hint="eastAsia" w:ascii="宋体" w:hAnsi="宋体" w:cs="宋体"/>
                <w:b/>
                <w:bCs/>
                <w:color w:val="auto"/>
                <w:sz w:val="22"/>
                <w:szCs w:val="22"/>
                <w:lang w:val="en-US" w:eastAsia="zh-CN"/>
              </w:rPr>
            </w:pPr>
            <w:r>
              <w:rPr>
                <w:rFonts w:hint="eastAsia" w:ascii="宋体" w:hAnsi="宋体" w:cs="宋体"/>
                <w:b/>
                <w:bCs/>
                <w:color w:val="auto"/>
                <w:sz w:val="22"/>
                <w:szCs w:val="22"/>
                <w:lang w:val="en-US" w:eastAsia="zh-CN"/>
              </w:rPr>
              <w:t>二标段：3667395.25元</w:t>
            </w:r>
          </w:p>
          <w:tbl>
            <w:tblPr>
              <w:tblStyle w:val="46"/>
              <w:tblW w:w="571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10"/>
              <w:gridCol w:w="3805"/>
              <w:gridCol w:w="1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序号</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名称</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金额</w:t>
                  </w:r>
                  <w:r>
                    <w:rPr>
                      <w:rFonts w:hint="eastAsia" w:ascii="宋体" w:hAnsi="宋体" w:cs="宋体"/>
                      <w:i w:val="0"/>
                      <w:iCs w:val="0"/>
                      <w:color w:val="262626"/>
                      <w:kern w:val="0"/>
                      <w:sz w:val="18"/>
                      <w:szCs w:val="18"/>
                      <w:u w:val="none"/>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汝南县和孝镇</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466780.67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汝南县和孝镇陈屯小学</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192852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1.2</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汝南县和孝镇黄寨小学</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141741.27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1.3</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汝南县和孝镇黄寨小学教学楼线路改造-强电</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122917.45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1.4</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汝南县和孝镇黄寨小学教学楼线路改造-弱电</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9269.95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汝南县余店乡</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66323.03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汝南县余店乡中心小学校舍维修项目</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66323.03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汝南县常兴镇</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360360.02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汝南县常兴镇王庄一小</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160242.28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3.2</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汝南县常兴镇二中维修项目</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200117.74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汝南县三桥镇</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124483.65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汝南县三桥镇安庄小学</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124483.65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汝南县老君庙镇</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1971257.22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汝南县老君庙镇中心小学北校区教学楼--土建</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1802021.68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5.2</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汝南县老君庙镇中心小学北校区教学楼--强电工程</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134837.84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5.3</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汝南县老君庙镇中心小学北校区教学楼--弱电工程</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18151.53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5.4</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汝南县老君庙镇中心小学北校区教学楼--消防给水</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16246.17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6</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和孝镇中心小学校舍</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313833.45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6.1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和孝镇中心小学校舍--土建</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310537.83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6.2</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和孝镇中心小学校舍--安装</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3295.62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7</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常兴马屯小学</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178470.94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7.1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常兴镇马屯小学围墙</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178470.94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8</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汝南县梁祝镇杨庄小学</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185886.27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8.1</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杨庄小学大门</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54585.65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8.2</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杨庄小学厕所</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119862.86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8.3</w:t>
                  </w:r>
                </w:p>
              </w:tc>
              <w:tc>
                <w:tcPr>
                  <w:tcW w:w="380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杨庄小学厕所--安装</w:t>
                  </w:r>
                </w:p>
              </w:tc>
              <w:tc>
                <w:tcPr>
                  <w:tcW w:w="12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11437.76</w:t>
                  </w:r>
                </w:p>
              </w:tc>
            </w:tr>
          </w:tbl>
          <w:p>
            <w:pPr>
              <w:pStyle w:val="44"/>
              <w:ind w:left="0" w:leftChars="0" w:firstLine="0"/>
              <w:rPr>
                <w:rFonts w:hint="eastAsia"/>
                <w:lang w:val="en-US" w:eastAsia="zh-CN"/>
              </w:rPr>
            </w:pPr>
            <w:r>
              <w:rPr>
                <w:rFonts w:hint="eastAsia"/>
                <w:lang w:val="en-US" w:eastAsia="zh-CN"/>
              </w:rPr>
              <w:t xml:space="preserve">措施项目费(含安全文明施工费)：295747.78元 </w:t>
            </w:r>
          </w:p>
          <w:p>
            <w:pPr>
              <w:pStyle w:val="44"/>
              <w:ind w:left="0" w:leftChars="0" w:firstLine="0"/>
              <w:rPr>
                <w:rFonts w:hint="eastAsia"/>
                <w:lang w:val="en-US" w:eastAsia="zh-CN"/>
              </w:rPr>
            </w:pPr>
            <w:r>
              <w:rPr>
                <w:rFonts w:hint="eastAsia"/>
                <w:lang w:val="en-US" w:eastAsia="zh-CN"/>
              </w:rPr>
              <w:t xml:space="preserve">安全文明施工费：93207.89元 </w:t>
            </w:r>
          </w:p>
          <w:p>
            <w:pPr>
              <w:pStyle w:val="44"/>
              <w:ind w:left="0" w:leftChars="0" w:firstLine="0"/>
              <w:rPr>
                <w:rFonts w:hint="default"/>
                <w:lang w:val="en-US" w:eastAsia="zh-CN"/>
              </w:rPr>
            </w:pPr>
            <w:r>
              <w:rPr>
                <w:rFonts w:hint="eastAsia"/>
                <w:lang w:val="en-US" w:eastAsia="zh-CN"/>
              </w:rPr>
              <w:t>规费：114126.04元</w:t>
            </w:r>
          </w:p>
          <w:p>
            <w:pPr>
              <w:pStyle w:val="44"/>
              <w:ind w:left="0" w:leftChars="0" w:firstLine="0"/>
              <w:rPr>
                <w:rFonts w:hint="default"/>
                <w:lang w:val="en-US" w:eastAsia="zh-CN"/>
              </w:rPr>
            </w:pPr>
            <w:r>
              <w:rPr>
                <w:rFonts w:hint="eastAsia"/>
                <w:lang w:val="en-US" w:eastAsia="zh-CN"/>
              </w:rPr>
              <w:t>税金：302812.45元</w:t>
            </w:r>
          </w:p>
          <w:p>
            <w:pPr>
              <w:pStyle w:val="44"/>
              <w:ind w:left="0" w:leftChars="0" w:firstLine="0"/>
              <w:rPr>
                <w:rFonts w:hint="eastAsia"/>
                <w:lang w:val="en-US" w:eastAsia="zh-CN"/>
              </w:rPr>
            </w:pPr>
            <w:r>
              <w:rPr>
                <w:rFonts w:hint="eastAsia"/>
                <w:lang w:val="en-US" w:eastAsia="zh-CN"/>
              </w:rPr>
              <w:t>暂列金额：0元</w:t>
            </w:r>
          </w:p>
          <w:p>
            <w:pPr>
              <w:pStyle w:val="44"/>
              <w:ind w:left="0" w:leftChars="0" w:firstLine="0"/>
              <w:rPr>
                <w:rFonts w:hint="eastAsia"/>
                <w:lang w:val="en-US" w:eastAsia="zh-CN"/>
              </w:rPr>
            </w:pPr>
            <w:r>
              <w:rPr>
                <w:rFonts w:hint="eastAsia"/>
                <w:lang w:val="en-US" w:eastAsia="zh-CN"/>
              </w:rPr>
              <w:t>专业工程暂估价：0元</w:t>
            </w:r>
          </w:p>
          <w:p>
            <w:pPr>
              <w:adjustRightInd w:val="0"/>
              <w:snapToGrid w:val="0"/>
              <w:spacing w:line="300" w:lineRule="exact"/>
              <w:ind w:firstLine="110" w:firstLineChars="50"/>
              <w:rPr>
                <w:rFonts w:hint="eastAsia" w:ascii="宋体" w:hAnsi="宋体" w:cs="宋体"/>
                <w:b/>
                <w:bCs/>
                <w:color w:val="auto"/>
                <w:sz w:val="22"/>
                <w:szCs w:val="22"/>
                <w:lang w:val="en-US" w:eastAsia="zh-CN"/>
              </w:rPr>
            </w:pPr>
            <w:r>
              <w:rPr>
                <w:rFonts w:hint="eastAsia" w:ascii="宋体" w:hAnsi="宋体" w:cs="宋体"/>
                <w:b/>
                <w:bCs/>
                <w:color w:val="auto"/>
                <w:sz w:val="22"/>
                <w:szCs w:val="22"/>
                <w:lang w:val="en-US" w:eastAsia="zh-CN"/>
              </w:rPr>
              <w:t>三标段：3233589.63元</w:t>
            </w:r>
          </w:p>
          <w:tbl>
            <w:tblPr>
              <w:tblStyle w:val="46"/>
              <w:tblW w:w="5505"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583"/>
              <w:gridCol w:w="3491"/>
              <w:gridCol w:w="14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序号</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名称</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金额</w:t>
                  </w:r>
                  <w:r>
                    <w:rPr>
                      <w:rFonts w:hint="eastAsia" w:ascii="宋体" w:hAnsi="宋体" w:cs="宋体"/>
                      <w:i w:val="0"/>
                      <w:iCs w:val="0"/>
                      <w:color w:val="262626"/>
                      <w:kern w:val="0"/>
                      <w:sz w:val="18"/>
                      <w:szCs w:val="18"/>
                      <w:u w:val="none"/>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1</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汝南县金铺镇</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kern w:val="2"/>
                      <w:sz w:val="18"/>
                      <w:szCs w:val="18"/>
                      <w:u w:val="none"/>
                      <w:lang w:val="en-US" w:eastAsia="zh-CN" w:bidi="ar-SA"/>
                    </w:rPr>
                  </w:pPr>
                  <w:r>
                    <w:rPr>
                      <w:rFonts w:hint="eastAsia" w:ascii="宋体" w:hAnsi="宋体" w:eastAsia="宋体" w:cs="宋体"/>
                      <w:i w:val="0"/>
                      <w:iCs w:val="0"/>
                      <w:color w:val="262626"/>
                      <w:kern w:val="0"/>
                      <w:sz w:val="18"/>
                      <w:szCs w:val="18"/>
                      <w:u w:val="none"/>
                      <w:lang w:val="en-US" w:eastAsia="zh-CN" w:bidi="ar"/>
                    </w:rPr>
                    <w:t>634256.41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1.1</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金铺镇金铺小学围墙--土建</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84008.25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1.2</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金铺镇中心小学原有教学楼整修--土建</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550248.16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汝南县留盆镇</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98370.65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2.1</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留盆镇王桥小学围墙--土建</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98370.65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汝南县板店乡</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257872.81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3.1</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板店乡中心小学屋顶维修--土建</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146935.29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3.2</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板店乡前竹园小学屋顶维修--土建</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110937.52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汝南县第七小学附属工程</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775977.16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4.1</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汝南县第七小学附属工程</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775977.16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汝南县第四小学及幼儿园餐厅</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1467112.6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5.1</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汝南县第四小学及幼儿园餐厅--土建</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1266286.98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5.2</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汝南县第四小学及幼儿园餐厅--强电工程</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164638.48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5.3</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汝南县第四小学及幼儿园餐厅--弱电工程</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23291.4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5.4</w:t>
                  </w:r>
                </w:p>
              </w:tc>
              <w:tc>
                <w:tcPr>
                  <w:tcW w:w="34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汝南县第四小学及幼儿园餐厅--给排水</w:t>
                  </w:r>
                </w:p>
              </w:tc>
              <w:tc>
                <w:tcPr>
                  <w:tcW w:w="143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right"/>
                    <w:textAlignment w:val="center"/>
                    <w:rPr>
                      <w:rFonts w:hint="eastAsia" w:ascii="宋体" w:hAnsi="宋体" w:eastAsia="宋体" w:cs="宋体"/>
                      <w:i w:val="0"/>
                      <w:iCs w:val="0"/>
                      <w:color w:val="262626"/>
                      <w:sz w:val="18"/>
                      <w:szCs w:val="18"/>
                      <w:u w:val="none"/>
                    </w:rPr>
                  </w:pPr>
                  <w:r>
                    <w:rPr>
                      <w:rFonts w:hint="eastAsia" w:ascii="宋体" w:hAnsi="宋体" w:eastAsia="宋体" w:cs="宋体"/>
                      <w:i w:val="0"/>
                      <w:iCs w:val="0"/>
                      <w:color w:val="262626"/>
                      <w:kern w:val="0"/>
                      <w:sz w:val="18"/>
                      <w:szCs w:val="18"/>
                      <w:u w:val="none"/>
                      <w:lang w:val="en-US" w:eastAsia="zh-CN" w:bidi="ar"/>
                    </w:rPr>
                    <w:t>12895.74</w:t>
                  </w:r>
                </w:p>
              </w:tc>
            </w:tr>
          </w:tbl>
          <w:p>
            <w:pPr>
              <w:pStyle w:val="44"/>
              <w:ind w:left="0" w:leftChars="0" w:firstLine="0"/>
              <w:rPr>
                <w:rFonts w:hint="eastAsia"/>
                <w:lang w:val="en-US" w:eastAsia="zh-CN"/>
              </w:rPr>
            </w:pPr>
            <w:r>
              <w:rPr>
                <w:rFonts w:hint="eastAsia"/>
                <w:lang w:val="en-US" w:eastAsia="zh-CN"/>
              </w:rPr>
              <w:t xml:space="preserve">措施项目费(含安全文明施工费)：254320.09元 </w:t>
            </w:r>
          </w:p>
          <w:p>
            <w:pPr>
              <w:pStyle w:val="44"/>
              <w:ind w:left="0" w:leftChars="0" w:firstLine="0"/>
              <w:rPr>
                <w:rFonts w:hint="eastAsia"/>
                <w:lang w:val="en-US" w:eastAsia="zh-CN"/>
              </w:rPr>
            </w:pPr>
            <w:r>
              <w:rPr>
                <w:rFonts w:hint="eastAsia"/>
                <w:lang w:val="en-US" w:eastAsia="zh-CN"/>
              </w:rPr>
              <w:t xml:space="preserve">安全文明施工费：78763.4元 </w:t>
            </w:r>
          </w:p>
          <w:p>
            <w:pPr>
              <w:pStyle w:val="44"/>
              <w:ind w:left="0" w:leftChars="0" w:firstLine="0"/>
              <w:rPr>
                <w:rFonts w:hint="default"/>
                <w:lang w:val="en-US" w:eastAsia="zh-CN"/>
              </w:rPr>
            </w:pPr>
            <w:r>
              <w:rPr>
                <w:rFonts w:hint="eastAsia"/>
                <w:lang w:val="en-US" w:eastAsia="zh-CN"/>
              </w:rPr>
              <w:t>规费：95921.95元</w:t>
            </w:r>
          </w:p>
          <w:p>
            <w:pPr>
              <w:pStyle w:val="44"/>
              <w:ind w:left="0" w:leftChars="0" w:firstLine="0"/>
              <w:rPr>
                <w:rFonts w:hint="default"/>
                <w:lang w:val="en-US" w:eastAsia="zh-CN"/>
              </w:rPr>
            </w:pPr>
            <w:r>
              <w:rPr>
                <w:rFonts w:hint="eastAsia"/>
                <w:lang w:val="en-US" w:eastAsia="zh-CN"/>
              </w:rPr>
              <w:t>税金：266993.67元</w:t>
            </w:r>
          </w:p>
          <w:p>
            <w:pPr>
              <w:pStyle w:val="44"/>
              <w:ind w:left="0" w:leftChars="0" w:firstLine="0"/>
              <w:rPr>
                <w:rFonts w:hint="eastAsia"/>
                <w:lang w:val="en-US" w:eastAsia="zh-CN"/>
              </w:rPr>
            </w:pPr>
            <w:r>
              <w:rPr>
                <w:rFonts w:hint="eastAsia"/>
                <w:lang w:val="en-US" w:eastAsia="zh-CN"/>
              </w:rPr>
              <w:t>暂列金额：0元</w:t>
            </w:r>
          </w:p>
          <w:p>
            <w:pPr>
              <w:pStyle w:val="44"/>
              <w:ind w:left="0" w:leftChars="0" w:firstLine="0"/>
              <w:rPr>
                <w:rFonts w:hint="eastAsia"/>
                <w:lang w:val="en-US" w:eastAsia="zh-CN"/>
              </w:rPr>
            </w:pPr>
            <w:r>
              <w:rPr>
                <w:rFonts w:hint="eastAsia"/>
                <w:lang w:val="en-US" w:eastAsia="zh-CN"/>
              </w:rPr>
              <w:t>专业工程暂估价：0元</w:t>
            </w:r>
          </w:p>
          <w:p>
            <w:pPr>
              <w:pStyle w:val="69"/>
              <w:rPr>
                <w:rFonts w:hint="eastAsia"/>
                <w:lang w:val="en-US" w:eastAsia="zh-CN"/>
              </w:rPr>
            </w:pPr>
          </w:p>
          <w:p>
            <w:pPr>
              <w:pStyle w:val="44"/>
              <w:ind w:left="0" w:leftChars="0" w:firstLine="0"/>
              <w:rPr>
                <w:rFonts w:hint="eastAsia"/>
              </w:rPr>
            </w:pPr>
            <w:r>
              <w:rPr>
                <w:rFonts w:hint="eastAsia"/>
              </w:rPr>
              <w:t>投标人投标报价高于招标控制价的，按废标处理。</w:t>
            </w:r>
          </w:p>
          <w:p>
            <w:pPr>
              <w:pStyle w:val="44"/>
              <w:ind w:left="0" w:leftChars="0" w:firstLine="0"/>
            </w:pPr>
            <w:r>
              <w:rPr>
                <w:rFonts w:hint="eastAsia"/>
              </w:rPr>
              <w:t>控制价文件于在驻马店市公共资源交易平台发布，请各潜在投标人自行查询下载。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9749" w:type="dxa"/>
            <w:gridSpan w:val="4"/>
            <w:vAlign w:val="center"/>
          </w:tcPr>
          <w:p>
            <w:pPr>
              <w:autoSpaceDE w:val="0"/>
              <w:autoSpaceDN w:val="0"/>
              <w:adjustRightInd w:val="0"/>
              <w:spacing w:line="300" w:lineRule="exact"/>
              <w:ind w:right="-34" w:rightChars="-16"/>
              <w:rPr>
                <w:rFonts w:ascii="宋体" w:hAnsi="宋体"/>
                <w:szCs w:val="21"/>
              </w:rPr>
            </w:pPr>
            <w:r>
              <w:rPr>
                <w:rFonts w:hint="eastAsia"/>
                <w:szCs w:val="21"/>
              </w:rPr>
              <w:t>10.3  “暗标”评审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820" w:type="dxa"/>
            <w:vAlign w:val="center"/>
          </w:tcPr>
          <w:p>
            <w:pPr>
              <w:autoSpaceDE w:val="0"/>
              <w:autoSpaceDN w:val="0"/>
              <w:adjustRightInd w:val="0"/>
              <w:spacing w:line="320" w:lineRule="exact"/>
              <w:ind w:right="-34" w:rightChars="-16"/>
              <w:jc w:val="center"/>
              <w:rPr>
                <w:rFonts w:ascii="宋体" w:hAnsi="宋体"/>
                <w:kern w:val="0"/>
                <w:szCs w:val="21"/>
              </w:rPr>
            </w:pPr>
          </w:p>
        </w:tc>
        <w:tc>
          <w:tcPr>
            <w:tcW w:w="2278" w:type="dxa"/>
            <w:gridSpan w:val="2"/>
            <w:vAlign w:val="center"/>
          </w:tcPr>
          <w:p>
            <w:pPr>
              <w:adjustRightInd w:val="0"/>
              <w:snapToGrid w:val="0"/>
              <w:spacing w:line="300" w:lineRule="exact"/>
              <w:jc w:val="center"/>
              <w:rPr>
                <w:szCs w:val="21"/>
              </w:rPr>
            </w:pPr>
            <w:r>
              <w:rPr>
                <w:rFonts w:hint="eastAsia"/>
                <w:szCs w:val="21"/>
              </w:rPr>
              <w:t>施工组织设计是否用</w:t>
            </w:r>
          </w:p>
          <w:p>
            <w:pPr>
              <w:adjustRightInd w:val="0"/>
              <w:snapToGrid w:val="0"/>
              <w:spacing w:line="300" w:lineRule="exact"/>
              <w:jc w:val="center"/>
              <w:rPr>
                <w:szCs w:val="21"/>
              </w:rPr>
            </w:pPr>
            <w:r>
              <w:rPr>
                <w:rFonts w:hint="eastAsia"/>
                <w:szCs w:val="21"/>
              </w:rPr>
              <w:t>“暗标”评审方式</w:t>
            </w:r>
          </w:p>
        </w:tc>
        <w:tc>
          <w:tcPr>
            <w:tcW w:w="6651" w:type="dxa"/>
            <w:vAlign w:val="center"/>
          </w:tcPr>
          <w:p>
            <w:pPr>
              <w:adjustRightInd w:val="0"/>
              <w:snapToGrid w:val="0"/>
              <w:spacing w:line="300" w:lineRule="exact"/>
              <w:ind w:firstLine="105" w:firstLineChars="50"/>
              <w:rPr>
                <w:szCs w:val="21"/>
              </w:rPr>
            </w:pPr>
            <w:r>
              <w:rPr>
                <w:rFonts w:hint="eastAsia"/>
                <w:szCs w:val="21"/>
              </w:rPr>
              <w:sym w:font="Wingdings" w:char="F0FE"/>
            </w:r>
            <w:r>
              <w:rPr>
                <w:rFonts w:hint="eastAsia"/>
                <w:szCs w:val="21"/>
              </w:rPr>
              <w:t xml:space="preserve"> 不采用</w:t>
            </w:r>
          </w:p>
          <w:p>
            <w:pPr>
              <w:adjustRightInd w:val="0"/>
              <w:snapToGrid w:val="0"/>
              <w:spacing w:line="300" w:lineRule="exact"/>
              <w:ind w:firstLine="105" w:firstLineChars="50"/>
              <w:rPr>
                <w:szCs w:val="21"/>
              </w:rPr>
            </w:pPr>
            <w:r>
              <w:rPr>
                <w:rFonts w:hint="eastAsia"/>
                <w:szCs w:val="21"/>
              </w:rPr>
              <w:t>□ 采用，投标人应严格按照第八章“投标文件格式”中“施工组织设计（技术暗标）编制的要求”，编制施工组织设计。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749" w:type="dxa"/>
            <w:gridSpan w:val="4"/>
            <w:vAlign w:val="center"/>
          </w:tcPr>
          <w:p>
            <w:pPr>
              <w:autoSpaceDE w:val="0"/>
              <w:autoSpaceDN w:val="0"/>
              <w:adjustRightInd w:val="0"/>
              <w:spacing w:line="300" w:lineRule="exact"/>
              <w:ind w:right="-34" w:rightChars="-16"/>
              <w:rPr>
                <w:rFonts w:ascii="宋体" w:hAnsi="宋体"/>
                <w:kern w:val="0"/>
                <w:szCs w:val="21"/>
              </w:rPr>
            </w:pPr>
            <w:r>
              <w:rPr>
                <w:rFonts w:hint="eastAsia"/>
                <w:szCs w:val="21"/>
              </w:rPr>
              <w:t>10.4  投标人代表出席开标会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20" w:type="dxa"/>
            <w:tcBorders>
              <w:bottom w:val="single" w:color="auto" w:sz="4" w:space="0"/>
            </w:tcBorders>
            <w:vAlign w:val="center"/>
          </w:tcPr>
          <w:p>
            <w:pPr>
              <w:autoSpaceDE w:val="0"/>
              <w:autoSpaceDN w:val="0"/>
              <w:adjustRightInd w:val="0"/>
              <w:spacing w:line="320" w:lineRule="exact"/>
              <w:ind w:right="-34" w:rightChars="-16"/>
              <w:jc w:val="center"/>
              <w:rPr>
                <w:rFonts w:ascii="宋体" w:hAnsi="宋体"/>
                <w:kern w:val="0"/>
                <w:szCs w:val="21"/>
              </w:rPr>
            </w:pPr>
          </w:p>
        </w:tc>
        <w:tc>
          <w:tcPr>
            <w:tcW w:w="8929" w:type="dxa"/>
            <w:gridSpan w:val="3"/>
            <w:tcBorders>
              <w:top w:val="nil"/>
              <w:bottom w:val="single" w:color="auto" w:sz="4" w:space="0"/>
            </w:tcBorders>
            <w:vAlign w:val="center"/>
          </w:tcPr>
          <w:p>
            <w:pPr>
              <w:autoSpaceDE w:val="0"/>
              <w:autoSpaceDN w:val="0"/>
              <w:adjustRightInd w:val="0"/>
              <w:spacing w:line="300" w:lineRule="exact"/>
              <w:ind w:right="-34" w:rightChars="-16"/>
              <w:rPr>
                <w:rFonts w:ascii="宋体" w:hAnsi="宋体"/>
                <w:kern w:val="0"/>
                <w:szCs w:val="21"/>
              </w:rPr>
            </w:pPr>
            <w:r>
              <w:rPr>
                <w:rFonts w:hint="eastAsia" w:ascii="宋体" w:hAnsi="宋体"/>
                <w:kern w:val="0"/>
                <w:szCs w:val="21"/>
              </w:rPr>
              <w:t>本工程采用远程不见面交易的模式。开标当日，投标人无需到达开标现场。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9749" w:type="dxa"/>
            <w:gridSpan w:val="4"/>
            <w:tcBorders>
              <w:top w:val="single" w:color="auto" w:sz="4" w:space="0"/>
              <w:bottom w:val="single" w:color="auto" w:sz="4" w:space="0"/>
            </w:tcBorders>
            <w:vAlign w:val="center"/>
          </w:tcPr>
          <w:p>
            <w:pPr>
              <w:autoSpaceDE w:val="0"/>
              <w:autoSpaceDN w:val="0"/>
              <w:adjustRightInd w:val="0"/>
              <w:spacing w:line="300" w:lineRule="exact"/>
              <w:ind w:right="-34" w:rightChars="-16"/>
              <w:rPr>
                <w:rFonts w:ascii="宋体" w:hAnsi="宋体"/>
                <w:kern w:val="0"/>
                <w:szCs w:val="21"/>
              </w:rPr>
            </w:pPr>
            <w:r>
              <w:rPr>
                <w:rFonts w:hint="eastAsia"/>
                <w:szCs w:val="21"/>
              </w:rPr>
              <w:t>10.5 中标候选人公示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0" w:type="dxa"/>
            <w:tcBorders>
              <w:top w:val="single" w:color="auto" w:sz="4" w:space="0"/>
              <w:bottom w:val="single" w:color="auto" w:sz="4" w:space="0"/>
            </w:tcBorders>
            <w:vAlign w:val="center"/>
          </w:tcPr>
          <w:p>
            <w:pPr>
              <w:autoSpaceDE w:val="0"/>
              <w:autoSpaceDN w:val="0"/>
              <w:adjustRightInd w:val="0"/>
              <w:spacing w:line="320" w:lineRule="exact"/>
              <w:ind w:right="-34" w:rightChars="-16"/>
              <w:jc w:val="center"/>
              <w:rPr>
                <w:rFonts w:ascii="宋体" w:hAnsi="宋体"/>
                <w:kern w:val="0"/>
                <w:szCs w:val="21"/>
              </w:rPr>
            </w:pPr>
          </w:p>
        </w:tc>
        <w:tc>
          <w:tcPr>
            <w:tcW w:w="8929" w:type="dxa"/>
            <w:gridSpan w:val="3"/>
            <w:tcBorders>
              <w:top w:val="single" w:color="auto" w:sz="4" w:space="0"/>
              <w:bottom w:val="single" w:color="auto" w:sz="4" w:space="0"/>
            </w:tcBorders>
            <w:vAlign w:val="center"/>
          </w:tcPr>
          <w:p>
            <w:pPr>
              <w:autoSpaceDE w:val="0"/>
              <w:autoSpaceDN w:val="0"/>
              <w:adjustRightInd w:val="0"/>
              <w:spacing w:line="300" w:lineRule="exact"/>
              <w:ind w:right="-34" w:rightChars="-16" w:firstLine="315" w:firstLineChars="150"/>
              <w:rPr>
                <w:rFonts w:ascii="宋体" w:hAnsi="宋体"/>
                <w:kern w:val="0"/>
                <w:szCs w:val="21"/>
              </w:rPr>
            </w:pPr>
            <w:r>
              <w:rPr>
                <w:rFonts w:hint="eastAsia"/>
                <w:szCs w:val="21"/>
              </w:rPr>
              <w:t>招标人收到评标委员会评标报告后3日内，应将中标候选人的情况在本招标项目招标公告发布的同一媒介予以公示，公示期不少于3日。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9749" w:type="dxa"/>
            <w:gridSpan w:val="4"/>
            <w:tcBorders>
              <w:top w:val="single" w:color="auto" w:sz="4" w:space="0"/>
              <w:bottom w:val="single" w:color="auto" w:sz="4" w:space="0"/>
            </w:tcBorders>
            <w:vAlign w:val="center"/>
          </w:tcPr>
          <w:p>
            <w:pPr>
              <w:autoSpaceDE w:val="0"/>
              <w:autoSpaceDN w:val="0"/>
              <w:adjustRightInd w:val="0"/>
              <w:spacing w:line="300" w:lineRule="exact"/>
              <w:ind w:right="-34" w:rightChars="-16"/>
              <w:rPr>
                <w:rFonts w:ascii="宋体" w:hAnsi="宋体"/>
                <w:kern w:val="0"/>
                <w:szCs w:val="21"/>
              </w:rPr>
            </w:pPr>
            <w:r>
              <w:rPr>
                <w:rFonts w:hint="eastAsia"/>
                <w:szCs w:val="21"/>
              </w:rPr>
              <w:t>10.6  知识产权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0" w:type="dxa"/>
            <w:tcBorders>
              <w:top w:val="single" w:color="auto" w:sz="4" w:space="0"/>
              <w:bottom w:val="single" w:color="auto" w:sz="4" w:space="0"/>
            </w:tcBorders>
            <w:vAlign w:val="center"/>
          </w:tcPr>
          <w:p>
            <w:pPr>
              <w:autoSpaceDE w:val="0"/>
              <w:autoSpaceDN w:val="0"/>
              <w:adjustRightInd w:val="0"/>
              <w:spacing w:line="320" w:lineRule="exact"/>
              <w:ind w:right="-34" w:rightChars="-16"/>
              <w:jc w:val="center"/>
              <w:rPr>
                <w:rFonts w:ascii="宋体" w:hAnsi="宋体"/>
                <w:kern w:val="0"/>
                <w:szCs w:val="21"/>
              </w:rPr>
            </w:pPr>
          </w:p>
        </w:tc>
        <w:tc>
          <w:tcPr>
            <w:tcW w:w="8929" w:type="dxa"/>
            <w:gridSpan w:val="3"/>
            <w:tcBorders>
              <w:top w:val="single" w:color="auto" w:sz="4" w:space="0"/>
              <w:bottom w:val="single" w:color="auto" w:sz="4" w:space="0"/>
            </w:tcBorders>
            <w:vAlign w:val="center"/>
          </w:tcPr>
          <w:p>
            <w:pPr>
              <w:autoSpaceDE w:val="0"/>
              <w:autoSpaceDN w:val="0"/>
              <w:adjustRightInd w:val="0"/>
              <w:spacing w:line="300" w:lineRule="exact"/>
              <w:ind w:right="-34" w:rightChars="-16"/>
              <w:rPr>
                <w:rFonts w:ascii="宋体" w:hAnsi="宋体"/>
                <w:kern w:val="0"/>
                <w:szCs w:val="21"/>
              </w:rPr>
            </w:pPr>
            <w:r>
              <w:rPr>
                <w:rFonts w:hint="eastAsia"/>
                <w:szCs w:val="21"/>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749" w:type="dxa"/>
            <w:gridSpan w:val="4"/>
            <w:tcBorders>
              <w:top w:val="single" w:color="auto" w:sz="4" w:space="0"/>
              <w:bottom w:val="single" w:color="auto" w:sz="4" w:space="0"/>
            </w:tcBorders>
            <w:vAlign w:val="center"/>
          </w:tcPr>
          <w:p>
            <w:pPr>
              <w:autoSpaceDE w:val="0"/>
              <w:autoSpaceDN w:val="0"/>
              <w:adjustRightInd w:val="0"/>
              <w:spacing w:line="320" w:lineRule="exact"/>
              <w:rPr>
                <w:szCs w:val="21"/>
              </w:rPr>
            </w:pPr>
            <w:r>
              <w:rPr>
                <w:rFonts w:hint="eastAsia" w:ascii="宋体" w:hAnsi="宋体" w:cs="宋体"/>
                <w:sz w:val="22"/>
                <w:szCs w:val="22"/>
              </w:rPr>
              <w:t>10.7  监  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1" w:type="dxa"/>
            <w:gridSpan w:val="2"/>
            <w:tcBorders>
              <w:top w:val="single" w:color="auto" w:sz="4" w:space="0"/>
              <w:bottom w:val="single" w:color="auto" w:sz="4" w:space="0"/>
            </w:tcBorders>
            <w:vAlign w:val="center"/>
          </w:tcPr>
          <w:p>
            <w:pPr>
              <w:autoSpaceDE w:val="0"/>
              <w:autoSpaceDN w:val="0"/>
              <w:adjustRightInd w:val="0"/>
              <w:spacing w:line="320" w:lineRule="exact"/>
              <w:jc w:val="center"/>
              <w:rPr>
                <w:rFonts w:ascii="宋体" w:hAnsi="宋体"/>
                <w:kern w:val="0"/>
                <w:szCs w:val="21"/>
              </w:rPr>
            </w:pPr>
          </w:p>
        </w:tc>
        <w:tc>
          <w:tcPr>
            <w:tcW w:w="8788" w:type="dxa"/>
            <w:gridSpan w:val="2"/>
            <w:tcBorders>
              <w:top w:val="single" w:color="auto" w:sz="4" w:space="0"/>
              <w:bottom w:val="single" w:color="auto" w:sz="4" w:space="0"/>
            </w:tcBorders>
            <w:vAlign w:val="center"/>
          </w:tcPr>
          <w:p>
            <w:pPr>
              <w:autoSpaceDE w:val="0"/>
              <w:autoSpaceDN w:val="0"/>
              <w:adjustRightInd w:val="0"/>
              <w:spacing w:line="300" w:lineRule="exact"/>
              <w:ind w:right="-34" w:rightChars="-16"/>
              <w:rPr>
                <w:rFonts w:hint="eastAsia"/>
                <w:szCs w:val="21"/>
              </w:rPr>
            </w:pPr>
            <w:r>
              <w:rPr>
                <w:rFonts w:hint="eastAsia"/>
                <w:szCs w:val="21"/>
              </w:rPr>
              <w:t>本项目的招标投标活动及其相关当事人应当接受有管辖权的建设工程招标投标行政监督部门依法实施的监督。</w:t>
            </w:r>
          </w:p>
          <w:p>
            <w:pPr>
              <w:autoSpaceDE w:val="0"/>
              <w:autoSpaceDN w:val="0"/>
              <w:adjustRightInd w:val="0"/>
              <w:spacing w:line="300" w:lineRule="exact"/>
              <w:ind w:right="-34" w:rightChars="-16"/>
              <w:rPr>
                <w:rFonts w:hint="eastAsia"/>
                <w:szCs w:val="21"/>
                <w:lang w:val="en-US" w:eastAsia="zh-CN"/>
              </w:rPr>
            </w:pPr>
            <w:r>
              <w:rPr>
                <w:rFonts w:hint="eastAsia"/>
                <w:szCs w:val="21"/>
                <w:lang w:val="en-US" w:eastAsia="zh-CN"/>
              </w:rPr>
              <w:t>监督单位：汝南县住房和城乡建设局</w:t>
            </w:r>
          </w:p>
          <w:p>
            <w:pPr>
              <w:autoSpaceDE w:val="0"/>
              <w:autoSpaceDN w:val="0"/>
              <w:adjustRightInd w:val="0"/>
              <w:spacing w:line="300" w:lineRule="exact"/>
              <w:ind w:right="-34" w:rightChars="-16"/>
              <w:rPr>
                <w:rFonts w:hint="eastAsia"/>
                <w:szCs w:val="21"/>
                <w:lang w:val="en-US" w:eastAsia="zh-CN"/>
              </w:rPr>
            </w:pPr>
            <w:r>
              <w:rPr>
                <w:rFonts w:hint="eastAsia"/>
                <w:szCs w:val="21"/>
                <w:lang w:val="en-US" w:eastAsia="zh-CN"/>
              </w:rPr>
              <w:t>办公地址：汝南县行政服务中心</w:t>
            </w:r>
          </w:p>
          <w:p>
            <w:pPr>
              <w:autoSpaceDE w:val="0"/>
              <w:autoSpaceDN w:val="0"/>
              <w:adjustRightInd w:val="0"/>
              <w:spacing w:line="300" w:lineRule="exact"/>
              <w:ind w:right="-34" w:rightChars="-16"/>
              <w:rPr>
                <w:szCs w:val="21"/>
              </w:rPr>
            </w:pPr>
            <w:r>
              <w:rPr>
                <w:rFonts w:hint="eastAsia"/>
                <w:szCs w:val="21"/>
              </w:rPr>
              <w:t>电 话：</w:t>
            </w:r>
            <w:r>
              <w:rPr>
                <w:rFonts w:hint="eastAsia"/>
                <w:szCs w:val="21"/>
                <w:lang w:eastAsia="en-US"/>
              </w:rPr>
              <w:t>0396—8021501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749" w:type="dxa"/>
            <w:gridSpan w:val="4"/>
            <w:tcBorders>
              <w:top w:val="single" w:color="auto" w:sz="4" w:space="0"/>
              <w:bottom w:val="single" w:color="auto" w:sz="4" w:space="0"/>
            </w:tcBorders>
            <w:vAlign w:val="center"/>
          </w:tcPr>
          <w:p>
            <w:pPr>
              <w:autoSpaceDE w:val="0"/>
              <w:autoSpaceDN w:val="0"/>
              <w:adjustRightInd w:val="0"/>
              <w:spacing w:line="300" w:lineRule="exact"/>
              <w:ind w:right="-34" w:rightChars="-16"/>
              <w:rPr>
                <w:rFonts w:ascii="宋体" w:hAnsi="宋体"/>
                <w:kern w:val="0"/>
                <w:szCs w:val="21"/>
              </w:rPr>
            </w:pPr>
            <w:r>
              <w:rPr>
                <w:rFonts w:hint="eastAsia"/>
                <w:szCs w:val="21"/>
              </w:rPr>
              <w:t>10.8 同义词语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820" w:type="dxa"/>
            <w:tcBorders>
              <w:top w:val="single" w:color="auto" w:sz="4" w:space="0"/>
              <w:bottom w:val="single" w:color="auto" w:sz="4" w:space="0"/>
            </w:tcBorders>
            <w:vAlign w:val="center"/>
          </w:tcPr>
          <w:p>
            <w:pPr>
              <w:autoSpaceDE w:val="0"/>
              <w:autoSpaceDN w:val="0"/>
              <w:adjustRightInd w:val="0"/>
              <w:spacing w:line="320" w:lineRule="exact"/>
              <w:ind w:right="-34" w:rightChars="-16"/>
              <w:jc w:val="center"/>
              <w:rPr>
                <w:rFonts w:ascii="宋体" w:hAnsi="宋体"/>
                <w:kern w:val="0"/>
                <w:szCs w:val="21"/>
              </w:rPr>
            </w:pPr>
          </w:p>
        </w:tc>
        <w:tc>
          <w:tcPr>
            <w:tcW w:w="8929" w:type="dxa"/>
            <w:gridSpan w:val="3"/>
            <w:tcBorders>
              <w:top w:val="single" w:color="auto" w:sz="4" w:space="0"/>
            </w:tcBorders>
            <w:vAlign w:val="center"/>
          </w:tcPr>
          <w:p>
            <w:pPr>
              <w:autoSpaceDE w:val="0"/>
              <w:autoSpaceDN w:val="0"/>
              <w:adjustRightInd w:val="0"/>
              <w:spacing w:line="300" w:lineRule="exact"/>
              <w:ind w:right="-34" w:rightChars="-16"/>
              <w:rPr>
                <w:rFonts w:ascii="宋体" w:hAnsi="宋体"/>
                <w:kern w:val="0"/>
                <w:szCs w:val="21"/>
              </w:rPr>
            </w:pPr>
            <w:r>
              <w:rPr>
                <w:rFonts w:hint="eastAsia"/>
                <w:szCs w:val="21"/>
              </w:rPr>
              <w:t>构成招标文件组成部分的“通用合同条款”、“专用合同条款”、“技术标准和要求”和“工程量清单”等章节中出现的措辞“发包人”和“承包人”，在招标投标阶段应当分别按“招标人”和“投标人”进行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749" w:type="dxa"/>
            <w:gridSpan w:val="4"/>
            <w:tcBorders>
              <w:top w:val="single" w:color="auto" w:sz="4" w:space="0"/>
              <w:bottom w:val="single" w:color="auto" w:sz="4" w:space="0"/>
            </w:tcBorders>
            <w:vAlign w:val="center"/>
          </w:tcPr>
          <w:p>
            <w:pPr>
              <w:autoSpaceDE w:val="0"/>
              <w:autoSpaceDN w:val="0"/>
              <w:adjustRightInd w:val="0"/>
              <w:spacing w:line="320" w:lineRule="exact"/>
              <w:jc w:val="left"/>
              <w:rPr>
                <w:rFonts w:ascii="宋体" w:hAnsi="宋体"/>
                <w:kern w:val="0"/>
                <w:szCs w:val="21"/>
              </w:rPr>
            </w:pPr>
            <w:r>
              <w:rPr>
                <w:rFonts w:hint="eastAsia"/>
                <w:szCs w:val="21"/>
              </w:rPr>
              <w:t>10.9质疑、投诉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20" w:type="dxa"/>
            <w:tcBorders>
              <w:top w:val="single" w:color="auto" w:sz="4" w:space="0"/>
              <w:bottom w:val="single" w:color="auto" w:sz="4" w:space="0"/>
            </w:tcBorders>
            <w:vAlign w:val="center"/>
          </w:tcPr>
          <w:p>
            <w:pPr>
              <w:autoSpaceDE w:val="0"/>
              <w:autoSpaceDN w:val="0"/>
              <w:adjustRightInd w:val="0"/>
              <w:spacing w:line="320" w:lineRule="exact"/>
              <w:ind w:right="-34" w:rightChars="-16"/>
              <w:jc w:val="center"/>
              <w:rPr>
                <w:rFonts w:ascii="宋体" w:hAnsi="宋体"/>
                <w:kern w:val="0"/>
                <w:szCs w:val="21"/>
              </w:rPr>
            </w:pPr>
          </w:p>
        </w:tc>
        <w:tc>
          <w:tcPr>
            <w:tcW w:w="8929" w:type="dxa"/>
            <w:gridSpan w:val="3"/>
            <w:vAlign w:val="center"/>
          </w:tcPr>
          <w:p>
            <w:pPr>
              <w:autoSpaceDE w:val="0"/>
              <w:autoSpaceDN w:val="0"/>
              <w:adjustRightInd w:val="0"/>
              <w:spacing w:line="300" w:lineRule="exact"/>
              <w:ind w:right="-34" w:rightChars="-16"/>
              <w:rPr>
                <w:rFonts w:ascii="宋体" w:hAnsi="宋体"/>
                <w:kern w:val="0"/>
                <w:szCs w:val="21"/>
              </w:rPr>
            </w:pPr>
            <w:r>
              <w:rPr>
                <w:rFonts w:hint="eastAsia" w:ascii="宋体" w:hAnsi="宋体"/>
                <w:kern w:val="0"/>
                <w:szCs w:val="21"/>
              </w:rPr>
              <w:t>质疑必须以书面形式并加盖单位公章及法定代表人或授权委托人签字后,在规定的时间内同时送达招标人、招标代理机构；投诉必须以书面形式并加盖单位公章及法定代表人或授权委托人签字后在规定的时间内送达行政主管部门及纪检监察部门。任何投标人和利害关系人都有权对建设违法违纪行为向监察机关进行举报和控告，投诉人投诉时，应当提交投诉书。投诉书应当包括下列内容：（一）投诉人的名称、地址及有效联系方式；（二）被投诉人的名称、地址及有效联系方式；（三）投诉事项的基本事实；（四）相关请求及主张；（五）有效线索和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749" w:type="dxa"/>
            <w:gridSpan w:val="4"/>
            <w:tcBorders>
              <w:top w:val="single" w:color="auto" w:sz="4" w:space="0"/>
              <w:bottom w:val="single" w:color="auto" w:sz="4" w:space="0"/>
            </w:tcBorders>
            <w:vAlign w:val="center"/>
          </w:tcPr>
          <w:p>
            <w:pPr>
              <w:autoSpaceDE w:val="0"/>
              <w:autoSpaceDN w:val="0"/>
              <w:adjustRightInd w:val="0"/>
              <w:spacing w:line="300" w:lineRule="exact"/>
              <w:ind w:right="-34" w:rightChars="-16"/>
              <w:rPr>
                <w:rFonts w:ascii="宋体" w:hAnsi="宋体"/>
                <w:kern w:val="0"/>
                <w:szCs w:val="21"/>
              </w:rPr>
            </w:pPr>
            <w:r>
              <w:rPr>
                <w:rFonts w:hint="eastAsia" w:ascii="宋体" w:hAnsi="宋体"/>
                <w:kern w:val="0"/>
                <w:szCs w:val="21"/>
              </w:rPr>
              <w:t>10.10</w:t>
            </w:r>
            <w:r>
              <w:rPr>
                <w:rFonts w:hint="eastAsia"/>
                <w:szCs w:val="21"/>
              </w:rPr>
              <w:t xml:space="preserve">  解释权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20" w:type="dxa"/>
            <w:tcBorders>
              <w:top w:val="single" w:color="auto" w:sz="4" w:space="0"/>
              <w:bottom w:val="single" w:color="auto" w:sz="4" w:space="0"/>
            </w:tcBorders>
            <w:vAlign w:val="center"/>
          </w:tcPr>
          <w:p>
            <w:pPr>
              <w:rPr>
                <w:szCs w:val="21"/>
              </w:rPr>
            </w:pPr>
          </w:p>
        </w:tc>
        <w:tc>
          <w:tcPr>
            <w:tcW w:w="8929" w:type="dxa"/>
            <w:gridSpan w:val="3"/>
            <w:vAlign w:val="center"/>
          </w:tcPr>
          <w:p>
            <w:pPr>
              <w:spacing w:line="300" w:lineRule="exact"/>
              <w:rPr>
                <w:rFonts w:ascii="宋体" w:hAnsi="宋体"/>
                <w:kern w:val="0"/>
                <w:szCs w:val="21"/>
              </w:rPr>
            </w:pPr>
            <w:r>
              <w:rPr>
                <w:rFonts w:hint="eastAsia" w:ascii="宋体" w:hAnsi="宋体" w:cs="宋体"/>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749" w:type="dxa"/>
            <w:gridSpan w:val="4"/>
            <w:tcBorders>
              <w:top w:val="single" w:color="auto" w:sz="4" w:space="0"/>
              <w:bottom w:val="single" w:color="auto" w:sz="4" w:space="0"/>
            </w:tcBorders>
            <w:vAlign w:val="center"/>
          </w:tcPr>
          <w:p>
            <w:pPr>
              <w:spacing w:line="300" w:lineRule="exact"/>
              <w:rPr>
                <w:rFonts w:hint="eastAsia" w:ascii="宋体" w:hAnsi="宋体" w:cs="宋体"/>
                <w:szCs w:val="21"/>
              </w:rPr>
            </w:pPr>
            <w:bookmarkStart w:id="27" w:name="_Toc4259"/>
            <w:bookmarkStart w:id="28" w:name="_Toc227657460"/>
            <w:bookmarkStart w:id="29" w:name="_Toc228591630"/>
            <w:bookmarkStart w:id="30" w:name="_Toc28875"/>
            <w:bookmarkStart w:id="31" w:name="_Toc227492217"/>
            <w:bookmarkStart w:id="32" w:name="_Toc214433860"/>
            <w:bookmarkStart w:id="33" w:name="_Toc272772547"/>
            <w:bookmarkStart w:id="34" w:name="_Toc228881134"/>
            <w:bookmarkStart w:id="35" w:name="_Toc228591482"/>
            <w:bookmarkStart w:id="36" w:name="_Toc228589136"/>
            <w:bookmarkStart w:id="37" w:name="_Toc228337071"/>
            <w:r>
              <w:rPr>
                <w:rFonts w:hint="eastAsia" w:ascii="宋体" w:hAnsi="宋体" w:cs="宋体"/>
                <w:szCs w:val="21"/>
                <w:lang w:val="en-US" w:eastAsia="zh-CN"/>
              </w:rPr>
              <w:t>10.11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20" w:type="dxa"/>
            <w:tcBorders>
              <w:top w:val="single" w:color="auto" w:sz="4" w:space="0"/>
              <w:bottom w:val="single" w:color="auto" w:sz="4" w:space="0"/>
            </w:tcBorders>
            <w:vAlign w:val="center"/>
          </w:tcPr>
          <w:p>
            <w:pPr>
              <w:rPr>
                <w:szCs w:val="21"/>
              </w:rPr>
            </w:pPr>
          </w:p>
        </w:tc>
        <w:tc>
          <w:tcPr>
            <w:tcW w:w="8929" w:type="dxa"/>
            <w:gridSpan w:val="3"/>
            <w:vAlign w:val="center"/>
          </w:tcPr>
          <w:p>
            <w:pPr>
              <w:spacing w:line="300" w:lineRule="exact"/>
              <w:rPr>
                <w:rFonts w:hint="eastAsia" w:ascii="宋体" w:hAnsi="宋体" w:cs="宋体"/>
                <w:szCs w:val="21"/>
              </w:rPr>
            </w:pPr>
            <w:r>
              <w:rPr>
                <w:rFonts w:hint="eastAsia" w:ascii="宋体" w:hAnsi="宋体" w:cs="宋体"/>
                <w:szCs w:val="21"/>
              </w:rPr>
              <w:t>招标代理服务费支付约定：本次招标代理服务费</w:t>
            </w:r>
            <w:r>
              <w:rPr>
                <w:rFonts w:hint="eastAsia" w:ascii="宋体" w:hAnsi="宋体" w:cs="宋体"/>
                <w:szCs w:val="21"/>
                <w:lang w:eastAsia="zh-CN"/>
              </w:rPr>
              <w:t>参照</w:t>
            </w:r>
            <w:r>
              <w:rPr>
                <w:rFonts w:hint="eastAsia" w:ascii="宋体" w:hAnsi="宋体" w:cs="宋体"/>
                <w:szCs w:val="21"/>
              </w:rPr>
              <w:t>河南省招标投标协会关于《河南省招标代理服务费指导意见》的通知(豫招协[20</w:t>
            </w:r>
            <w:r>
              <w:rPr>
                <w:rFonts w:hint="eastAsia" w:ascii="宋体" w:hAnsi="宋体" w:cs="宋体"/>
                <w:szCs w:val="21"/>
                <w:lang w:val="en-US" w:eastAsia="zh-CN"/>
              </w:rPr>
              <w:t>23</w:t>
            </w:r>
            <w:r>
              <w:rPr>
                <w:rFonts w:hint="eastAsia" w:ascii="宋体" w:hAnsi="宋体" w:cs="宋体"/>
                <w:szCs w:val="21"/>
              </w:rPr>
              <w:t>]002号)文件中招标代理服务收费标准计取，由中标人在领取中标通知书前一次性支付完毕（不含税）。</w:t>
            </w:r>
          </w:p>
        </w:tc>
      </w:tr>
    </w:tbl>
    <w:p>
      <w:pPr>
        <w:pStyle w:val="69"/>
        <w:spacing w:line="400" w:lineRule="exact"/>
        <w:ind w:right="-34" w:rightChars="-16"/>
        <w:jc w:val="both"/>
        <w:outlineLvl w:val="0"/>
        <w:rPr>
          <w:rFonts w:ascii="黑体" w:hAnsi="新宋体" w:eastAsia="黑体"/>
          <w:color w:val="auto"/>
          <w:sz w:val="28"/>
          <w:szCs w:val="28"/>
        </w:rPr>
      </w:pPr>
      <w:r>
        <w:rPr>
          <w:rFonts w:ascii="黑体" w:hAnsi="新宋体" w:eastAsia="黑体"/>
          <w:color w:val="auto"/>
          <w:sz w:val="28"/>
          <w:szCs w:val="28"/>
        </w:rPr>
        <w:br w:type="page"/>
      </w:r>
      <w:r>
        <w:rPr>
          <w:rFonts w:ascii="黑体" w:hAnsi="新宋体" w:eastAsia="黑体"/>
          <w:color w:val="auto"/>
          <w:sz w:val="28"/>
          <w:szCs w:val="28"/>
        </w:rPr>
        <w:t xml:space="preserve">1. </w:t>
      </w:r>
      <w:r>
        <w:rPr>
          <w:rFonts w:hint="eastAsia" w:ascii="黑体" w:hAnsi="新宋体" w:eastAsia="黑体"/>
          <w:color w:val="auto"/>
          <w:sz w:val="28"/>
          <w:szCs w:val="28"/>
        </w:rPr>
        <w:t>总则</w:t>
      </w:r>
      <w:bookmarkEnd w:id="27"/>
      <w:bookmarkEnd w:id="28"/>
      <w:bookmarkEnd w:id="29"/>
      <w:bookmarkEnd w:id="30"/>
      <w:bookmarkEnd w:id="31"/>
      <w:bookmarkEnd w:id="32"/>
      <w:bookmarkEnd w:id="33"/>
      <w:bookmarkEnd w:id="34"/>
      <w:bookmarkEnd w:id="35"/>
      <w:bookmarkEnd w:id="36"/>
      <w:bookmarkEnd w:id="37"/>
    </w:p>
    <w:p>
      <w:pPr>
        <w:autoSpaceDE w:val="0"/>
        <w:autoSpaceDN w:val="0"/>
        <w:adjustRightInd w:val="0"/>
        <w:spacing w:line="400" w:lineRule="exact"/>
        <w:ind w:right="-34" w:rightChars="-16"/>
        <w:jc w:val="left"/>
        <w:outlineLvl w:val="0"/>
        <w:rPr>
          <w:rFonts w:ascii="黑体" w:hAnsi="宋体" w:eastAsia="黑体"/>
          <w:kern w:val="0"/>
          <w:sz w:val="24"/>
          <w:szCs w:val="24"/>
        </w:rPr>
      </w:pPr>
      <w:bookmarkStart w:id="38" w:name="_Toc228591483"/>
      <w:bookmarkStart w:id="39" w:name="_Toc214433861"/>
      <w:bookmarkStart w:id="40" w:name="_Toc272772548"/>
      <w:bookmarkStart w:id="41" w:name="_Toc228591631"/>
      <w:bookmarkStart w:id="42" w:name="_Toc21591"/>
      <w:bookmarkStart w:id="43" w:name="_Toc228337072"/>
      <w:bookmarkStart w:id="44" w:name="_Toc228589137"/>
      <w:bookmarkStart w:id="45" w:name="_Toc227492218"/>
      <w:bookmarkStart w:id="46" w:name="_Toc228881135"/>
      <w:bookmarkStart w:id="47" w:name="_Toc3396"/>
      <w:bookmarkStart w:id="48" w:name="_Toc227657461"/>
      <w:r>
        <w:rPr>
          <w:rFonts w:hint="eastAsia" w:ascii="黑体" w:hAnsi="宋体" w:eastAsia="黑体"/>
          <w:kern w:val="0"/>
          <w:sz w:val="24"/>
          <w:szCs w:val="24"/>
        </w:rPr>
        <w:t>1.1 项目概况</w:t>
      </w:r>
      <w:bookmarkEnd w:id="38"/>
      <w:bookmarkEnd w:id="39"/>
      <w:bookmarkEnd w:id="40"/>
      <w:bookmarkEnd w:id="41"/>
      <w:bookmarkEnd w:id="42"/>
      <w:bookmarkEnd w:id="43"/>
      <w:bookmarkEnd w:id="44"/>
      <w:bookmarkEnd w:id="45"/>
      <w:bookmarkEnd w:id="46"/>
      <w:bookmarkEnd w:id="47"/>
      <w:bookmarkEnd w:id="48"/>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1.1.1 </w:t>
      </w:r>
      <w:r>
        <w:rPr>
          <w:rFonts w:hint="eastAsia" w:ascii="宋体" w:hAnsi="宋体"/>
          <w:kern w:val="0"/>
          <w:szCs w:val="21"/>
        </w:rPr>
        <w:t>根据《中华人民共和国招标投标法》、《中华人民共和国招标投标法实施条例》等有关法律、法规和规章的规定，本招标项目已具备招标条件，现对本项目施工进行公开招标。</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1.1.2 </w:t>
      </w:r>
      <w:r>
        <w:rPr>
          <w:rFonts w:hint="eastAsia" w:ascii="宋体" w:hAnsi="宋体"/>
          <w:kern w:val="0"/>
          <w:szCs w:val="21"/>
        </w:rPr>
        <w:t>本招标项目招标人：见投标人须知前附表。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1.1.3 </w:t>
      </w:r>
      <w:r>
        <w:rPr>
          <w:rFonts w:hint="eastAsia" w:ascii="宋体" w:hAnsi="宋体"/>
          <w:kern w:val="0"/>
          <w:szCs w:val="21"/>
        </w:rPr>
        <w:t>本项目招标代理机构：见投标人须知前附表。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1.1.4 </w:t>
      </w:r>
      <w:r>
        <w:rPr>
          <w:rFonts w:hint="eastAsia" w:ascii="宋体" w:hAnsi="宋体"/>
          <w:kern w:val="0"/>
          <w:szCs w:val="21"/>
        </w:rPr>
        <w:t>本招标工程名称：见投标人须知前附表。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1.1.5 </w:t>
      </w:r>
      <w:r>
        <w:rPr>
          <w:rFonts w:hint="eastAsia" w:ascii="宋体" w:hAnsi="宋体"/>
          <w:kern w:val="0"/>
          <w:szCs w:val="21"/>
        </w:rPr>
        <w:t>本项目建设地点：见投标人须知前附表。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1.1.6本项目建设规模：见投标人须知前附表。</w:t>
      </w:r>
    </w:p>
    <w:p>
      <w:pPr>
        <w:autoSpaceDE w:val="0"/>
        <w:autoSpaceDN w:val="0"/>
        <w:adjustRightInd w:val="0"/>
        <w:spacing w:line="400" w:lineRule="exact"/>
        <w:ind w:right="-34" w:rightChars="-16"/>
        <w:jc w:val="left"/>
        <w:outlineLvl w:val="0"/>
        <w:rPr>
          <w:rFonts w:ascii="黑体" w:hAnsi="宋体" w:eastAsia="黑体"/>
          <w:kern w:val="0"/>
          <w:sz w:val="24"/>
          <w:szCs w:val="24"/>
        </w:rPr>
      </w:pPr>
      <w:bookmarkStart w:id="49" w:name="_Toc228337073"/>
      <w:bookmarkStart w:id="50" w:name="_Toc228589138"/>
      <w:bookmarkStart w:id="51" w:name="_Toc228881136"/>
      <w:bookmarkStart w:id="52" w:name="_Toc227492219"/>
      <w:bookmarkStart w:id="53" w:name="_Toc228591632"/>
      <w:bookmarkStart w:id="54" w:name="_Toc214433862"/>
      <w:bookmarkStart w:id="55" w:name="_Toc14540"/>
      <w:bookmarkStart w:id="56" w:name="_Toc227657462"/>
      <w:bookmarkStart w:id="57" w:name="_Toc31281"/>
      <w:bookmarkStart w:id="58" w:name="_Toc228591484"/>
      <w:bookmarkStart w:id="59" w:name="_Toc272772549"/>
      <w:r>
        <w:rPr>
          <w:rFonts w:hint="eastAsia" w:ascii="黑体" w:hAnsi="宋体" w:eastAsia="黑体"/>
          <w:kern w:val="0"/>
          <w:sz w:val="24"/>
          <w:szCs w:val="24"/>
        </w:rPr>
        <w:t>1.2 资金来源和落实情况</w:t>
      </w:r>
      <w:bookmarkEnd w:id="49"/>
      <w:bookmarkEnd w:id="50"/>
      <w:bookmarkEnd w:id="51"/>
      <w:bookmarkEnd w:id="52"/>
      <w:bookmarkEnd w:id="53"/>
      <w:bookmarkEnd w:id="54"/>
      <w:bookmarkEnd w:id="55"/>
      <w:bookmarkEnd w:id="56"/>
      <w:bookmarkEnd w:id="57"/>
      <w:bookmarkEnd w:id="58"/>
      <w:bookmarkEnd w:id="59"/>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1.2.1 </w:t>
      </w:r>
      <w:r>
        <w:rPr>
          <w:rFonts w:hint="eastAsia" w:ascii="宋体" w:hAnsi="宋体"/>
          <w:kern w:val="0"/>
          <w:szCs w:val="21"/>
        </w:rPr>
        <w:t>本招标项目的资金来源：见投标人须知前附表。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1.2.</w:t>
      </w:r>
      <w:r>
        <w:rPr>
          <w:rFonts w:hint="eastAsia" w:ascii="宋体" w:hAnsi="宋体"/>
          <w:kern w:val="0"/>
          <w:szCs w:val="21"/>
        </w:rPr>
        <w:t>2本招标项目的资金落实情况：见投标人须知前附表。</w:t>
      </w:r>
    </w:p>
    <w:p>
      <w:pPr>
        <w:autoSpaceDE w:val="0"/>
        <w:autoSpaceDN w:val="0"/>
        <w:adjustRightInd w:val="0"/>
        <w:spacing w:line="400" w:lineRule="exact"/>
        <w:ind w:right="-34" w:rightChars="-16"/>
        <w:jc w:val="left"/>
        <w:outlineLvl w:val="0"/>
        <w:rPr>
          <w:rFonts w:ascii="黑体" w:hAnsi="宋体" w:eastAsia="黑体"/>
          <w:kern w:val="0"/>
          <w:sz w:val="24"/>
          <w:szCs w:val="24"/>
        </w:rPr>
      </w:pPr>
      <w:bookmarkStart w:id="60" w:name="_Toc227657463"/>
      <w:bookmarkStart w:id="61" w:name="_Toc227492220"/>
      <w:bookmarkStart w:id="62" w:name="_Toc228591633"/>
      <w:bookmarkStart w:id="63" w:name="_Toc228591485"/>
      <w:bookmarkStart w:id="64" w:name="_Toc228881137"/>
      <w:bookmarkStart w:id="65" w:name="_Toc272772550"/>
      <w:bookmarkStart w:id="66" w:name="_Toc228589139"/>
      <w:bookmarkStart w:id="67" w:name="_Toc228337074"/>
      <w:bookmarkStart w:id="68" w:name="_Toc214433863"/>
      <w:bookmarkStart w:id="69" w:name="_Toc173"/>
      <w:bookmarkStart w:id="70" w:name="_Toc20237"/>
      <w:r>
        <w:rPr>
          <w:rFonts w:hint="eastAsia" w:ascii="黑体" w:hAnsi="宋体" w:eastAsia="黑体"/>
          <w:kern w:val="0"/>
          <w:sz w:val="24"/>
          <w:szCs w:val="24"/>
        </w:rPr>
        <w:t>1.3 招标范围、计划工期、质量</w:t>
      </w:r>
      <w:bookmarkEnd w:id="60"/>
      <w:bookmarkEnd w:id="61"/>
      <w:bookmarkEnd w:id="62"/>
      <w:bookmarkEnd w:id="63"/>
      <w:bookmarkEnd w:id="64"/>
      <w:bookmarkEnd w:id="65"/>
      <w:bookmarkEnd w:id="66"/>
      <w:bookmarkEnd w:id="67"/>
      <w:bookmarkEnd w:id="68"/>
      <w:r>
        <w:rPr>
          <w:rFonts w:hint="eastAsia" w:ascii="黑体" w:hAnsi="宋体" w:eastAsia="黑体"/>
          <w:kern w:val="0"/>
          <w:sz w:val="24"/>
          <w:szCs w:val="24"/>
        </w:rPr>
        <w:t>标准</w:t>
      </w:r>
      <w:bookmarkEnd w:id="69"/>
      <w:bookmarkEnd w:id="70"/>
      <w:r>
        <w:rPr>
          <w:rFonts w:hint="eastAsia" w:ascii="黑体" w:hAnsi="宋体" w:eastAsia="黑体"/>
          <w:kern w:val="0"/>
          <w:sz w:val="24"/>
          <w:szCs w:val="24"/>
        </w:rPr>
        <w:t>和标段划分</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1.3.1 </w:t>
      </w:r>
      <w:r>
        <w:rPr>
          <w:rFonts w:hint="eastAsia" w:ascii="宋体" w:hAnsi="宋体"/>
          <w:kern w:val="0"/>
          <w:szCs w:val="21"/>
        </w:rPr>
        <w:t>本次招标范围：见投标人须知前附表。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1.3.2 </w:t>
      </w:r>
      <w:r>
        <w:rPr>
          <w:rFonts w:hint="eastAsia" w:ascii="宋体" w:hAnsi="宋体"/>
          <w:kern w:val="0"/>
          <w:szCs w:val="21"/>
        </w:rPr>
        <w:t>本项目的计划工期：见投标人须知前附表。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1.3.3 </w:t>
      </w:r>
      <w:r>
        <w:rPr>
          <w:rFonts w:hint="eastAsia" w:ascii="宋体" w:hAnsi="宋体"/>
          <w:kern w:val="0"/>
          <w:szCs w:val="21"/>
        </w:rPr>
        <w:t>本项目的质量标准：见投标人须知前附表。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1.3.4  本项目标段划分：见投标人须知前附表。</w:t>
      </w:r>
    </w:p>
    <w:p>
      <w:pPr>
        <w:autoSpaceDE w:val="0"/>
        <w:autoSpaceDN w:val="0"/>
        <w:adjustRightInd w:val="0"/>
        <w:spacing w:line="400" w:lineRule="exact"/>
        <w:ind w:right="-34" w:rightChars="-16"/>
        <w:jc w:val="left"/>
        <w:outlineLvl w:val="0"/>
        <w:rPr>
          <w:rFonts w:ascii="黑体" w:hAnsi="黑体" w:eastAsia="黑体"/>
        </w:rPr>
      </w:pPr>
      <w:bookmarkStart w:id="71" w:name="_Toc272772551"/>
      <w:bookmarkStart w:id="72" w:name="_Toc5498"/>
      <w:bookmarkStart w:id="73" w:name="_Toc11560"/>
      <w:r>
        <w:rPr>
          <w:rFonts w:hint="eastAsia" w:ascii="黑体" w:hAnsi="黑体" w:eastAsia="黑体"/>
          <w:kern w:val="0"/>
          <w:sz w:val="24"/>
          <w:szCs w:val="24"/>
        </w:rPr>
        <w:t>1.4 投标人资格要求</w:t>
      </w:r>
      <w:bookmarkEnd w:id="71"/>
      <w:r>
        <w:rPr>
          <w:rFonts w:hint="eastAsia" w:ascii="黑体" w:hAnsi="黑体" w:eastAsia="黑体"/>
        </w:rPr>
        <w:t>（</w:t>
      </w:r>
      <w:r>
        <w:rPr>
          <w:rFonts w:hint="eastAsia" w:ascii="黑体" w:hAnsi="黑体" w:eastAsia="黑体"/>
          <w:b/>
        </w:rPr>
        <w:t>适用于未进行资格预审的</w:t>
      </w:r>
      <w:r>
        <w:rPr>
          <w:rFonts w:hint="eastAsia" w:ascii="黑体" w:hAnsi="黑体" w:eastAsia="黑体"/>
        </w:rPr>
        <w:t>）</w:t>
      </w:r>
      <w:bookmarkEnd w:id="72"/>
      <w:bookmarkEnd w:id="73"/>
    </w:p>
    <w:p>
      <w:pPr>
        <w:autoSpaceDE w:val="0"/>
        <w:autoSpaceDN w:val="0"/>
        <w:adjustRightInd w:val="0"/>
        <w:spacing w:line="400" w:lineRule="exact"/>
        <w:ind w:right="-34" w:rightChars="-16"/>
        <w:jc w:val="left"/>
        <w:outlineLvl w:val="0"/>
        <w:rPr>
          <w:rFonts w:ascii="宋体" w:hAnsi="宋体"/>
          <w:kern w:val="0"/>
          <w:szCs w:val="21"/>
        </w:rPr>
      </w:pPr>
      <w:bookmarkStart w:id="74" w:name="_Toc393"/>
      <w:bookmarkStart w:id="75" w:name="_Toc27491"/>
      <w:r>
        <w:rPr>
          <w:rFonts w:ascii="宋体" w:hAnsi="宋体"/>
          <w:kern w:val="0"/>
          <w:szCs w:val="21"/>
        </w:rPr>
        <w:t xml:space="preserve">1.4.1 </w:t>
      </w:r>
      <w:r>
        <w:rPr>
          <w:rFonts w:hint="eastAsia" w:ascii="宋体" w:hAnsi="宋体"/>
          <w:kern w:val="0"/>
          <w:szCs w:val="21"/>
        </w:rPr>
        <w:t>投标人应具备承担本项目施工的资质条件、能力和信誉。</w:t>
      </w:r>
      <w:bookmarkEnd w:id="74"/>
      <w:bookmarkEnd w:id="75"/>
    </w:p>
    <w:p>
      <w:pPr>
        <w:spacing w:line="400" w:lineRule="exact"/>
        <w:ind w:right="-34" w:rightChars="-16" w:firstLine="525" w:firstLineChars="250"/>
        <w:rPr>
          <w:rFonts w:ascii="宋体" w:hAnsi="宋体"/>
          <w:szCs w:val="21"/>
        </w:rPr>
      </w:pPr>
      <w:r>
        <w:rPr>
          <w:rFonts w:hint="eastAsia" w:ascii="宋体" w:hAnsi="宋体"/>
          <w:szCs w:val="21"/>
        </w:rPr>
        <w:t>(l）企业资质要求：见投标人须知前附表；</w:t>
      </w:r>
    </w:p>
    <w:p>
      <w:pPr>
        <w:spacing w:line="400" w:lineRule="exact"/>
        <w:ind w:right="-34" w:rightChars="-16" w:firstLine="525" w:firstLineChars="250"/>
        <w:rPr>
          <w:rFonts w:ascii="宋体" w:hAnsi="宋体"/>
          <w:szCs w:val="21"/>
        </w:rPr>
      </w:pPr>
      <w:r>
        <w:rPr>
          <w:rFonts w:hint="eastAsia" w:ascii="宋体" w:hAnsi="宋体"/>
          <w:szCs w:val="21"/>
        </w:rPr>
        <w:t>(2）项目经理要求：见投标人须知前附表；</w:t>
      </w:r>
    </w:p>
    <w:p>
      <w:pPr>
        <w:spacing w:line="400" w:lineRule="exact"/>
        <w:ind w:right="-34" w:rightChars="-16" w:firstLine="525" w:firstLineChars="250"/>
        <w:rPr>
          <w:rFonts w:ascii="宋体" w:hAnsi="宋体"/>
          <w:szCs w:val="21"/>
        </w:rPr>
      </w:pPr>
      <w:r>
        <w:rPr>
          <w:rFonts w:hint="eastAsia" w:ascii="宋体" w:hAnsi="宋体"/>
          <w:szCs w:val="21"/>
        </w:rPr>
        <w:t>(3）财务要求：见投标人须知前附表；</w:t>
      </w:r>
    </w:p>
    <w:p>
      <w:pPr>
        <w:spacing w:line="400" w:lineRule="exact"/>
        <w:ind w:right="-34" w:rightChars="-16" w:firstLine="525" w:firstLineChars="250"/>
        <w:rPr>
          <w:rFonts w:ascii="宋体" w:hAnsi="宋体"/>
          <w:szCs w:val="21"/>
        </w:rPr>
      </w:pPr>
      <w:r>
        <w:rPr>
          <w:rFonts w:hint="eastAsia" w:ascii="宋体" w:hAnsi="宋体"/>
          <w:szCs w:val="21"/>
        </w:rPr>
        <w:t>(4）信誉要求：见投标人须知前附表；</w:t>
      </w:r>
    </w:p>
    <w:p>
      <w:pPr>
        <w:spacing w:line="400" w:lineRule="exact"/>
        <w:ind w:right="-34" w:rightChars="-16" w:firstLine="420" w:firstLineChars="200"/>
        <w:rPr>
          <w:rFonts w:ascii="宋体" w:hAnsi="宋体"/>
          <w:szCs w:val="21"/>
        </w:rPr>
      </w:pPr>
      <w:r>
        <w:rPr>
          <w:rFonts w:hint="eastAsia" w:ascii="宋体" w:hAnsi="宋体"/>
          <w:szCs w:val="21"/>
        </w:rPr>
        <w:t>（5）其他要求：见投标人须知前附表。</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1.4.2</w:t>
      </w:r>
      <w:r>
        <w:rPr>
          <w:rFonts w:hint="eastAsia" w:ascii="宋体" w:hAnsi="宋体"/>
          <w:kern w:val="0"/>
          <w:szCs w:val="21"/>
        </w:rPr>
        <w:t>是否接受联合体投标：见投标人须知前附表规定。</w:t>
      </w:r>
    </w:p>
    <w:p>
      <w:pPr>
        <w:spacing w:line="400" w:lineRule="exact"/>
        <w:ind w:firstLine="630" w:firstLineChars="300"/>
      </w:pPr>
      <w:r>
        <w:rPr>
          <w:rFonts w:hint="eastAsia"/>
        </w:rPr>
        <w:t xml:space="preserve">投标人须知前附表规定接受联合体投标的，除应符合本章第1.4.1项和投标人须知前附表的要求外，还应遵守以下规定： </w:t>
      </w:r>
    </w:p>
    <w:p>
      <w:pPr>
        <w:spacing w:line="400" w:lineRule="exact"/>
        <w:ind w:firstLine="718" w:firstLineChars="342"/>
      </w:pPr>
      <w:r>
        <w:rPr>
          <w:rFonts w:hint="eastAsia"/>
        </w:rPr>
        <w:t>（1）联合体各方应按招标文件提供的格式签订联合体协议书，明确联合体牵头人和各方权利义务；</w:t>
      </w:r>
    </w:p>
    <w:p>
      <w:pPr>
        <w:spacing w:line="400" w:lineRule="exact"/>
        <w:ind w:firstLine="718" w:firstLineChars="342"/>
      </w:pPr>
      <w:r>
        <w:rPr>
          <w:rFonts w:hint="eastAsia"/>
        </w:rPr>
        <w:t xml:space="preserve">（2）由同一专业的单位组成的联合体，按照资质等级较低的单位确定资质等级； </w:t>
      </w:r>
    </w:p>
    <w:p>
      <w:pPr>
        <w:spacing w:line="400" w:lineRule="exact"/>
        <w:ind w:firstLine="718" w:firstLineChars="342"/>
      </w:pPr>
      <w:r>
        <w:rPr>
          <w:rFonts w:hint="eastAsia"/>
        </w:rPr>
        <w:t>（3）联合体各方不得再以自己名义单独或参加其他联合体在同一标段中投标。</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1.4.3 </w:t>
      </w:r>
      <w:r>
        <w:rPr>
          <w:rFonts w:hint="eastAsia" w:ascii="宋体" w:hAnsi="宋体"/>
          <w:kern w:val="0"/>
          <w:szCs w:val="21"/>
        </w:rPr>
        <w:t>投标人不得存在下列情形之一：</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）为招标人不具有独立法人资格的附属机构（单位）；</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（2）与招标人存在利害关系且可能影响招标公正性；</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（3）与本招标项目的其他投标人为同一单位负责人；</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 xml:space="preserve"> （4）与本招标项目的其他投标人存在控股、管理关系；</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（5）为本项目前期准备提供设计、编制技术规范或其他文件的咨询服务，但设计施工总承包的除外；</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（6）为本项目的监理人；</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（7）为本项目的代建人；</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（8）为本项目提供招标代理服务的；</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（9）与本项目的监理人或代建人或招标代理机构同为一个法定代表人的；</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（10）与本项目的监理人或代建人或招标代理机构相互控股或参股的；</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（11）与本项目的监理人或代建人或招标代理机构相互任职或工作的；</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（12）被责令停业、暂扣或者吊销许可证、暂扣或者吊销营业执照的；</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3）被依法暂停或取消投标资格的；</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4）进入清算程序，或被宣告财产，或其他丧失履约能力的情形；</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5）在最近三年内有骗取中标或严重违约或重大工程质量安全问题的。</w:t>
      </w:r>
    </w:p>
    <w:p>
      <w:pPr>
        <w:autoSpaceDE w:val="0"/>
        <w:autoSpaceDN w:val="0"/>
        <w:adjustRightInd w:val="0"/>
        <w:spacing w:line="400" w:lineRule="exact"/>
        <w:ind w:left="141" w:leftChars="67" w:right="-34" w:rightChars="-16" w:firstLine="420" w:firstLineChars="200"/>
        <w:jc w:val="left"/>
        <w:rPr>
          <w:rFonts w:ascii="宋体" w:hAnsi="宋体"/>
          <w:kern w:val="0"/>
          <w:szCs w:val="21"/>
        </w:rPr>
      </w:pPr>
      <w:r>
        <w:rPr>
          <w:rFonts w:hint="eastAsia" w:ascii="宋体" w:hAnsi="宋体"/>
          <w:kern w:val="0"/>
          <w:szCs w:val="21"/>
        </w:rPr>
        <w:t>（16）被最高人民法院在“信用中国”网站（www.creditchina.gov.cn）或各级信用信息共享平台中列入失信被执行人名单；</w:t>
      </w:r>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（17）法律法规或投标人须知前附表规定的其他情形。</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76" w:name="_Toc228589141"/>
      <w:bookmarkStart w:id="77" w:name="_Toc228881139"/>
      <w:bookmarkStart w:id="78" w:name="_Toc6444"/>
      <w:bookmarkStart w:id="79" w:name="_Toc214433865"/>
      <w:bookmarkStart w:id="80" w:name="_Toc17804"/>
      <w:bookmarkStart w:id="81" w:name="_Toc228337076"/>
      <w:bookmarkStart w:id="82" w:name="_Toc272772552"/>
      <w:bookmarkStart w:id="83" w:name="_Toc228591635"/>
      <w:bookmarkStart w:id="84" w:name="_Toc227657465"/>
      <w:bookmarkStart w:id="85" w:name="_Toc227492222"/>
      <w:bookmarkStart w:id="86" w:name="_Toc228591487"/>
      <w:r>
        <w:rPr>
          <w:rFonts w:ascii="黑体" w:hAnsi="新宋体" w:eastAsia="黑体"/>
          <w:kern w:val="0"/>
          <w:sz w:val="24"/>
          <w:szCs w:val="24"/>
        </w:rPr>
        <w:t xml:space="preserve">1.5 </w:t>
      </w:r>
      <w:r>
        <w:rPr>
          <w:rFonts w:hint="eastAsia" w:ascii="黑体" w:hAnsi="新宋体" w:eastAsia="黑体"/>
          <w:kern w:val="0"/>
          <w:sz w:val="24"/>
          <w:szCs w:val="24"/>
        </w:rPr>
        <w:t>费用承担</w:t>
      </w:r>
      <w:bookmarkEnd w:id="76"/>
      <w:bookmarkEnd w:id="77"/>
      <w:bookmarkEnd w:id="78"/>
      <w:bookmarkEnd w:id="79"/>
      <w:bookmarkEnd w:id="80"/>
      <w:bookmarkEnd w:id="81"/>
      <w:bookmarkEnd w:id="82"/>
      <w:bookmarkEnd w:id="83"/>
      <w:bookmarkEnd w:id="84"/>
      <w:bookmarkEnd w:id="85"/>
      <w:bookmarkEnd w:id="86"/>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投标人准备和参加投标活动发生的费用自理。</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87" w:name="_Toc227492223"/>
      <w:bookmarkStart w:id="88" w:name="_Toc272772553"/>
      <w:bookmarkStart w:id="89" w:name="_Toc228337077"/>
      <w:bookmarkStart w:id="90" w:name="_Toc214433866"/>
      <w:bookmarkStart w:id="91" w:name="_Toc23831"/>
      <w:bookmarkStart w:id="92" w:name="_Toc228591488"/>
      <w:bookmarkStart w:id="93" w:name="_Toc228589142"/>
      <w:bookmarkStart w:id="94" w:name="_Toc228881140"/>
      <w:bookmarkStart w:id="95" w:name="_Toc227657466"/>
      <w:bookmarkStart w:id="96" w:name="_Toc228591636"/>
      <w:bookmarkStart w:id="97" w:name="_Toc5919"/>
      <w:r>
        <w:rPr>
          <w:rFonts w:ascii="黑体" w:hAnsi="新宋体" w:eastAsia="黑体"/>
          <w:kern w:val="0"/>
          <w:sz w:val="24"/>
          <w:szCs w:val="24"/>
        </w:rPr>
        <w:t xml:space="preserve">1.6 </w:t>
      </w:r>
      <w:r>
        <w:rPr>
          <w:rFonts w:hint="eastAsia" w:ascii="黑体" w:hAnsi="新宋体" w:eastAsia="黑体"/>
          <w:kern w:val="0"/>
          <w:sz w:val="24"/>
          <w:szCs w:val="24"/>
        </w:rPr>
        <w:t>保密</w:t>
      </w:r>
      <w:bookmarkEnd w:id="87"/>
      <w:bookmarkEnd w:id="88"/>
      <w:bookmarkEnd w:id="89"/>
      <w:bookmarkEnd w:id="90"/>
      <w:bookmarkEnd w:id="91"/>
      <w:bookmarkEnd w:id="92"/>
      <w:bookmarkEnd w:id="93"/>
      <w:bookmarkEnd w:id="94"/>
      <w:bookmarkEnd w:id="95"/>
      <w:bookmarkEnd w:id="96"/>
      <w:bookmarkEnd w:id="97"/>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参与招标投标活动的各方应对招标文件和投标文件中的商业和技术等秘密保密，违者应对由此造成的后果承担法律责任。</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98" w:name="_Toc228337078"/>
      <w:bookmarkStart w:id="99" w:name="_Toc14157"/>
      <w:bookmarkStart w:id="100" w:name="_Toc214433867"/>
      <w:bookmarkStart w:id="101" w:name="_Toc272772554"/>
      <w:bookmarkStart w:id="102" w:name="_Toc228589143"/>
      <w:bookmarkStart w:id="103" w:name="_Toc227657467"/>
      <w:bookmarkStart w:id="104" w:name="_Toc228591489"/>
      <w:bookmarkStart w:id="105" w:name="_Toc1316"/>
      <w:bookmarkStart w:id="106" w:name="_Toc228881141"/>
      <w:bookmarkStart w:id="107" w:name="_Toc227492224"/>
      <w:bookmarkStart w:id="108" w:name="_Toc228591637"/>
      <w:r>
        <w:rPr>
          <w:rFonts w:ascii="黑体" w:hAnsi="新宋体" w:eastAsia="黑体"/>
          <w:kern w:val="0"/>
          <w:sz w:val="24"/>
          <w:szCs w:val="24"/>
        </w:rPr>
        <w:t xml:space="preserve">1.7 </w:t>
      </w:r>
      <w:r>
        <w:rPr>
          <w:rFonts w:hint="eastAsia" w:ascii="黑体" w:hAnsi="新宋体" w:eastAsia="黑体"/>
          <w:kern w:val="0"/>
          <w:sz w:val="24"/>
          <w:szCs w:val="24"/>
        </w:rPr>
        <w:t>语言文字</w:t>
      </w:r>
      <w:bookmarkEnd w:id="98"/>
      <w:bookmarkEnd w:id="99"/>
      <w:bookmarkEnd w:id="100"/>
      <w:bookmarkEnd w:id="101"/>
      <w:bookmarkEnd w:id="102"/>
      <w:bookmarkEnd w:id="103"/>
      <w:bookmarkEnd w:id="104"/>
      <w:bookmarkEnd w:id="105"/>
      <w:bookmarkEnd w:id="106"/>
      <w:bookmarkEnd w:id="107"/>
      <w:bookmarkEnd w:id="108"/>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除专用术语外，与招标投标有关的语言均使用中文。必要时专用术语应附有中文注释。</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109" w:name="_Toc228337079"/>
      <w:bookmarkStart w:id="110" w:name="_Toc228589144"/>
      <w:bookmarkStart w:id="111" w:name="_Toc8233"/>
      <w:bookmarkStart w:id="112" w:name="_Toc228881142"/>
      <w:bookmarkStart w:id="113" w:name="_Toc228591638"/>
      <w:bookmarkStart w:id="114" w:name="_Toc228591490"/>
      <w:bookmarkStart w:id="115" w:name="_Toc272772555"/>
      <w:bookmarkStart w:id="116" w:name="_Toc227657468"/>
      <w:bookmarkStart w:id="117" w:name="_Toc227492225"/>
      <w:bookmarkStart w:id="118" w:name="_Toc214433868"/>
      <w:bookmarkStart w:id="119" w:name="_Toc19795"/>
      <w:r>
        <w:rPr>
          <w:rFonts w:ascii="黑体" w:hAnsi="新宋体" w:eastAsia="黑体"/>
          <w:kern w:val="0"/>
          <w:sz w:val="24"/>
          <w:szCs w:val="24"/>
        </w:rPr>
        <w:t xml:space="preserve">1.8 </w:t>
      </w:r>
      <w:r>
        <w:rPr>
          <w:rFonts w:hint="eastAsia" w:ascii="黑体" w:hAnsi="新宋体" w:eastAsia="黑体"/>
          <w:kern w:val="0"/>
          <w:sz w:val="24"/>
          <w:szCs w:val="24"/>
        </w:rPr>
        <w:t>计量单位</w:t>
      </w:r>
      <w:bookmarkEnd w:id="109"/>
      <w:bookmarkEnd w:id="110"/>
      <w:bookmarkEnd w:id="111"/>
      <w:bookmarkEnd w:id="112"/>
      <w:bookmarkEnd w:id="113"/>
      <w:bookmarkEnd w:id="114"/>
      <w:bookmarkEnd w:id="115"/>
      <w:bookmarkEnd w:id="116"/>
      <w:bookmarkEnd w:id="117"/>
      <w:bookmarkEnd w:id="118"/>
      <w:bookmarkEnd w:id="119"/>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所有计量均采用中华人民共和国法定计量单位。</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120" w:name="_Toc2516"/>
      <w:bookmarkStart w:id="121" w:name="_Toc227492226"/>
      <w:bookmarkStart w:id="122" w:name="_Toc272772556"/>
      <w:bookmarkStart w:id="123" w:name="_Toc228881143"/>
      <w:bookmarkStart w:id="124" w:name="_Toc214433869"/>
      <w:bookmarkStart w:id="125" w:name="_Toc228337080"/>
      <w:bookmarkStart w:id="126" w:name="_Toc228589145"/>
      <w:bookmarkStart w:id="127" w:name="_Toc228591639"/>
      <w:bookmarkStart w:id="128" w:name="_Toc18362"/>
      <w:bookmarkStart w:id="129" w:name="_Toc227657469"/>
      <w:bookmarkStart w:id="130" w:name="_Toc228591491"/>
      <w:r>
        <w:rPr>
          <w:rFonts w:ascii="黑体" w:hAnsi="新宋体" w:eastAsia="黑体"/>
          <w:kern w:val="0"/>
          <w:sz w:val="24"/>
          <w:szCs w:val="24"/>
        </w:rPr>
        <w:t xml:space="preserve">1.9 </w:t>
      </w:r>
      <w:r>
        <w:rPr>
          <w:rFonts w:hint="eastAsia" w:ascii="黑体" w:hAnsi="新宋体" w:eastAsia="黑体"/>
          <w:kern w:val="0"/>
          <w:sz w:val="24"/>
          <w:szCs w:val="24"/>
        </w:rPr>
        <w:t>踏勘现场</w:t>
      </w:r>
      <w:bookmarkEnd w:id="120"/>
      <w:bookmarkEnd w:id="121"/>
      <w:bookmarkEnd w:id="122"/>
      <w:bookmarkEnd w:id="123"/>
      <w:bookmarkEnd w:id="124"/>
      <w:bookmarkEnd w:id="125"/>
      <w:bookmarkEnd w:id="126"/>
      <w:bookmarkEnd w:id="127"/>
      <w:bookmarkEnd w:id="128"/>
      <w:bookmarkEnd w:id="129"/>
      <w:bookmarkEnd w:id="130"/>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1.9.1 </w:t>
      </w:r>
      <w:r>
        <w:rPr>
          <w:rFonts w:hint="eastAsia" w:ascii="宋体" w:hAnsi="宋体"/>
          <w:kern w:val="0"/>
          <w:szCs w:val="21"/>
        </w:rPr>
        <w:t>投标人须知前附表规定不组织踏勘现场。由投标人自行组织现场踏勘，发生费用自理。</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1.9.2</w:t>
      </w:r>
      <w:r>
        <w:rPr>
          <w:rFonts w:hint="eastAsia" w:ascii="宋体" w:hAnsi="宋体"/>
          <w:kern w:val="0"/>
          <w:szCs w:val="21"/>
        </w:rPr>
        <w:t xml:space="preserve"> 投标人踏勘现场发生的费用自理。</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1.9.3 </w:t>
      </w:r>
      <w:r>
        <w:rPr>
          <w:rFonts w:hint="eastAsia" w:ascii="宋体" w:hAnsi="宋体"/>
          <w:kern w:val="0"/>
          <w:szCs w:val="21"/>
        </w:rPr>
        <w:t>除招标人的原因外，投标人自行负责在踏勘现场中所发生的人员伤亡和财产损失。</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1.9.4 </w:t>
      </w:r>
      <w:r>
        <w:rPr>
          <w:rFonts w:hint="eastAsia" w:ascii="宋体" w:hAnsi="宋体"/>
          <w:kern w:val="0"/>
          <w:szCs w:val="21"/>
        </w:rPr>
        <w:t>招标人在踏勘现场中介绍的工程场地和相关的周边环境情况，供投标人在编制投标文件时参考，招标人不对投标人据此作出的判断和决策负责。</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131" w:name="_Toc227657470"/>
      <w:bookmarkStart w:id="132" w:name="_Toc227492227"/>
      <w:bookmarkStart w:id="133" w:name="_Toc228337081"/>
      <w:bookmarkStart w:id="134" w:name="_Toc7888"/>
      <w:bookmarkStart w:id="135" w:name="_Toc228589146"/>
      <w:bookmarkStart w:id="136" w:name="_Toc214433870"/>
      <w:bookmarkStart w:id="137" w:name="_Toc272772557"/>
      <w:bookmarkStart w:id="138" w:name="_Toc228881144"/>
      <w:bookmarkStart w:id="139" w:name="_Toc25550"/>
      <w:bookmarkStart w:id="140" w:name="_Toc228591640"/>
      <w:bookmarkStart w:id="141" w:name="_Toc228591492"/>
      <w:r>
        <w:rPr>
          <w:rFonts w:ascii="黑体" w:hAnsi="新宋体" w:eastAsia="黑体"/>
          <w:kern w:val="0"/>
          <w:sz w:val="24"/>
          <w:szCs w:val="24"/>
        </w:rPr>
        <w:t xml:space="preserve">1.10 </w:t>
      </w:r>
      <w:r>
        <w:rPr>
          <w:rFonts w:hint="eastAsia" w:ascii="黑体" w:hAnsi="新宋体" w:eastAsia="黑体"/>
          <w:kern w:val="0"/>
          <w:sz w:val="24"/>
          <w:szCs w:val="24"/>
        </w:rPr>
        <w:t>投标预备会</w:t>
      </w:r>
      <w:bookmarkEnd w:id="131"/>
      <w:bookmarkEnd w:id="132"/>
      <w:bookmarkEnd w:id="133"/>
      <w:bookmarkEnd w:id="134"/>
      <w:bookmarkEnd w:id="135"/>
      <w:bookmarkEnd w:id="136"/>
      <w:bookmarkEnd w:id="137"/>
      <w:bookmarkEnd w:id="138"/>
      <w:bookmarkEnd w:id="139"/>
      <w:bookmarkEnd w:id="140"/>
      <w:bookmarkEnd w:id="141"/>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1.10.1 </w:t>
      </w:r>
      <w:r>
        <w:rPr>
          <w:rFonts w:hint="eastAsia" w:ascii="宋体" w:hAnsi="宋体"/>
          <w:kern w:val="0"/>
          <w:szCs w:val="21"/>
        </w:rPr>
        <w:t>投标人是否召开投标预备会：见投标人须知前附表规定。</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142" w:name="_Toc272772558"/>
      <w:bookmarkStart w:id="143" w:name="_Toc9038"/>
      <w:bookmarkStart w:id="144" w:name="_Toc228591641"/>
      <w:bookmarkStart w:id="145" w:name="_Toc228881145"/>
      <w:bookmarkStart w:id="146" w:name="_Toc227492228"/>
      <w:bookmarkStart w:id="147" w:name="_Toc228591493"/>
      <w:bookmarkStart w:id="148" w:name="_Toc227657471"/>
      <w:bookmarkStart w:id="149" w:name="_Toc27566"/>
      <w:bookmarkStart w:id="150" w:name="_Toc228589147"/>
      <w:bookmarkStart w:id="151" w:name="_Toc214433871"/>
      <w:bookmarkStart w:id="152" w:name="_Toc228337082"/>
      <w:r>
        <w:rPr>
          <w:rFonts w:ascii="黑体" w:hAnsi="新宋体" w:eastAsia="黑体"/>
          <w:kern w:val="0"/>
          <w:sz w:val="24"/>
          <w:szCs w:val="24"/>
        </w:rPr>
        <w:t xml:space="preserve">1.11 </w:t>
      </w:r>
      <w:r>
        <w:rPr>
          <w:rFonts w:hint="eastAsia" w:ascii="黑体" w:hAnsi="新宋体" w:eastAsia="黑体"/>
          <w:kern w:val="0"/>
          <w:sz w:val="24"/>
          <w:szCs w:val="24"/>
        </w:rPr>
        <w:t>分包</w:t>
      </w:r>
      <w:bookmarkEnd w:id="142"/>
      <w:bookmarkEnd w:id="143"/>
      <w:bookmarkEnd w:id="144"/>
      <w:bookmarkEnd w:id="145"/>
      <w:bookmarkEnd w:id="146"/>
      <w:bookmarkEnd w:id="147"/>
      <w:bookmarkEnd w:id="148"/>
      <w:bookmarkEnd w:id="149"/>
      <w:bookmarkEnd w:id="150"/>
      <w:bookmarkEnd w:id="151"/>
      <w:bookmarkEnd w:id="152"/>
    </w:p>
    <w:p>
      <w:pPr>
        <w:spacing w:line="400" w:lineRule="exact"/>
        <w:ind w:firstLine="567" w:firstLineChars="270"/>
      </w:pPr>
      <w:bookmarkStart w:id="153" w:name="_Toc227492229"/>
      <w:bookmarkStart w:id="154" w:name="_Toc228591494"/>
      <w:bookmarkStart w:id="155" w:name="_Toc214433872"/>
      <w:bookmarkStart w:id="156" w:name="_Toc228337083"/>
      <w:bookmarkStart w:id="157" w:name="_Toc228589148"/>
      <w:bookmarkStart w:id="158" w:name="_Toc228591642"/>
      <w:bookmarkStart w:id="159" w:name="_Toc228881146"/>
      <w:bookmarkStart w:id="160" w:name="_Toc227657472"/>
      <w:bookmarkStart w:id="161" w:name="_Toc272772559"/>
      <w:r>
        <w:rPr>
          <w:rFonts w:hint="eastAsia"/>
        </w:rPr>
        <w:t>招标人允许分包的，投标人拟在中标后将中标项目的部分非主体、非关键性工作进行分包的，应符合投标人须知前附表规定的分包内容、分包金额和接受分包的第三人资质要求等限制性条件。</w:t>
      </w:r>
    </w:p>
    <w:p>
      <w:pPr>
        <w:autoSpaceDE w:val="0"/>
        <w:autoSpaceDN w:val="0"/>
        <w:adjustRightInd w:val="0"/>
        <w:spacing w:line="400" w:lineRule="exact"/>
        <w:ind w:right="-34" w:rightChars="-16"/>
        <w:jc w:val="left"/>
        <w:outlineLvl w:val="0"/>
        <w:rPr>
          <w:rFonts w:ascii="宋体" w:hAnsi="宋体"/>
          <w:kern w:val="0"/>
          <w:szCs w:val="21"/>
        </w:rPr>
      </w:pPr>
      <w:bookmarkStart w:id="162" w:name="_Toc3856"/>
      <w:bookmarkStart w:id="163" w:name="_Toc21599"/>
      <w:r>
        <w:rPr>
          <w:rFonts w:ascii="黑体" w:hAnsi="新宋体" w:eastAsia="黑体"/>
          <w:kern w:val="0"/>
          <w:sz w:val="24"/>
          <w:szCs w:val="24"/>
        </w:rPr>
        <w:t xml:space="preserve">1.12 </w:t>
      </w:r>
      <w:r>
        <w:rPr>
          <w:rFonts w:hint="eastAsia" w:ascii="黑体" w:hAnsi="新宋体" w:eastAsia="黑体"/>
          <w:kern w:val="0"/>
          <w:sz w:val="24"/>
          <w:szCs w:val="24"/>
        </w:rPr>
        <w:t>偏离</w:t>
      </w:r>
      <w:bookmarkEnd w:id="153"/>
      <w:bookmarkEnd w:id="154"/>
      <w:bookmarkEnd w:id="155"/>
      <w:bookmarkEnd w:id="156"/>
      <w:bookmarkEnd w:id="157"/>
      <w:bookmarkEnd w:id="158"/>
      <w:bookmarkEnd w:id="159"/>
      <w:bookmarkEnd w:id="160"/>
      <w:bookmarkEnd w:id="161"/>
      <w:bookmarkEnd w:id="162"/>
      <w:bookmarkEnd w:id="163"/>
    </w:p>
    <w:p>
      <w:pPr>
        <w:spacing w:line="400" w:lineRule="exact"/>
        <w:ind w:firstLine="567" w:firstLineChars="270"/>
      </w:pPr>
      <w:r>
        <w:rPr>
          <w:rFonts w:hint="eastAsia"/>
        </w:rPr>
        <w:t>投标人须知前附表允许投标文件偏离招标文件某些要求的，偏离应当符合招标文件规定的偏离范围和幅度。</w:t>
      </w:r>
    </w:p>
    <w:p>
      <w:pPr>
        <w:pStyle w:val="69"/>
        <w:spacing w:line="400" w:lineRule="exact"/>
        <w:ind w:right="-34" w:rightChars="-16"/>
        <w:jc w:val="both"/>
        <w:outlineLvl w:val="0"/>
        <w:rPr>
          <w:rFonts w:ascii="黑体" w:hAnsi="新宋体" w:eastAsia="黑体"/>
          <w:color w:val="auto"/>
          <w:sz w:val="28"/>
          <w:szCs w:val="28"/>
        </w:rPr>
      </w:pPr>
      <w:bookmarkStart w:id="164" w:name="_Toc11128"/>
      <w:bookmarkStart w:id="165" w:name="_Toc228337084"/>
      <w:bookmarkStart w:id="166" w:name="_Toc272772560"/>
      <w:bookmarkStart w:id="167" w:name="_Toc228589149"/>
      <w:bookmarkStart w:id="168" w:name="_Toc25535"/>
      <w:bookmarkStart w:id="169" w:name="_Toc214433873"/>
      <w:bookmarkStart w:id="170" w:name="_Toc228591643"/>
      <w:bookmarkStart w:id="171" w:name="_Toc228881147"/>
      <w:bookmarkStart w:id="172" w:name="_Toc228591495"/>
      <w:bookmarkStart w:id="173" w:name="_Toc227657473"/>
      <w:bookmarkStart w:id="174" w:name="_Toc227492230"/>
      <w:r>
        <w:rPr>
          <w:rFonts w:ascii="黑体" w:hAnsi="新宋体" w:eastAsia="黑体"/>
          <w:color w:val="auto"/>
          <w:sz w:val="28"/>
          <w:szCs w:val="28"/>
        </w:rPr>
        <w:t xml:space="preserve">2. </w:t>
      </w:r>
      <w:r>
        <w:rPr>
          <w:rFonts w:hint="eastAsia" w:ascii="黑体" w:hAnsi="新宋体" w:eastAsia="黑体"/>
          <w:color w:val="auto"/>
          <w:sz w:val="28"/>
          <w:szCs w:val="28"/>
        </w:rPr>
        <w:t>招标文件</w:t>
      </w:r>
      <w:bookmarkEnd w:id="164"/>
      <w:bookmarkEnd w:id="165"/>
      <w:bookmarkEnd w:id="166"/>
      <w:bookmarkEnd w:id="167"/>
      <w:bookmarkEnd w:id="168"/>
      <w:bookmarkEnd w:id="169"/>
      <w:bookmarkEnd w:id="170"/>
      <w:bookmarkEnd w:id="171"/>
      <w:bookmarkEnd w:id="172"/>
      <w:bookmarkEnd w:id="173"/>
      <w:bookmarkEnd w:id="174"/>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175" w:name="_Toc28222"/>
      <w:bookmarkStart w:id="176" w:name="_Toc11964"/>
      <w:bookmarkStart w:id="177" w:name="_Toc228591644"/>
      <w:bookmarkStart w:id="178" w:name="_Toc214433874"/>
      <w:bookmarkStart w:id="179" w:name="_Toc228881148"/>
      <w:bookmarkStart w:id="180" w:name="_Toc227492231"/>
      <w:bookmarkStart w:id="181" w:name="_Toc228589150"/>
      <w:bookmarkStart w:id="182" w:name="_Toc228591496"/>
      <w:bookmarkStart w:id="183" w:name="_Toc228337085"/>
      <w:bookmarkStart w:id="184" w:name="_Toc272772561"/>
      <w:bookmarkStart w:id="185" w:name="_Toc227657474"/>
      <w:r>
        <w:rPr>
          <w:rFonts w:ascii="黑体" w:hAnsi="新宋体" w:eastAsia="黑体"/>
          <w:kern w:val="0"/>
          <w:sz w:val="24"/>
          <w:szCs w:val="24"/>
        </w:rPr>
        <w:t xml:space="preserve">2.1 </w:t>
      </w:r>
      <w:r>
        <w:rPr>
          <w:rFonts w:hint="eastAsia" w:ascii="黑体" w:hAnsi="新宋体" w:eastAsia="黑体"/>
          <w:kern w:val="0"/>
          <w:sz w:val="24"/>
          <w:szCs w:val="24"/>
        </w:rPr>
        <w:t>招标文件的组成</w:t>
      </w:r>
      <w:bookmarkEnd w:id="175"/>
      <w:bookmarkEnd w:id="176"/>
      <w:bookmarkEnd w:id="177"/>
      <w:bookmarkEnd w:id="178"/>
      <w:bookmarkEnd w:id="179"/>
      <w:bookmarkEnd w:id="180"/>
      <w:bookmarkEnd w:id="181"/>
      <w:bookmarkEnd w:id="182"/>
      <w:bookmarkEnd w:id="183"/>
      <w:bookmarkEnd w:id="184"/>
      <w:bookmarkEnd w:id="185"/>
    </w:p>
    <w:p>
      <w:pPr>
        <w:tabs>
          <w:tab w:val="left" w:pos="1260"/>
        </w:tabs>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本招标文件包括：</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）招标公告；</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2</w:t>
      </w:r>
      <w:r>
        <w:rPr>
          <w:rFonts w:hint="eastAsia" w:ascii="宋体" w:hAnsi="宋体"/>
          <w:kern w:val="0"/>
          <w:szCs w:val="21"/>
        </w:rPr>
        <w:t>）投标人须知；</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3</w:t>
      </w:r>
      <w:r>
        <w:rPr>
          <w:rFonts w:hint="eastAsia" w:ascii="宋体" w:hAnsi="宋体"/>
          <w:kern w:val="0"/>
          <w:szCs w:val="21"/>
        </w:rPr>
        <w:t>）评标办法；</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4</w:t>
      </w:r>
      <w:r>
        <w:rPr>
          <w:rFonts w:hint="eastAsia" w:ascii="宋体" w:hAnsi="宋体"/>
          <w:kern w:val="0"/>
          <w:szCs w:val="21"/>
        </w:rPr>
        <w:t>）合同条款及格式；</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5</w:t>
      </w:r>
      <w:r>
        <w:rPr>
          <w:rFonts w:hint="eastAsia" w:ascii="宋体" w:hAnsi="宋体"/>
          <w:kern w:val="0"/>
          <w:szCs w:val="21"/>
        </w:rPr>
        <w:t>）工程量清单（交易平台下载）；</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6</w:t>
      </w:r>
      <w:r>
        <w:rPr>
          <w:rFonts w:hint="eastAsia" w:ascii="宋体" w:hAnsi="宋体"/>
          <w:kern w:val="0"/>
          <w:szCs w:val="21"/>
        </w:rPr>
        <w:t>）图纸（交易平台下载）；</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7</w:t>
      </w:r>
      <w:r>
        <w:rPr>
          <w:rFonts w:hint="eastAsia" w:ascii="宋体" w:hAnsi="宋体"/>
          <w:kern w:val="0"/>
          <w:szCs w:val="21"/>
        </w:rPr>
        <w:t>）技术标准和要求；</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8</w:t>
      </w:r>
      <w:r>
        <w:rPr>
          <w:rFonts w:hint="eastAsia" w:ascii="宋体" w:hAnsi="宋体"/>
          <w:kern w:val="0"/>
          <w:szCs w:val="21"/>
        </w:rPr>
        <w:t>）投标文件格式；</w:t>
      </w:r>
    </w:p>
    <w:p>
      <w:pPr>
        <w:tabs>
          <w:tab w:val="left" w:pos="1260"/>
        </w:tabs>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根据本章第</w:t>
      </w:r>
      <w:r>
        <w:rPr>
          <w:rFonts w:ascii="宋体" w:hAnsi="宋体"/>
          <w:kern w:val="0"/>
          <w:szCs w:val="21"/>
        </w:rPr>
        <w:t xml:space="preserve">1.10 </w:t>
      </w:r>
      <w:r>
        <w:rPr>
          <w:rFonts w:hint="eastAsia" w:ascii="宋体" w:hAnsi="宋体"/>
          <w:kern w:val="0"/>
          <w:szCs w:val="21"/>
        </w:rPr>
        <w:t>款、第</w:t>
      </w:r>
      <w:r>
        <w:rPr>
          <w:rFonts w:ascii="宋体" w:hAnsi="宋体"/>
          <w:kern w:val="0"/>
          <w:szCs w:val="21"/>
        </w:rPr>
        <w:t xml:space="preserve">2.2 </w:t>
      </w:r>
      <w:r>
        <w:rPr>
          <w:rFonts w:hint="eastAsia" w:ascii="宋体" w:hAnsi="宋体"/>
          <w:kern w:val="0"/>
          <w:szCs w:val="21"/>
        </w:rPr>
        <w:t>款和第</w:t>
      </w:r>
      <w:r>
        <w:rPr>
          <w:rFonts w:ascii="宋体" w:hAnsi="宋体"/>
          <w:kern w:val="0"/>
          <w:szCs w:val="21"/>
        </w:rPr>
        <w:t xml:space="preserve">2.3 </w:t>
      </w:r>
      <w:r>
        <w:rPr>
          <w:rFonts w:hint="eastAsia" w:ascii="宋体" w:hAnsi="宋体"/>
          <w:kern w:val="0"/>
          <w:szCs w:val="21"/>
        </w:rPr>
        <w:t>款对招标文件所作的澄清、修改，构成招标文件的组成部分。</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186" w:name="_Toc227492232"/>
      <w:bookmarkStart w:id="187" w:name="_Toc227657475"/>
      <w:bookmarkStart w:id="188" w:name="_Toc228591645"/>
      <w:bookmarkStart w:id="189" w:name="_Toc228881149"/>
      <w:bookmarkStart w:id="190" w:name="_Toc228337086"/>
      <w:bookmarkStart w:id="191" w:name="_Toc17908"/>
      <w:bookmarkStart w:id="192" w:name="_Toc228591497"/>
      <w:bookmarkStart w:id="193" w:name="_Toc228589151"/>
      <w:bookmarkStart w:id="194" w:name="_Toc214433875"/>
      <w:bookmarkStart w:id="195" w:name="_Toc27213"/>
      <w:bookmarkStart w:id="196" w:name="_Toc272772562"/>
      <w:r>
        <w:rPr>
          <w:rFonts w:ascii="黑体" w:hAnsi="新宋体" w:eastAsia="黑体"/>
          <w:kern w:val="0"/>
          <w:sz w:val="24"/>
          <w:szCs w:val="24"/>
        </w:rPr>
        <w:t xml:space="preserve">2.2 </w:t>
      </w:r>
      <w:r>
        <w:rPr>
          <w:rFonts w:hint="eastAsia" w:ascii="黑体" w:hAnsi="新宋体" w:eastAsia="黑体"/>
          <w:kern w:val="0"/>
          <w:sz w:val="24"/>
          <w:szCs w:val="24"/>
        </w:rPr>
        <w:t>招标文件的澄清</w:t>
      </w:r>
      <w:bookmarkEnd w:id="186"/>
      <w:bookmarkEnd w:id="187"/>
      <w:bookmarkEnd w:id="188"/>
      <w:bookmarkEnd w:id="189"/>
      <w:bookmarkEnd w:id="190"/>
      <w:bookmarkEnd w:id="191"/>
      <w:bookmarkEnd w:id="192"/>
      <w:bookmarkEnd w:id="193"/>
      <w:bookmarkEnd w:id="194"/>
      <w:bookmarkEnd w:id="195"/>
      <w:bookmarkEnd w:id="196"/>
    </w:p>
    <w:p>
      <w:pPr>
        <w:spacing w:line="400" w:lineRule="exact"/>
        <w:ind w:firstLine="420" w:firstLineChars="200"/>
      </w:pPr>
      <w:bookmarkStart w:id="197" w:name="_Toc228881150"/>
      <w:bookmarkStart w:id="198" w:name="_Toc214433876"/>
      <w:bookmarkStart w:id="199" w:name="_Toc227492233"/>
      <w:bookmarkStart w:id="200" w:name="_Toc228589152"/>
      <w:bookmarkStart w:id="201" w:name="_Toc228591498"/>
      <w:bookmarkStart w:id="202" w:name="_Toc272772563"/>
      <w:bookmarkStart w:id="203" w:name="_Toc227657476"/>
      <w:bookmarkStart w:id="204" w:name="_Toc228591646"/>
      <w:bookmarkStart w:id="205" w:name="_Toc228337087"/>
      <w:r>
        <w:rPr>
          <w:rFonts w:hint="eastAsia"/>
        </w:rPr>
        <w:t>2.2.1投标人应仔细阅读和检查招标文件的全部内容。</w:t>
      </w:r>
      <w:r>
        <w:rPr>
          <w:rFonts w:hint="eastAsia" w:ascii="宋体" w:hAnsi="宋体"/>
          <w:szCs w:val="21"/>
        </w:rPr>
        <w:t>如发现缺页或附件不全，应及时向招标人提出，以便补齐。</w:t>
      </w:r>
      <w:r>
        <w:rPr>
          <w:rFonts w:hint="eastAsia"/>
        </w:rPr>
        <w:t>如有疑问，应在投标人须知前附表规定的时间前在驻马店市</w:t>
      </w:r>
      <w:r>
        <w:t>公共资源</w:t>
      </w:r>
      <w:r>
        <w:rPr>
          <w:rFonts w:hint="eastAsia"/>
        </w:rPr>
        <w:t>电子交易平台上进行提问，要求招标人对招标文件予以澄清。</w:t>
      </w:r>
    </w:p>
    <w:p>
      <w:pPr>
        <w:spacing w:line="400" w:lineRule="exact"/>
        <w:ind w:firstLine="420" w:firstLineChars="200"/>
      </w:pPr>
      <w:r>
        <w:rPr>
          <w:rFonts w:hint="eastAsia"/>
        </w:rPr>
        <w:t>2.2.2 招标文件的澄清将在投标人须知前附表规定的投标截止时间15日前在交易平台上发给所有购买招标文件的投标人，但不指明澄清问题的来源。如果澄清发出的时间距投标截止时间不足15天，相应延长投标截止时间。</w:t>
      </w:r>
    </w:p>
    <w:p>
      <w:pPr>
        <w:spacing w:line="400" w:lineRule="exact"/>
        <w:ind w:firstLine="420" w:firstLineChars="200"/>
      </w:pPr>
      <w:r>
        <w:rPr>
          <w:rFonts w:hint="eastAsia"/>
        </w:rPr>
        <w:t>2.2.3 投标人在收到澄清后，应在投标人须知前附表规定的时间内在交易平台上回复确认已收到该澄清。</w:t>
      </w:r>
    </w:p>
    <w:p>
      <w:pPr>
        <w:spacing w:line="400" w:lineRule="exact"/>
        <w:ind w:firstLine="420" w:firstLineChars="200"/>
      </w:pPr>
      <w:r>
        <w:rPr>
          <w:rFonts w:hint="eastAsia"/>
        </w:rPr>
        <w:t>2.2.4除非招标人认为确有必要答复，否则，招标人有权拒绝回复投标人在投标须知前附表第2.2.1项规定的时间后的任何澄清要求。</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206" w:name="_Toc17384"/>
      <w:bookmarkStart w:id="207" w:name="_Toc11569"/>
      <w:r>
        <w:rPr>
          <w:rFonts w:ascii="黑体" w:hAnsi="新宋体" w:eastAsia="黑体"/>
          <w:kern w:val="0"/>
          <w:sz w:val="24"/>
          <w:szCs w:val="24"/>
        </w:rPr>
        <w:t xml:space="preserve">2.3 </w:t>
      </w:r>
      <w:r>
        <w:rPr>
          <w:rFonts w:hint="eastAsia" w:ascii="黑体" w:hAnsi="新宋体" w:eastAsia="黑体"/>
          <w:kern w:val="0"/>
          <w:sz w:val="24"/>
          <w:szCs w:val="24"/>
        </w:rPr>
        <w:t>招标文件的修改</w:t>
      </w:r>
      <w:bookmarkEnd w:id="197"/>
      <w:bookmarkEnd w:id="198"/>
      <w:bookmarkEnd w:id="199"/>
      <w:bookmarkEnd w:id="200"/>
      <w:bookmarkEnd w:id="201"/>
      <w:bookmarkEnd w:id="202"/>
      <w:bookmarkEnd w:id="203"/>
      <w:bookmarkEnd w:id="204"/>
      <w:bookmarkEnd w:id="205"/>
      <w:bookmarkEnd w:id="206"/>
      <w:bookmarkEnd w:id="207"/>
    </w:p>
    <w:p>
      <w:pPr>
        <w:spacing w:line="400" w:lineRule="exact"/>
        <w:ind w:firstLine="420" w:firstLineChars="200"/>
      </w:pPr>
      <w:bookmarkStart w:id="208" w:name="_Toc228591647"/>
      <w:bookmarkStart w:id="209" w:name="_Toc272772564"/>
      <w:bookmarkStart w:id="210" w:name="_Toc228589153"/>
      <w:bookmarkStart w:id="211" w:name="_Toc228591499"/>
      <w:bookmarkStart w:id="212" w:name="_Toc214433877"/>
      <w:bookmarkStart w:id="213" w:name="_Toc228337088"/>
      <w:bookmarkStart w:id="214" w:name="_Toc227492234"/>
      <w:bookmarkStart w:id="215" w:name="_Toc228881151"/>
      <w:bookmarkStart w:id="216" w:name="_Toc227657477"/>
      <w:r>
        <w:rPr>
          <w:rFonts w:hint="eastAsia"/>
        </w:rPr>
        <w:t xml:space="preserve">2.3.1 在投标截止时间15天前，招标人可以修改招标文件。如有修改，应在驻马店市公共资源交易中心交易平台上发给所有购买招标文件的投标人。如果修改招标文件的时间距投标截止时间不足15天，相应延长投标截止时间。 </w:t>
      </w:r>
    </w:p>
    <w:p>
      <w:pPr>
        <w:spacing w:line="400" w:lineRule="exact"/>
        <w:ind w:firstLine="420" w:firstLineChars="200"/>
      </w:pPr>
      <w:r>
        <w:rPr>
          <w:rFonts w:hint="eastAsia"/>
        </w:rPr>
        <w:t>2.3.2 投标人收到修改内容后，应在投标人须知前附表规定的时间内在交易平台上回复确认已收到该修改。</w:t>
      </w:r>
    </w:p>
    <w:p>
      <w:pPr>
        <w:spacing w:line="400" w:lineRule="exact"/>
        <w:rPr>
          <w:rFonts w:ascii="黑体" w:hAnsi="黑体" w:eastAsia="黑体"/>
        </w:rPr>
      </w:pPr>
      <w:r>
        <w:rPr>
          <w:rFonts w:hint="eastAsia" w:ascii="黑体" w:hAnsi="黑体" w:eastAsia="黑体"/>
        </w:rPr>
        <w:t>2.4招标文件的异议</w:t>
      </w:r>
    </w:p>
    <w:p>
      <w:pPr>
        <w:spacing w:line="400" w:lineRule="exact"/>
      </w:pPr>
      <w:r>
        <w:rPr>
          <w:rFonts w:hint="eastAsia"/>
        </w:rPr>
        <w:t xml:space="preserve">  投标人或者其他利害关系人对招标文件有异议的，应当在投标截止时间10日前以书面形式提出，逾期为未提，视为对招标文件无异议。招标人将在收到异议之日起3日内作出答复；作出答复前，将暂停招标投标活动。</w:t>
      </w:r>
    </w:p>
    <w:p>
      <w:pPr>
        <w:pStyle w:val="69"/>
        <w:spacing w:line="400" w:lineRule="exact"/>
        <w:ind w:right="-34" w:rightChars="-16"/>
        <w:jc w:val="both"/>
        <w:outlineLvl w:val="0"/>
        <w:rPr>
          <w:rFonts w:ascii="黑体" w:hAnsi="新宋体" w:eastAsia="黑体"/>
          <w:color w:val="auto"/>
          <w:sz w:val="28"/>
          <w:szCs w:val="28"/>
        </w:rPr>
      </w:pPr>
      <w:bookmarkStart w:id="217" w:name="_Toc248"/>
      <w:bookmarkStart w:id="218" w:name="_Toc11376"/>
      <w:r>
        <w:rPr>
          <w:rFonts w:ascii="黑体" w:hAnsi="新宋体" w:eastAsia="黑体"/>
          <w:color w:val="auto"/>
          <w:sz w:val="28"/>
          <w:szCs w:val="28"/>
        </w:rPr>
        <w:t xml:space="preserve">3. </w:t>
      </w:r>
      <w:r>
        <w:rPr>
          <w:rFonts w:hint="eastAsia" w:ascii="黑体" w:hAnsi="新宋体" w:eastAsia="黑体"/>
          <w:color w:val="auto"/>
          <w:sz w:val="28"/>
          <w:szCs w:val="28"/>
        </w:rPr>
        <w:t>投标文件</w:t>
      </w:r>
      <w:bookmarkEnd w:id="208"/>
      <w:bookmarkEnd w:id="209"/>
      <w:bookmarkEnd w:id="210"/>
      <w:bookmarkEnd w:id="211"/>
      <w:bookmarkEnd w:id="212"/>
      <w:bookmarkEnd w:id="213"/>
      <w:bookmarkEnd w:id="214"/>
      <w:bookmarkEnd w:id="215"/>
      <w:bookmarkEnd w:id="216"/>
      <w:bookmarkEnd w:id="217"/>
      <w:bookmarkEnd w:id="218"/>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219" w:name="_Toc228589154"/>
      <w:bookmarkStart w:id="220" w:name="_Toc14015"/>
      <w:bookmarkStart w:id="221" w:name="_Toc214433878"/>
      <w:bookmarkStart w:id="222" w:name="_Toc227492235"/>
      <w:bookmarkStart w:id="223" w:name="_Toc228591648"/>
      <w:bookmarkStart w:id="224" w:name="_Toc227657478"/>
      <w:bookmarkStart w:id="225" w:name="_Toc272772565"/>
      <w:bookmarkStart w:id="226" w:name="_Toc30875"/>
      <w:bookmarkStart w:id="227" w:name="_Toc228881152"/>
      <w:bookmarkStart w:id="228" w:name="_Toc228337089"/>
      <w:bookmarkStart w:id="229" w:name="_Toc228591500"/>
      <w:r>
        <w:rPr>
          <w:rFonts w:ascii="黑体" w:hAnsi="新宋体" w:eastAsia="黑体"/>
          <w:kern w:val="0"/>
          <w:sz w:val="24"/>
          <w:szCs w:val="24"/>
        </w:rPr>
        <w:t xml:space="preserve">3.1 </w:t>
      </w:r>
      <w:r>
        <w:rPr>
          <w:rFonts w:hint="eastAsia" w:ascii="黑体" w:hAnsi="新宋体" w:eastAsia="黑体"/>
          <w:kern w:val="0"/>
          <w:sz w:val="24"/>
          <w:szCs w:val="24"/>
        </w:rPr>
        <w:t>投标文件的组成</w:t>
      </w:r>
      <w:bookmarkEnd w:id="219"/>
      <w:bookmarkEnd w:id="220"/>
      <w:bookmarkEnd w:id="221"/>
      <w:bookmarkEnd w:id="222"/>
      <w:bookmarkEnd w:id="223"/>
      <w:bookmarkEnd w:id="224"/>
      <w:bookmarkEnd w:id="225"/>
      <w:bookmarkEnd w:id="226"/>
      <w:bookmarkEnd w:id="227"/>
      <w:bookmarkEnd w:id="228"/>
      <w:bookmarkEnd w:id="229"/>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3.1.1 </w:t>
      </w:r>
      <w:r>
        <w:rPr>
          <w:rFonts w:hint="eastAsia" w:ascii="宋体" w:hAnsi="宋体"/>
          <w:kern w:val="0"/>
          <w:szCs w:val="21"/>
        </w:rPr>
        <w:t>投标文件应包括下列内容：</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）投标函及投标函附录；</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（2）法定代表人身份证明；</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（3）附有法定代表人身份证明的授权委托书；</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（4）投标保证金交纳证明；</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（5）已标价工程量清单；</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（6）技术标；</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（7）技术标准和要求；</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（8）项目管理机构；</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（9）资格审查资料；</w:t>
      </w:r>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（10）投标人须知前附表规定的其他材料。</w:t>
      </w:r>
    </w:p>
    <w:p>
      <w:pPr>
        <w:autoSpaceDE w:val="0"/>
        <w:autoSpaceDN w:val="0"/>
        <w:adjustRightInd w:val="0"/>
        <w:spacing w:line="400" w:lineRule="exact"/>
        <w:ind w:right="-34" w:rightChars="-16" w:firstLine="525" w:firstLineChars="250"/>
        <w:jc w:val="left"/>
        <w:rPr>
          <w:rFonts w:ascii="宋体" w:hAnsi="宋体"/>
          <w:kern w:val="0"/>
          <w:szCs w:val="21"/>
        </w:rPr>
      </w:pPr>
      <w:r>
        <w:rPr>
          <w:rFonts w:ascii="宋体" w:hAnsi="宋体"/>
          <w:kern w:val="0"/>
          <w:szCs w:val="21"/>
        </w:rPr>
        <w:t>投标人在评标过程中作出的符合法律法规和招标文件规定的澄清确认，构成投标文件的组成部分。</w:t>
      </w:r>
    </w:p>
    <w:p>
      <w:pPr>
        <w:spacing w:line="400" w:lineRule="exact"/>
        <w:ind w:right="-34" w:rightChars="-16" w:firstLine="420" w:firstLineChars="200"/>
        <w:rPr>
          <w:rFonts w:ascii="宋体" w:hAnsi="宋体"/>
          <w:szCs w:val="21"/>
        </w:rPr>
      </w:pPr>
      <w:r>
        <w:rPr>
          <w:rFonts w:hint="eastAsia" w:ascii="宋体" w:hAnsi="宋体"/>
          <w:szCs w:val="21"/>
        </w:rPr>
        <w:t>3.1.2技术标（施工组织设计）主要包括下列内容：</w:t>
      </w:r>
    </w:p>
    <w:p>
      <w:pPr>
        <w:spacing w:line="400" w:lineRule="exact"/>
        <w:ind w:right="-34" w:rightChars="-16" w:firstLine="787" w:firstLineChars="375"/>
        <w:rPr>
          <w:rFonts w:ascii="宋体" w:hAnsi="宋体"/>
          <w:szCs w:val="21"/>
        </w:rPr>
      </w:pPr>
      <w:r>
        <w:rPr>
          <w:rFonts w:hint="eastAsia" w:ascii="宋体" w:hAnsi="宋体"/>
          <w:szCs w:val="21"/>
        </w:rPr>
        <w:t xml:space="preserve">1）施工方案和技术措施； </w:t>
      </w:r>
    </w:p>
    <w:p>
      <w:pPr>
        <w:spacing w:line="400" w:lineRule="exact"/>
        <w:ind w:right="-34" w:rightChars="-16" w:firstLine="787" w:firstLineChars="375"/>
        <w:rPr>
          <w:rFonts w:ascii="宋体" w:hAnsi="宋体"/>
          <w:szCs w:val="21"/>
        </w:rPr>
      </w:pPr>
      <w:r>
        <w:rPr>
          <w:rFonts w:hint="eastAsia" w:ascii="宋体" w:hAnsi="宋体"/>
          <w:szCs w:val="21"/>
        </w:rPr>
        <w:t>2）</w:t>
      </w:r>
      <w:r>
        <w:rPr>
          <w:rFonts w:hint="eastAsia" w:hAnsi="宋体"/>
        </w:rPr>
        <w:t>质量管理体系与措施</w:t>
      </w:r>
      <w:r>
        <w:rPr>
          <w:rFonts w:hint="eastAsia" w:ascii="宋体" w:hAnsi="宋体"/>
          <w:szCs w:val="21"/>
        </w:rPr>
        <w:t>；</w:t>
      </w:r>
    </w:p>
    <w:p>
      <w:pPr>
        <w:spacing w:line="400" w:lineRule="exact"/>
        <w:ind w:right="-34" w:rightChars="-16" w:firstLine="787" w:firstLineChars="375"/>
        <w:rPr>
          <w:rFonts w:ascii="宋体" w:hAnsi="宋体"/>
          <w:szCs w:val="21"/>
        </w:rPr>
      </w:pPr>
      <w:r>
        <w:rPr>
          <w:rFonts w:hint="eastAsia" w:ascii="宋体" w:hAnsi="宋体"/>
          <w:szCs w:val="21"/>
        </w:rPr>
        <w:t>3）</w:t>
      </w:r>
      <w:r>
        <w:rPr>
          <w:rFonts w:hint="eastAsia" w:hAnsi="宋体"/>
        </w:rPr>
        <w:t>安全管理体系与措施</w:t>
      </w:r>
      <w:r>
        <w:rPr>
          <w:rFonts w:hint="eastAsia" w:ascii="宋体" w:hAnsi="宋体"/>
          <w:szCs w:val="21"/>
        </w:rPr>
        <w:t>；</w:t>
      </w:r>
    </w:p>
    <w:p>
      <w:pPr>
        <w:spacing w:line="400" w:lineRule="exact"/>
        <w:ind w:right="-34" w:rightChars="-16" w:firstLine="787" w:firstLineChars="375"/>
        <w:rPr>
          <w:rFonts w:ascii="宋体" w:hAnsi="宋体"/>
          <w:szCs w:val="21"/>
        </w:rPr>
      </w:pPr>
      <w:r>
        <w:rPr>
          <w:rFonts w:hint="eastAsia" w:ascii="宋体" w:hAnsi="宋体"/>
          <w:szCs w:val="21"/>
        </w:rPr>
        <w:t>4）</w:t>
      </w:r>
      <w:r>
        <w:rPr>
          <w:rFonts w:hint="eastAsia" w:hAnsi="宋体"/>
        </w:rPr>
        <w:t>环境保护管理体系与措施</w:t>
      </w:r>
      <w:r>
        <w:rPr>
          <w:rFonts w:hint="eastAsia" w:ascii="宋体" w:hAnsi="宋体"/>
          <w:szCs w:val="21"/>
        </w:rPr>
        <w:t xml:space="preserve">； </w:t>
      </w:r>
    </w:p>
    <w:p>
      <w:pPr>
        <w:spacing w:line="400" w:lineRule="exact"/>
        <w:ind w:right="-34" w:rightChars="-16" w:firstLine="787" w:firstLineChars="375"/>
        <w:rPr>
          <w:rFonts w:ascii="宋体" w:hAnsi="宋体"/>
          <w:szCs w:val="21"/>
        </w:rPr>
      </w:pPr>
      <w:r>
        <w:rPr>
          <w:rFonts w:hint="eastAsia" w:ascii="宋体" w:hAnsi="宋体"/>
          <w:szCs w:val="21"/>
        </w:rPr>
        <w:t>5）</w:t>
      </w:r>
      <w:r>
        <w:rPr>
          <w:rFonts w:hint="eastAsia" w:hAnsi="宋体"/>
        </w:rPr>
        <w:t>工程进度计划与措施</w:t>
      </w:r>
      <w:r>
        <w:rPr>
          <w:rFonts w:hint="eastAsia" w:ascii="宋体" w:hAnsi="宋体"/>
          <w:szCs w:val="21"/>
        </w:rPr>
        <w:t>；</w:t>
      </w:r>
    </w:p>
    <w:p>
      <w:pPr>
        <w:spacing w:line="400" w:lineRule="exact"/>
        <w:ind w:right="-34" w:rightChars="-16" w:firstLine="787" w:firstLineChars="375"/>
        <w:rPr>
          <w:rFonts w:ascii="宋体" w:hAnsi="宋体"/>
          <w:szCs w:val="21"/>
        </w:rPr>
      </w:pPr>
      <w:r>
        <w:rPr>
          <w:rFonts w:hint="eastAsia" w:ascii="宋体" w:hAnsi="宋体"/>
          <w:szCs w:val="21"/>
        </w:rPr>
        <w:t>6）</w:t>
      </w:r>
      <w:r>
        <w:rPr>
          <w:rFonts w:hint="eastAsia" w:hAnsi="宋体"/>
        </w:rPr>
        <w:t>拟投入资源配备计划</w:t>
      </w:r>
      <w:r>
        <w:rPr>
          <w:rFonts w:hint="eastAsia" w:ascii="宋体" w:hAnsi="宋体"/>
          <w:szCs w:val="21"/>
        </w:rPr>
        <w:t xml:space="preserve">；  </w:t>
      </w:r>
    </w:p>
    <w:p>
      <w:pPr>
        <w:spacing w:line="400" w:lineRule="exact"/>
        <w:ind w:right="-34" w:rightChars="-16" w:firstLine="787" w:firstLineChars="375"/>
        <w:rPr>
          <w:rFonts w:ascii="宋体" w:hAnsi="宋体"/>
          <w:szCs w:val="21"/>
        </w:rPr>
      </w:pPr>
      <w:r>
        <w:rPr>
          <w:rFonts w:hint="eastAsia" w:ascii="宋体" w:hAnsi="宋体"/>
          <w:szCs w:val="21"/>
        </w:rPr>
        <w:t>7）</w:t>
      </w:r>
      <w:r>
        <w:rPr>
          <w:rFonts w:hint="eastAsia" w:hAnsi="宋体"/>
        </w:rPr>
        <w:t>施工进度表或施工网络图</w:t>
      </w:r>
      <w:r>
        <w:rPr>
          <w:rFonts w:hint="eastAsia" w:ascii="宋体" w:hAnsi="宋体"/>
          <w:szCs w:val="21"/>
        </w:rPr>
        <w:t xml:space="preserve">； </w:t>
      </w:r>
    </w:p>
    <w:p>
      <w:pPr>
        <w:spacing w:line="400" w:lineRule="exact"/>
        <w:ind w:right="-34" w:rightChars="-16" w:firstLine="787" w:firstLineChars="375"/>
        <w:rPr>
          <w:rFonts w:ascii="宋体" w:hAnsi="宋体"/>
          <w:szCs w:val="21"/>
        </w:rPr>
      </w:pPr>
      <w:r>
        <w:rPr>
          <w:rFonts w:hint="eastAsia" w:ascii="宋体" w:hAnsi="宋体"/>
          <w:szCs w:val="21"/>
        </w:rPr>
        <w:t>8）</w:t>
      </w:r>
      <w:r>
        <w:rPr>
          <w:rFonts w:hint="eastAsia" w:hAnsi="宋体"/>
        </w:rPr>
        <w:t>施工总平面布置图</w:t>
      </w:r>
      <w:r>
        <w:rPr>
          <w:rFonts w:hint="eastAsia" w:ascii="宋体" w:hAnsi="宋体"/>
          <w:szCs w:val="21"/>
        </w:rPr>
        <w:t xml:space="preserve">；  </w:t>
      </w:r>
    </w:p>
    <w:p>
      <w:pPr>
        <w:spacing w:line="400" w:lineRule="exact"/>
        <w:ind w:right="-34" w:rightChars="-16" w:firstLine="787" w:firstLineChars="375"/>
        <w:rPr>
          <w:rFonts w:ascii="宋体" w:hAnsi="宋体"/>
          <w:szCs w:val="21"/>
        </w:rPr>
      </w:pPr>
      <w:r>
        <w:rPr>
          <w:rFonts w:hint="eastAsia" w:ascii="宋体" w:hAnsi="宋体"/>
          <w:szCs w:val="21"/>
        </w:rPr>
        <w:t>9）</w:t>
      </w:r>
      <w:r>
        <w:rPr>
          <w:rFonts w:hint="eastAsia" w:ascii="宋体" w:hAnsi="宋体"/>
        </w:rPr>
        <w:t>在节能减排、绿色施工、工艺创新方面针对本工程有具体措施或企业自有创新技术</w:t>
      </w:r>
      <w:r>
        <w:rPr>
          <w:rFonts w:hint="eastAsia" w:ascii="宋体" w:hAnsi="宋体"/>
          <w:szCs w:val="21"/>
        </w:rPr>
        <w:t>；</w:t>
      </w:r>
    </w:p>
    <w:p>
      <w:pPr>
        <w:spacing w:line="400" w:lineRule="exact"/>
        <w:ind w:left="1208" w:leftChars="375" w:right="-34" w:rightChars="-16" w:hanging="420" w:hangingChars="200"/>
        <w:rPr>
          <w:rFonts w:ascii="宋体" w:hAnsi="宋体"/>
          <w:szCs w:val="21"/>
        </w:rPr>
      </w:pPr>
      <w:r>
        <w:rPr>
          <w:rFonts w:hint="eastAsia" w:ascii="宋体" w:hAnsi="宋体"/>
          <w:szCs w:val="21"/>
        </w:rPr>
        <w:t>10）</w:t>
      </w:r>
      <w:r>
        <w:rPr>
          <w:rFonts w:hint="eastAsia" w:ascii="宋体" w:hAnsi="宋体"/>
        </w:rPr>
        <w:t>新工艺、新技术、新设备、新材料的采用程度，其在确保质量、降低成本、缩短工期、减轻劳动强度、提高工效等方面的作用</w:t>
      </w:r>
      <w:r>
        <w:rPr>
          <w:rFonts w:hint="eastAsia" w:ascii="宋体" w:hAnsi="宋体"/>
          <w:szCs w:val="21"/>
        </w:rPr>
        <w:t>；</w:t>
      </w:r>
    </w:p>
    <w:p>
      <w:pPr>
        <w:spacing w:line="400" w:lineRule="exact"/>
        <w:ind w:right="-34" w:rightChars="-16" w:firstLine="787" w:firstLineChars="375"/>
        <w:rPr>
          <w:rFonts w:ascii="宋体" w:hAnsi="宋体"/>
          <w:szCs w:val="21"/>
        </w:rPr>
      </w:pPr>
      <w:r>
        <w:rPr>
          <w:rFonts w:hint="eastAsia" w:ascii="宋体" w:hAnsi="宋体"/>
          <w:szCs w:val="21"/>
        </w:rPr>
        <w:t>11）</w:t>
      </w:r>
      <w:r>
        <w:rPr>
          <w:rFonts w:hint="eastAsia" w:ascii="宋体" w:hAnsi="宋体"/>
        </w:rPr>
        <w:t>企业具备信息化管理平台，能够使工程管理者对现场实施监控和数据处理</w:t>
      </w:r>
      <w:r>
        <w:rPr>
          <w:rFonts w:hint="eastAsia" w:ascii="宋体" w:hAnsi="宋体"/>
          <w:szCs w:val="21"/>
        </w:rPr>
        <w:t>。</w:t>
      </w:r>
      <w:bookmarkStart w:id="230" w:name="_Toc228337090"/>
      <w:bookmarkStart w:id="231" w:name="_Toc228591649"/>
      <w:bookmarkStart w:id="232" w:name="_Toc227657479"/>
      <w:bookmarkStart w:id="233" w:name="_Toc228881153"/>
      <w:bookmarkStart w:id="234" w:name="_Toc214433879"/>
      <w:bookmarkStart w:id="235" w:name="_Toc228591501"/>
      <w:bookmarkStart w:id="236" w:name="_Toc272772566"/>
      <w:bookmarkStart w:id="237" w:name="_Toc228589155"/>
      <w:bookmarkStart w:id="238" w:name="_Toc227492236"/>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239" w:name="_Toc8270"/>
      <w:bookmarkStart w:id="240" w:name="_Toc19064"/>
      <w:r>
        <w:rPr>
          <w:rFonts w:ascii="黑体" w:hAnsi="新宋体" w:eastAsia="黑体"/>
          <w:kern w:val="0"/>
          <w:sz w:val="24"/>
          <w:szCs w:val="24"/>
        </w:rPr>
        <w:t xml:space="preserve">3.2 </w:t>
      </w:r>
      <w:r>
        <w:rPr>
          <w:rFonts w:hint="eastAsia" w:ascii="黑体" w:hAnsi="新宋体" w:eastAsia="黑体"/>
          <w:kern w:val="0"/>
          <w:sz w:val="24"/>
          <w:szCs w:val="24"/>
        </w:rPr>
        <w:t>投标报价</w:t>
      </w:r>
      <w:bookmarkEnd w:id="230"/>
      <w:bookmarkEnd w:id="231"/>
      <w:bookmarkEnd w:id="232"/>
      <w:bookmarkEnd w:id="233"/>
      <w:bookmarkEnd w:id="234"/>
      <w:bookmarkEnd w:id="235"/>
      <w:bookmarkEnd w:id="236"/>
      <w:bookmarkEnd w:id="237"/>
      <w:bookmarkEnd w:id="238"/>
      <w:bookmarkEnd w:id="239"/>
      <w:bookmarkEnd w:id="240"/>
    </w:p>
    <w:p>
      <w:pPr>
        <w:autoSpaceDE w:val="0"/>
        <w:autoSpaceDN w:val="0"/>
        <w:adjustRightInd w:val="0"/>
        <w:spacing w:line="420" w:lineRule="exact"/>
        <w:ind w:right="-34" w:rightChars="-16" w:firstLine="420" w:firstLineChars="200"/>
        <w:jc w:val="left"/>
        <w:outlineLvl w:val="0"/>
        <w:rPr>
          <w:rFonts w:ascii="宋体" w:hAnsi="宋体"/>
          <w:kern w:val="0"/>
          <w:szCs w:val="21"/>
        </w:rPr>
      </w:pPr>
      <w:bookmarkStart w:id="241" w:name="_Toc368902788"/>
      <w:bookmarkStart w:id="242" w:name="_Toc463776542"/>
      <w:bookmarkStart w:id="243" w:name="_Toc3489"/>
      <w:bookmarkStart w:id="244" w:name="_Toc459289868"/>
      <w:bookmarkStart w:id="245" w:name="_Toc7059"/>
      <w:bookmarkStart w:id="246" w:name="_Toc369620542"/>
      <w:bookmarkStart w:id="247" w:name="_Toc418520746"/>
      <w:bookmarkStart w:id="248" w:name="_Toc372286499"/>
      <w:bookmarkStart w:id="249" w:name="_Toc13696"/>
      <w:bookmarkStart w:id="250" w:name="_Toc436583857"/>
      <w:bookmarkStart w:id="251" w:name="_Toc453573273"/>
      <w:bookmarkStart w:id="252" w:name="_Toc454031536"/>
      <w:bookmarkStart w:id="253" w:name="_Toc228591650"/>
      <w:bookmarkStart w:id="254" w:name="_Toc228881154"/>
      <w:bookmarkStart w:id="255" w:name="_Toc228589156"/>
      <w:bookmarkStart w:id="256" w:name="_Toc228337091"/>
      <w:bookmarkStart w:id="257" w:name="_Toc228591502"/>
      <w:bookmarkStart w:id="258" w:name="_Toc214433880"/>
      <w:bookmarkStart w:id="259" w:name="_Toc227657480"/>
      <w:bookmarkStart w:id="260" w:name="_Toc8376"/>
      <w:bookmarkStart w:id="261" w:name="_Toc272772567"/>
      <w:bookmarkStart w:id="262" w:name="_Toc227492237"/>
      <w:bookmarkStart w:id="263" w:name="_Toc18664"/>
      <w:r>
        <w:rPr>
          <w:rFonts w:hint="eastAsia" w:ascii="宋体" w:hAnsi="宋体"/>
          <w:kern w:val="0"/>
          <w:szCs w:val="21"/>
        </w:rPr>
        <w:t>3.2.1 投标人应按第五章“工程量清单”的要求填写相应表格。</w:t>
      </w:r>
      <w:bookmarkEnd w:id="241"/>
      <w:bookmarkEnd w:id="242"/>
      <w:bookmarkEnd w:id="243"/>
      <w:bookmarkEnd w:id="244"/>
      <w:bookmarkEnd w:id="245"/>
      <w:bookmarkEnd w:id="246"/>
      <w:bookmarkEnd w:id="247"/>
      <w:bookmarkEnd w:id="248"/>
      <w:bookmarkEnd w:id="249"/>
      <w:bookmarkEnd w:id="250"/>
      <w:bookmarkEnd w:id="251"/>
      <w:bookmarkEnd w:id="252"/>
    </w:p>
    <w:p>
      <w:pPr>
        <w:autoSpaceDE w:val="0"/>
        <w:autoSpaceDN w:val="0"/>
        <w:adjustRightInd w:val="0"/>
        <w:spacing w:line="420" w:lineRule="exact"/>
        <w:ind w:right="-34" w:rightChars="-16" w:firstLine="420" w:firstLineChars="200"/>
        <w:jc w:val="left"/>
        <w:outlineLvl w:val="0"/>
        <w:rPr>
          <w:rFonts w:ascii="宋体" w:hAnsi="宋体"/>
          <w:kern w:val="0"/>
          <w:szCs w:val="21"/>
        </w:rPr>
      </w:pPr>
      <w:bookmarkStart w:id="264" w:name="_Toc15698"/>
      <w:bookmarkStart w:id="265" w:name="_Toc369620543"/>
      <w:bookmarkStart w:id="266" w:name="_Toc418520747"/>
      <w:bookmarkStart w:id="267" w:name="_Toc463776543"/>
      <w:bookmarkStart w:id="268" w:name="_Toc453573274"/>
      <w:bookmarkStart w:id="269" w:name="_Toc372286500"/>
      <w:bookmarkStart w:id="270" w:name="_Toc14634"/>
      <w:bookmarkStart w:id="271" w:name="_Toc459289869"/>
      <w:bookmarkStart w:id="272" w:name="_Toc368902789"/>
      <w:bookmarkStart w:id="273" w:name="_Toc29117"/>
      <w:bookmarkStart w:id="274" w:name="_Toc454031537"/>
      <w:bookmarkStart w:id="275" w:name="_Toc436583858"/>
      <w:r>
        <w:rPr>
          <w:rFonts w:hint="eastAsia" w:ascii="宋体" w:hAnsi="宋体"/>
          <w:kern w:val="0"/>
          <w:szCs w:val="21"/>
        </w:rPr>
        <w:t>3.2.2 投标人在投标截止时间前修改投标函中的投标总报价，应同时修改 “工程量清单”中的相应报价。此修改须符合本章第4.3款的有关要求。</w:t>
      </w:r>
      <w:bookmarkEnd w:id="264"/>
      <w:bookmarkEnd w:id="265"/>
      <w:bookmarkEnd w:id="266"/>
      <w:bookmarkEnd w:id="267"/>
      <w:bookmarkEnd w:id="268"/>
      <w:bookmarkEnd w:id="269"/>
      <w:bookmarkEnd w:id="270"/>
      <w:bookmarkEnd w:id="271"/>
      <w:bookmarkEnd w:id="272"/>
      <w:bookmarkEnd w:id="273"/>
      <w:bookmarkEnd w:id="274"/>
      <w:bookmarkEnd w:id="275"/>
    </w:p>
    <w:p>
      <w:pPr>
        <w:autoSpaceDE w:val="0"/>
        <w:autoSpaceDN w:val="0"/>
        <w:adjustRightInd w:val="0"/>
        <w:spacing w:line="420" w:lineRule="exact"/>
        <w:ind w:right="-34" w:rightChars="-16" w:firstLine="420" w:firstLineChars="200"/>
        <w:jc w:val="left"/>
        <w:outlineLvl w:val="0"/>
        <w:rPr>
          <w:rFonts w:ascii="宋体" w:hAnsi="宋体"/>
          <w:kern w:val="0"/>
          <w:szCs w:val="21"/>
        </w:rPr>
      </w:pPr>
      <w:bookmarkStart w:id="276" w:name="_Toc418520748"/>
      <w:bookmarkStart w:id="277" w:name="_Toc369620544"/>
      <w:bookmarkStart w:id="278" w:name="_Toc459289870"/>
      <w:bookmarkStart w:id="279" w:name="_Toc9776"/>
      <w:bookmarkStart w:id="280" w:name="_Toc372286501"/>
      <w:bookmarkStart w:id="281" w:name="_Toc454031538"/>
      <w:bookmarkStart w:id="282" w:name="_Toc368902790"/>
      <w:bookmarkStart w:id="283" w:name="_Toc453573275"/>
      <w:bookmarkStart w:id="284" w:name="_Toc463776544"/>
      <w:bookmarkStart w:id="285" w:name="_Toc436583859"/>
      <w:bookmarkStart w:id="286" w:name="_Toc19757"/>
      <w:bookmarkStart w:id="287" w:name="_Toc10101"/>
      <w:r>
        <w:rPr>
          <w:rFonts w:hint="eastAsia" w:ascii="宋体" w:hAnsi="宋体"/>
          <w:kern w:val="0"/>
          <w:szCs w:val="21"/>
        </w:rPr>
        <w:t>3.2.3 投标工程量清单必须按照招标人提供的工程量清单格式进行填写报价，不得做任何修改。</w:t>
      </w:r>
      <w:bookmarkEnd w:id="276"/>
      <w:bookmarkEnd w:id="277"/>
      <w:bookmarkEnd w:id="278"/>
      <w:bookmarkEnd w:id="279"/>
      <w:bookmarkEnd w:id="280"/>
      <w:bookmarkEnd w:id="281"/>
      <w:bookmarkEnd w:id="282"/>
      <w:bookmarkEnd w:id="283"/>
      <w:bookmarkEnd w:id="284"/>
      <w:bookmarkEnd w:id="285"/>
      <w:bookmarkEnd w:id="286"/>
      <w:bookmarkEnd w:id="287"/>
    </w:p>
    <w:p>
      <w:pPr>
        <w:autoSpaceDE w:val="0"/>
        <w:autoSpaceDN w:val="0"/>
        <w:adjustRightInd w:val="0"/>
        <w:spacing w:line="420" w:lineRule="exact"/>
        <w:ind w:right="-34" w:rightChars="-16" w:firstLine="420" w:firstLineChars="200"/>
        <w:jc w:val="left"/>
        <w:outlineLvl w:val="0"/>
        <w:rPr>
          <w:rFonts w:ascii="宋体" w:hAnsi="宋体"/>
          <w:kern w:val="0"/>
          <w:szCs w:val="21"/>
        </w:rPr>
      </w:pPr>
      <w:bookmarkStart w:id="288" w:name="_Toc369620545"/>
      <w:bookmarkStart w:id="289" w:name="_Toc459289871"/>
      <w:bookmarkStart w:id="290" w:name="_Toc32699"/>
      <w:bookmarkStart w:id="291" w:name="_Toc368902791"/>
      <w:bookmarkStart w:id="292" w:name="_Toc372286502"/>
      <w:bookmarkStart w:id="293" w:name="_Toc418520749"/>
      <w:bookmarkStart w:id="294" w:name="_Toc453573276"/>
      <w:bookmarkStart w:id="295" w:name="_Toc436583860"/>
      <w:bookmarkStart w:id="296" w:name="_Toc9976"/>
      <w:bookmarkStart w:id="297" w:name="_Toc463776545"/>
      <w:bookmarkStart w:id="298" w:name="_Toc24500"/>
      <w:bookmarkStart w:id="299" w:name="_Toc454031539"/>
      <w:r>
        <w:rPr>
          <w:rFonts w:hint="eastAsia" w:ascii="宋体" w:hAnsi="宋体"/>
          <w:kern w:val="0"/>
          <w:szCs w:val="21"/>
        </w:rPr>
        <w:t>3.2.4 投标人对项目的各项报价和竣工结算的计价方式均采用工程量清单计价方式。</w:t>
      </w:r>
      <w:bookmarkEnd w:id="288"/>
      <w:bookmarkEnd w:id="289"/>
      <w:bookmarkEnd w:id="290"/>
      <w:bookmarkEnd w:id="291"/>
      <w:bookmarkEnd w:id="292"/>
      <w:bookmarkEnd w:id="293"/>
      <w:bookmarkEnd w:id="294"/>
      <w:bookmarkEnd w:id="295"/>
      <w:bookmarkEnd w:id="296"/>
      <w:bookmarkEnd w:id="297"/>
      <w:bookmarkEnd w:id="298"/>
      <w:bookmarkEnd w:id="299"/>
    </w:p>
    <w:p>
      <w:pPr>
        <w:spacing w:line="400" w:lineRule="exact"/>
        <w:ind w:right="-34" w:rightChars="-16" w:firstLine="420" w:firstLineChars="200"/>
        <w:rPr>
          <w:rFonts w:ascii="宋体" w:hAnsi="宋体"/>
          <w:szCs w:val="21"/>
        </w:rPr>
      </w:pPr>
      <w:r>
        <w:rPr>
          <w:rFonts w:hint="eastAsia" w:ascii="宋体" w:hAnsi="宋体"/>
          <w:kern w:val="0"/>
          <w:szCs w:val="21"/>
        </w:rPr>
        <w:t>3.2.5</w:t>
      </w:r>
      <w:r>
        <w:rPr>
          <w:rFonts w:hint="eastAsia" w:ascii="宋体" w:hAnsi="宋体"/>
          <w:szCs w:val="21"/>
        </w:rPr>
        <w:t>安全文明施工措施费应按</w:t>
      </w:r>
      <w:r>
        <w:rPr>
          <w:rFonts w:hint="eastAsia" w:ascii="宋体" w:hAnsi="宋体"/>
          <w:b/>
          <w:szCs w:val="21"/>
        </w:rPr>
        <w:t>豫建设标［2014］57号文</w:t>
      </w:r>
      <w:r>
        <w:rPr>
          <w:rFonts w:hint="eastAsia" w:ascii="宋体" w:hAnsi="宋体"/>
          <w:szCs w:val="21"/>
        </w:rPr>
        <w:t>规定足额计取计入工程总报价中，单独列项；增值税按照最新政策执行；扬尘污染防治费按</w:t>
      </w:r>
      <w:r>
        <w:rPr>
          <w:rFonts w:hint="eastAsia" w:ascii="宋体" w:hAnsi="宋体"/>
          <w:b/>
          <w:szCs w:val="21"/>
        </w:rPr>
        <w:t>豫建设标［2016］47号文</w:t>
      </w:r>
      <w:r>
        <w:rPr>
          <w:rFonts w:hint="eastAsia" w:ascii="宋体" w:hAnsi="宋体"/>
          <w:szCs w:val="21"/>
        </w:rPr>
        <w:t>记取；规费中的社会保障费、工伤保险费执行</w:t>
      </w:r>
      <w:r>
        <w:rPr>
          <w:rFonts w:hint="eastAsia" w:ascii="宋体" w:hAnsi="宋体"/>
          <w:b/>
          <w:szCs w:val="21"/>
        </w:rPr>
        <w:t>豫建设标[2014]29号文、豫建建[2016]62号文，以上计费依据国家省市如有政策调整，按新政策执行</w:t>
      </w:r>
      <w:r>
        <w:rPr>
          <w:rFonts w:hint="eastAsia" w:ascii="宋体" w:hAnsi="宋体"/>
          <w:szCs w:val="21"/>
        </w:rPr>
        <w:t>。</w:t>
      </w:r>
    </w:p>
    <w:p>
      <w:pPr>
        <w:spacing w:line="420" w:lineRule="exact"/>
        <w:ind w:right="-34" w:rightChars="-16" w:firstLine="420" w:firstLineChars="200"/>
        <w:rPr>
          <w:rFonts w:ascii="宋体" w:hAnsi="宋体"/>
          <w:szCs w:val="21"/>
        </w:rPr>
      </w:pPr>
      <w:r>
        <w:rPr>
          <w:rFonts w:hint="eastAsia" w:ascii="宋体" w:hAnsi="宋体"/>
          <w:szCs w:val="21"/>
        </w:rPr>
        <w:t xml:space="preserve">清单报价编制依据：                  </w:t>
      </w:r>
    </w:p>
    <w:p>
      <w:pPr>
        <w:spacing w:line="420" w:lineRule="exact"/>
        <w:ind w:right="-34" w:rightChars="-16" w:firstLine="420" w:firstLineChars="200"/>
        <w:rPr>
          <w:rFonts w:ascii="宋体" w:hAnsi="宋体"/>
          <w:szCs w:val="21"/>
        </w:rPr>
      </w:pPr>
      <w:r>
        <w:rPr>
          <w:rFonts w:hint="eastAsia" w:ascii="宋体" w:hAnsi="宋体"/>
          <w:szCs w:val="21"/>
        </w:rPr>
        <w:t>1）招标文件、答疑纪要及有关书面通知；</w:t>
      </w:r>
    </w:p>
    <w:p>
      <w:pPr>
        <w:spacing w:line="420" w:lineRule="exact"/>
        <w:ind w:right="-34" w:rightChars="-16" w:firstLine="420" w:firstLineChars="200"/>
        <w:rPr>
          <w:rFonts w:ascii="宋体" w:hAnsi="宋体"/>
          <w:szCs w:val="21"/>
        </w:rPr>
      </w:pPr>
      <w:r>
        <w:rPr>
          <w:rFonts w:hint="eastAsia" w:ascii="宋体" w:hAnsi="宋体"/>
          <w:szCs w:val="21"/>
        </w:rPr>
        <w:t>2）经业主确认的施工图纸、设计变更、工程量清单；</w:t>
      </w:r>
    </w:p>
    <w:p>
      <w:pPr>
        <w:spacing w:line="420" w:lineRule="exact"/>
        <w:ind w:right="-34" w:rightChars="-16" w:firstLine="420" w:firstLineChars="200"/>
        <w:rPr>
          <w:rFonts w:ascii="宋体" w:hAnsi="宋体"/>
          <w:szCs w:val="21"/>
        </w:rPr>
      </w:pPr>
      <w:r>
        <w:rPr>
          <w:rFonts w:hint="eastAsia" w:ascii="宋体" w:hAnsi="宋体"/>
          <w:szCs w:val="21"/>
        </w:rPr>
        <w:t>3）现行的计价依据和政策；</w:t>
      </w:r>
    </w:p>
    <w:p>
      <w:pPr>
        <w:spacing w:line="420" w:lineRule="exact"/>
        <w:ind w:right="-34" w:rightChars="-16" w:firstLine="420" w:firstLineChars="200"/>
        <w:rPr>
          <w:rFonts w:ascii="宋体" w:hAnsi="宋体"/>
          <w:szCs w:val="21"/>
        </w:rPr>
      </w:pPr>
      <w:r>
        <w:rPr>
          <w:rFonts w:hint="eastAsia" w:ascii="宋体" w:hAnsi="宋体"/>
          <w:szCs w:val="21"/>
        </w:rPr>
        <w:t>《建设工程工程量清单计价规范》（2013）</w:t>
      </w:r>
    </w:p>
    <w:p>
      <w:pPr>
        <w:spacing w:line="420" w:lineRule="exact"/>
        <w:ind w:right="-34" w:rightChars="-16" w:firstLine="420" w:firstLineChars="200"/>
        <w:rPr>
          <w:rFonts w:ascii="宋体" w:hAnsi="宋体"/>
          <w:szCs w:val="21"/>
        </w:rPr>
      </w:pPr>
      <w:r>
        <w:rPr>
          <w:rFonts w:hint="eastAsia" w:ascii="宋体" w:hAnsi="宋体"/>
          <w:szCs w:val="21"/>
        </w:rPr>
        <w:t>《河南省建筑与装饰工程预算定额》(2016)</w:t>
      </w:r>
    </w:p>
    <w:p>
      <w:pPr>
        <w:spacing w:line="420" w:lineRule="exact"/>
        <w:ind w:right="-34" w:rightChars="-16" w:firstLine="420" w:firstLineChars="200"/>
        <w:rPr>
          <w:rFonts w:ascii="宋体" w:hAnsi="宋体"/>
          <w:szCs w:val="21"/>
        </w:rPr>
      </w:pPr>
      <w:r>
        <w:rPr>
          <w:rFonts w:hint="eastAsia" w:ascii="宋体" w:hAnsi="宋体"/>
          <w:szCs w:val="21"/>
        </w:rPr>
        <w:t>《河南省通用安装工程预算定额》(2016)</w:t>
      </w:r>
    </w:p>
    <w:p>
      <w:pPr>
        <w:spacing w:line="420" w:lineRule="exact"/>
        <w:ind w:right="-34" w:rightChars="-16" w:firstLine="420" w:firstLineChars="200"/>
        <w:rPr>
          <w:rFonts w:ascii="宋体" w:hAnsi="宋体"/>
          <w:szCs w:val="21"/>
        </w:rPr>
      </w:pPr>
      <w:r>
        <w:rPr>
          <w:rFonts w:hint="eastAsia" w:ascii="宋体" w:hAnsi="宋体"/>
          <w:szCs w:val="21"/>
        </w:rPr>
        <w:t>《河南省市政工程预算定额》(2016)</w:t>
      </w:r>
    </w:p>
    <w:p>
      <w:pPr>
        <w:spacing w:line="420" w:lineRule="exact"/>
        <w:ind w:right="-34" w:rightChars="-16" w:firstLine="420" w:firstLineChars="200"/>
        <w:jc w:val="left"/>
        <w:rPr>
          <w:rFonts w:ascii="宋体" w:hAnsi="宋体"/>
          <w:szCs w:val="21"/>
        </w:rPr>
      </w:pPr>
      <w:r>
        <w:rPr>
          <w:rFonts w:hint="eastAsia" w:ascii="宋体" w:hAnsi="宋体"/>
          <w:szCs w:val="21"/>
        </w:rPr>
        <w:t>《河南省园林工程工程量清单综合单价》2008及其配套文件</w:t>
      </w:r>
    </w:p>
    <w:p>
      <w:pPr>
        <w:spacing w:line="420" w:lineRule="exact"/>
        <w:ind w:right="-34" w:rightChars="-16" w:firstLine="420" w:firstLineChars="200"/>
        <w:rPr>
          <w:rFonts w:ascii="宋体" w:hAnsi="宋体"/>
          <w:szCs w:val="21"/>
        </w:rPr>
      </w:pPr>
      <w:r>
        <w:rPr>
          <w:rFonts w:ascii="宋体" w:hAnsi="宋体"/>
          <w:szCs w:val="21"/>
        </w:rPr>
        <w:t>……</w:t>
      </w:r>
    </w:p>
    <w:p>
      <w:pPr>
        <w:spacing w:line="420" w:lineRule="exact"/>
        <w:ind w:right="-34" w:rightChars="-16" w:firstLine="420" w:firstLineChars="200"/>
        <w:rPr>
          <w:rFonts w:ascii="宋体" w:hAnsi="宋体"/>
          <w:szCs w:val="21"/>
        </w:rPr>
      </w:pPr>
      <w:r>
        <w:rPr>
          <w:rFonts w:hint="eastAsia" w:ascii="宋体" w:hAnsi="宋体"/>
          <w:szCs w:val="21"/>
        </w:rPr>
        <w:t>4）本报价包括施工图纸中发包内容（有补遗及招标答疑纪要时以补遗及招标答疑纪要修改内容为准）。</w:t>
      </w:r>
    </w:p>
    <w:p>
      <w:pPr>
        <w:spacing w:line="420" w:lineRule="exact"/>
        <w:ind w:right="-34" w:rightChars="-16" w:firstLine="420" w:firstLineChars="200"/>
        <w:rPr>
          <w:rFonts w:ascii="宋体" w:hAnsi="宋体"/>
          <w:szCs w:val="21"/>
        </w:rPr>
      </w:pPr>
      <w:r>
        <w:rPr>
          <w:rFonts w:hint="eastAsia" w:ascii="宋体" w:hAnsi="宋体"/>
          <w:szCs w:val="21"/>
        </w:rPr>
        <w:t>3.2.6材料价格：材料价格可以参考驻马店市</w:t>
      </w:r>
      <w:r>
        <w:rPr>
          <w:rFonts w:hint="eastAsia" w:ascii="宋体" w:hAnsi="宋体"/>
          <w:b/>
          <w:szCs w:val="21"/>
        </w:rPr>
        <w:t>最新季度</w:t>
      </w:r>
      <w:r>
        <w:rPr>
          <w:rFonts w:hint="eastAsia" w:ascii="宋体" w:hAnsi="宋体"/>
          <w:szCs w:val="21"/>
        </w:rPr>
        <w:t>建设工程造价信息，或投标人根据建筑材料市场情况自主确定。</w:t>
      </w:r>
    </w:p>
    <w:p>
      <w:pPr>
        <w:spacing w:line="420" w:lineRule="exact"/>
        <w:ind w:right="-34" w:rightChars="-16" w:firstLine="420" w:firstLineChars="200"/>
        <w:rPr>
          <w:rFonts w:ascii="宋体" w:hAnsi="宋体"/>
          <w:szCs w:val="21"/>
        </w:rPr>
      </w:pPr>
      <w:r>
        <w:rPr>
          <w:rFonts w:hint="eastAsia" w:ascii="宋体" w:hAnsi="宋体"/>
          <w:szCs w:val="21"/>
        </w:rPr>
        <w:t>3.2.7承包价的确定和调整</w:t>
      </w:r>
    </w:p>
    <w:p>
      <w:pPr>
        <w:spacing w:line="420" w:lineRule="exact"/>
        <w:ind w:right="-34" w:rightChars="-16" w:firstLine="420" w:firstLineChars="200"/>
        <w:rPr>
          <w:rFonts w:ascii="宋体" w:hAnsi="宋体"/>
          <w:szCs w:val="21"/>
        </w:rPr>
      </w:pPr>
      <w:r>
        <w:rPr>
          <w:rFonts w:hint="eastAsia" w:ascii="宋体" w:hAnsi="宋体"/>
          <w:szCs w:val="21"/>
        </w:rPr>
        <w:t>1、工程承包价包括完成本招标发包范围内的全部施工内容所需的工程成本、利润、规费、专项费用、税金、政策性调整等全部费用</w:t>
      </w:r>
      <w:r>
        <w:rPr>
          <w:rFonts w:hint="eastAsia" w:ascii="宋体" w:hAnsi="宋体"/>
          <w:b/>
          <w:szCs w:val="21"/>
        </w:rPr>
        <w:t>(暂列金额依据工程量清单及招标控制价编制说明中注明计取方式计算)，工程竣工结算超过暂列金额等费用按国家定额、施工期造价信息、国家有关税费规定等据实计量计价</w:t>
      </w:r>
      <w:r>
        <w:rPr>
          <w:rFonts w:hint="eastAsia" w:ascii="宋体" w:hAnsi="宋体"/>
          <w:szCs w:val="21"/>
        </w:rPr>
        <w:t>。</w:t>
      </w:r>
    </w:p>
    <w:p>
      <w:pPr>
        <w:spacing w:line="420" w:lineRule="exact"/>
        <w:ind w:right="-34" w:rightChars="-16" w:firstLine="420" w:firstLineChars="200"/>
        <w:rPr>
          <w:rFonts w:ascii="宋体" w:hAnsi="宋体"/>
          <w:szCs w:val="21"/>
        </w:rPr>
      </w:pPr>
      <w:r>
        <w:rPr>
          <w:rFonts w:hint="eastAsia" w:ascii="宋体" w:hAnsi="宋体"/>
          <w:szCs w:val="21"/>
        </w:rPr>
        <w:t>2、本工程在施工当中因承包方失误造成费用增加的，中标价格不调整。</w:t>
      </w:r>
    </w:p>
    <w:p>
      <w:pPr>
        <w:spacing w:line="420" w:lineRule="exact"/>
        <w:ind w:right="-34" w:rightChars="-16" w:firstLine="420" w:firstLineChars="200"/>
        <w:rPr>
          <w:rFonts w:ascii="宋体" w:hAnsi="宋体"/>
          <w:szCs w:val="21"/>
        </w:rPr>
      </w:pPr>
      <w:r>
        <w:rPr>
          <w:rFonts w:hint="eastAsia" w:ascii="宋体" w:hAnsi="宋体"/>
          <w:szCs w:val="21"/>
        </w:rPr>
        <w:t>3、因业主原因造成的工程量、材料等变更、签证的工程量清单项目，其对应的综合单价按下列方法确定：</w:t>
      </w:r>
    </w:p>
    <w:p>
      <w:pPr>
        <w:spacing w:line="420" w:lineRule="exact"/>
        <w:ind w:right="-34" w:rightChars="-16" w:firstLine="630" w:firstLineChars="300"/>
        <w:rPr>
          <w:rFonts w:ascii="宋体" w:hAnsi="宋体"/>
          <w:szCs w:val="21"/>
        </w:rPr>
      </w:pPr>
      <w:r>
        <w:rPr>
          <w:rFonts w:hint="eastAsia" w:ascii="宋体" w:hAnsi="宋体"/>
          <w:szCs w:val="21"/>
        </w:rPr>
        <w:t>1）合同中已有适用的综合单价，按合同中已有的综合单价确定；</w:t>
      </w:r>
    </w:p>
    <w:p>
      <w:pPr>
        <w:spacing w:line="420" w:lineRule="exact"/>
        <w:ind w:right="-34" w:rightChars="-16" w:firstLine="630" w:firstLineChars="300"/>
        <w:rPr>
          <w:rFonts w:ascii="宋体" w:hAnsi="宋体"/>
          <w:szCs w:val="21"/>
        </w:rPr>
      </w:pPr>
      <w:r>
        <w:rPr>
          <w:rFonts w:hint="eastAsia" w:ascii="宋体" w:hAnsi="宋体"/>
          <w:szCs w:val="21"/>
        </w:rPr>
        <w:t>2）合同中有类似的综合单价，参照类似的综合单价确定；</w:t>
      </w:r>
    </w:p>
    <w:p>
      <w:pPr>
        <w:spacing w:line="420" w:lineRule="exact"/>
        <w:ind w:right="-34" w:rightChars="-16" w:firstLine="630" w:firstLineChars="300"/>
        <w:rPr>
          <w:rFonts w:ascii="宋体" w:hAnsi="宋体"/>
          <w:szCs w:val="21"/>
        </w:rPr>
      </w:pPr>
      <w:r>
        <w:rPr>
          <w:rFonts w:hint="eastAsia" w:ascii="宋体" w:hAnsi="宋体"/>
          <w:szCs w:val="21"/>
        </w:rPr>
        <w:t>3）合同中没有适用或类似的综合单价，由承包人提出综合单价，经发包人确认后执行。</w:t>
      </w:r>
    </w:p>
    <w:p>
      <w:pPr>
        <w:autoSpaceDE w:val="0"/>
        <w:autoSpaceDN w:val="0"/>
        <w:adjustRightInd w:val="0"/>
        <w:spacing w:line="420" w:lineRule="exact"/>
        <w:ind w:right="-34" w:rightChars="-16" w:firstLine="420" w:firstLineChars="200"/>
        <w:jc w:val="left"/>
        <w:rPr>
          <w:rFonts w:ascii="宋体" w:hAnsi="宋体"/>
          <w:szCs w:val="21"/>
        </w:rPr>
      </w:pPr>
      <w:r>
        <w:rPr>
          <w:rFonts w:hint="eastAsia" w:ascii="宋体" w:hAnsi="宋体"/>
          <w:szCs w:val="21"/>
        </w:rPr>
        <w:t>4、投标人的投标价，应是本须知所述本工程全部工程的投标价，并以投标人在工程量清单报价中提出的单价或总价为依据。</w:t>
      </w:r>
    </w:p>
    <w:p>
      <w:pPr>
        <w:autoSpaceDE w:val="0"/>
        <w:autoSpaceDN w:val="0"/>
        <w:adjustRightInd w:val="0"/>
        <w:spacing w:line="400" w:lineRule="exact"/>
        <w:ind w:right="-34" w:rightChars="-16"/>
        <w:jc w:val="left"/>
        <w:outlineLvl w:val="0"/>
        <w:rPr>
          <w:rFonts w:ascii="黑体" w:hAnsi="新宋体" w:eastAsia="黑体"/>
          <w:kern w:val="0"/>
          <w:sz w:val="24"/>
          <w:szCs w:val="24"/>
        </w:rPr>
      </w:pPr>
      <w:r>
        <w:rPr>
          <w:rFonts w:ascii="黑体" w:hAnsi="新宋体" w:eastAsia="黑体"/>
          <w:kern w:val="0"/>
          <w:sz w:val="24"/>
          <w:szCs w:val="24"/>
        </w:rPr>
        <w:t xml:space="preserve">3.3 </w:t>
      </w:r>
      <w:r>
        <w:rPr>
          <w:rFonts w:hint="eastAsia" w:ascii="黑体" w:hAnsi="新宋体" w:eastAsia="黑体"/>
          <w:kern w:val="0"/>
          <w:sz w:val="24"/>
          <w:szCs w:val="24"/>
        </w:rPr>
        <w:t>投标有效期</w:t>
      </w:r>
      <w:bookmarkEnd w:id="253"/>
      <w:bookmarkEnd w:id="254"/>
      <w:bookmarkEnd w:id="255"/>
      <w:bookmarkEnd w:id="256"/>
      <w:bookmarkEnd w:id="257"/>
      <w:bookmarkEnd w:id="258"/>
      <w:bookmarkEnd w:id="259"/>
      <w:bookmarkEnd w:id="260"/>
      <w:bookmarkEnd w:id="261"/>
      <w:bookmarkEnd w:id="262"/>
      <w:bookmarkEnd w:id="263"/>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3.3.1 </w:t>
      </w:r>
      <w:r>
        <w:rPr>
          <w:rFonts w:hint="eastAsia" w:ascii="宋体" w:hAnsi="宋体"/>
          <w:kern w:val="0"/>
          <w:szCs w:val="21"/>
        </w:rPr>
        <w:t>在投标人须知前附表规定的投标有效期内，投标人不得要求撤销或修改其投标文件。除投标人须知前附表另有规定外，投标有效期为60天。</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3.3.2 </w:t>
      </w:r>
      <w:r>
        <w:rPr>
          <w:rFonts w:hint="eastAsia" w:ascii="宋体" w:hAnsi="宋体"/>
          <w:kern w:val="0"/>
          <w:szCs w:val="21"/>
        </w:rPr>
        <w:t>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300" w:name="_Toc228337092"/>
      <w:bookmarkStart w:id="301" w:name="_Toc228589157"/>
      <w:bookmarkStart w:id="302" w:name="_Toc228881155"/>
      <w:bookmarkStart w:id="303" w:name="_Toc227657481"/>
      <w:bookmarkStart w:id="304" w:name="_Toc214433881"/>
      <w:bookmarkStart w:id="305" w:name="_Toc32405"/>
      <w:bookmarkStart w:id="306" w:name="_Toc227492238"/>
      <w:bookmarkStart w:id="307" w:name="_Toc228591651"/>
      <w:bookmarkStart w:id="308" w:name="_Toc272772568"/>
      <w:bookmarkStart w:id="309" w:name="_Toc228591503"/>
      <w:bookmarkStart w:id="310" w:name="_Toc13041"/>
      <w:r>
        <w:rPr>
          <w:rFonts w:ascii="黑体" w:hAnsi="新宋体" w:eastAsia="黑体"/>
          <w:kern w:val="0"/>
          <w:sz w:val="24"/>
          <w:szCs w:val="24"/>
        </w:rPr>
        <w:t xml:space="preserve">3.4 </w:t>
      </w:r>
      <w:r>
        <w:rPr>
          <w:rFonts w:hint="eastAsia" w:ascii="黑体" w:hAnsi="新宋体" w:eastAsia="黑体"/>
          <w:kern w:val="0"/>
          <w:sz w:val="24"/>
          <w:szCs w:val="24"/>
        </w:rPr>
        <w:t>投标保证金</w:t>
      </w:r>
      <w:bookmarkEnd w:id="300"/>
      <w:bookmarkEnd w:id="301"/>
      <w:bookmarkEnd w:id="302"/>
      <w:bookmarkEnd w:id="303"/>
      <w:bookmarkEnd w:id="304"/>
      <w:bookmarkEnd w:id="305"/>
      <w:bookmarkEnd w:id="306"/>
      <w:bookmarkEnd w:id="307"/>
      <w:bookmarkEnd w:id="308"/>
      <w:bookmarkEnd w:id="309"/>
      <w:bookmarkEnd w:id="310"/>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3.4.1 </w:t>
      </w:r>
      <w:r>
        <w:rPr>
          <w:rFonts w:hint="eastAsia" w:ascii="宋体" w:hAnsi="宋体"/>
          <w:kern w:val="0"/>
          <w:szCs w:val="21"/>
        </w:rPr>
        <w:t>投标人在递交投标文件的同时，应按投标人须知前附表规定的金额、递交形式和第八章“投标文件格式”规定的投标保证金格式递交投标保证金，并作为其投标文件的组成部分。</w:t>
      </w:r>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联合体投标的，其投标保证金由牵头人递交，并应符合投标人须知前附表的规定。</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3.4.2 </w:t>
      </w:r>
      <w:r>
        <w:rPr>
          <w:rFonts w:hint="eastAsia" w:ascii="宋体" w:hAnsi="宋体"/>
          <w:kern w:val="0"/>
          <w:szCs w:val="21"/>
        </w:rPr>
        <w:t>投标人不按本章第</w:t>
      </w:r>
      <w:r>
        <w:rPr>
          <w:rFonts w:ascii="宋体" w:hAnsi="宋体"/>
          <w:kern w:val="0"/>
          <w:szCs w:val="21"/>
        </w:rPr>
        <w:t xml:space="preserve">3.4.1 </w:t>
      </w:r>
      <w:r>
        <w:rPr>
          <w:rFonts w:hint="eastAsia" w:ascii="宋体" w:hAnsi="宋体"/>
          <w:kern w:val="0"/>
          <w:szCs w:val="21"/>
        </w:rPr>
        <w:t>项要求提交投标保证金的，其投标文件作无效标处理。</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3.4.3 </w:t>
      </w:r>
      <w:r>
        <w:rPr>
          <w:rFonts w:hint="eastAsia" w:ascii="宋体" w:hAnsi="宋体"/>
          <w:kern w:val="0"/>
          <w:szCs w:val="21"/>
        </w:rPr>
        <w:t>招标人与中标人签订合同后</w:t>
      </w:r>
      <w:r>
        <w:rPr>
          <w:rFonts w:ascii="宋体" w:hAnsi="宋体"/>
          <w:kern w:val="0"/>
          <w:szCs w:val="21"/>
        </w:rPr>
        <w:t>5</w:t>
      </w:r>
      <w:r>
        <w:rPr>
          <w:rFonts w:hint="eastAsia" w:ascii="宋体" w:hAnsi="宋体"/>
          <w:kern w:val="0"/>
          <w:szCs w:val="21"/>
        </w:rPr>
        <w:t>日内，按有关规定向中标人和未中标人退还投标保证金。</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3.4.4 </w:t>
      </w:r>
      <w:r>
        <w:rPr>
          <w:rFonts w:hint="eastAsia" w:ascii="宋体" w:hAnsi="宋体"/>
          <w:kern w:val="0"/>
          <w:szCs w:val="21"/>
        </w:rPr>
        <w:t>有下列情形之一的，投标保证金将不予退还：</w:t>
      </w:r>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）投标人在规定的投标有效期内撤销或修改其投标文件；</w:t>
      </w:r>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（2）中标人在收到中标通知书后，无正当理由拒签合同协议书或未按招标文件规定提交履约保证金；</w:t>
      </w:r>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（3</w:t>
      </w:r>
      <w:r>
        <w:rPr>
          <w:rFonts w:ascii="宋体" w:hAnsi="宋体"/>
          <w:kern w:val="0"/>
          <w:szCs w:val="21"/>
        </w:rPr>
        <w:t>）</w:t>
      </w:r>
      <w:r>
        <w:rPr>
          <w:rFonts w:hint="eastAsia" w:ascii="宋体" w:hAnsi="宋体"/>
          <w:kern w:val="0"/>
          <w:szCs w:val="21"/>
        </w:rPr>
        <w:t>有串标、围标、弄虚作假等违规情况的。</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311" w:name="_Toc272772569"/>
      <w:bookmarkStart w:id="312" w:name="_Toc228881156"/>
      <w:bookmarkStart w:id="313" w:name="_Toc228591504"/>
      <w:bookmarkStart w:id="314" w:name="_Toc228337093"/>
      <w:bookmarkStart w:id="315" w:name="_Toc227492239"/>
      <w:bookmarkStart w:id="316" w:name="_Toc228589158"/>
      <w:bookmarkStart w:id="317" w:name="_Toc228591652"/>
      <w:bookmarkStart w:id="318" w:name="_Toc227657482"/>
      <w:bookmarkStart w:id="319" w:name="_Toc214433882"/>
      <w:bookmarkStart w:id="320" w:name="_Toc10159"/>
      <w:bookmarkStart w:id="321" w:name="_Toc3897"/>
      <w:r>
        <w:rPr>
          <w:rFonts w:ascii="黑体" w:hAnsi="新宋体" w:eastAsia="黑体"/>
          <w:kern w:val="0"/>
          <w:sz w:val="24"/>
          <w:szCs w:val="24"/>
        </w:rPr>
        <w:t>3.5</w:t>
      </w:r>
      <w:r>
        <w:rPr>
          <w:rFonts w:hint="eastAsia" w:ascii="黑体" w:hAnsi="新宋体" w:eastAsia="黑体"/>
          <w:kern w:val="0"/>
          <w:sz w:val="24"/>
          <w:szCs w:val="24"/>
        </w:rPr>
        <w:t>资格审查资料</w:t>
      </w:r>
      <w:bookmarkEnd w:id="311"/>
      <w:bookmarkEnd w:id="312"/>
      <w:bookmarkEnd w:id="313"/>
      <w:bookmarkEnd w:id="314"/>
      <w:bookmarkEnd w:id="315"/>
      <w:bookmarkEnd w:id="316"/>
      <w:bookmarkEnd w:id="317"/>
      <w:bookmarkEnd w:id="318"/>
      <w:bookmarkEnd w:id="319"/>
      <w:r>
        <w:rPr>
          <w:rFonts w:hint="eastAsia" w:ascii="黑体" w:hAnsi="新宋体" w:eastAsia="黑体"/>
          <w:kern w:val="0"/>
          <w:sz w:val="24"/>
          <w:szCs w:val="24"/>
        </w:rPr>
        <w:t>（适用于未进行资格预审的）</w:t>
      </w:r>
      <w:bookmarkEnd w:id="320"/>
      <w:bookmarkEnd w:id="321"/>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投标人在编制投标文件时，应提供如下资料，以证实其各项资格条件能满足要求，具备承担本项目施工的资质条件、能力和信誉。</w:t>
      </w:r>
    </w:p>
    <w:p>
      <w:pPr>
        <w:autoSpaceDE w:val="0"/>
        <w:autoSpaceDN w:val="0"/>
        <w:adjustRightInd w:val="0"/>
        <w:spacing w:line="400" w:lineRule="exact"/>
        <w:ind w:right="-34" w:rightChars="-16" w:firstLine="411" w:firstLineChars="196"/>
        <w:jc w:val="left"/>
        <w:rPr>
          <w:rFonts w:ascii="宋体" w:hAnsi="宋体"/>
          <w:kern w:val="0"/>
          <w:szCs w:val="21"/>
        </w:rPr>
      </w:pPr>
      <w:r>
        <w:rPr>
          <w:rFonts w:ascii="宋体" w:hAnsi="宋体"/>
          <w:kern w:val="0"/>
          <w:szCs w:val="21"/>
        </w:rPr>
        <w:t xml:space="preserve">3.5.1 </w:t>
      </w:r>
      <w:r>
        <w:rPr>
          <w:rFonts w:hint="eastAsia" w:ascii="宋体" w:hAnsi="宋体"/>
          <w:kern w:val="0"/>
          <w:szCs w:val="21"/>
        </w:rPr>
        <w:t>“投标人基本情况表”应附投标人营业执照副本及其年检合格的证明材料、资质证书副本和安全生产许可证等材料的复印件。</w:t>
      </w:r>
    </w:p>
    <w:p>
      <w:pPr>
        <w:autoSpaceDE w:val="0"/>
        <w:autoSpaceDN w:val="0"/>
        <w:adjustRightInd w:val="0"/>
        <w:spacing w:line="400" w:lineRule="exact"/>
        <w:ind w:right="-34" w:rightChars="-16" w:firstLine="411" w:firstLineChars="196"/>
        <w:jc w:val="left"/>
        <w:rPr>
          <w:rFonts w:ascii="宋体" w:hAnsi="宋体"/>
          <w:kern w:val="0"/>
          <w:szCs w:val="21"/>
        </w:rPr>
      </w:pPr>
      <w:r>
        <w:rPr>
          <w:rFonts w:ascii="宋体" w:hAnsi="宋体"/>
          <w:kern w:val="0"/>
          <w:szCs w:val="21"/>
        </w:rPr>
        <w:t xml:space="preserve">3.5.2 </w:t>
      </w:r>
      <w:r>
        <w:rPr>
          <w:rFonts w:hint="eastAsia" w:ascii="宋体" w:hAnsi="宋体"/>
          <w:kern w:val="0"/>
          <w:szCs w:val="21"/>
        </w:rPr>
        <w:t>“近年财务状况表”应附财务会计报表和财务情况说明书的复印件，具体年份要求见投标人须知前附表。</w:t>
      </w:r>
    </w:p>
    <w:p>
      <w:pPr>
        <w:autoSpaceDE w:val="0"/>
        <w:autoSpaceDN w:val="0"/>
        <w:adjustRightInd w:val="0"/>
        <w:spacing w:line="400" w:lineRule="exact"/>
        <w:ind w:right="-34" w:rightChars="-16" w:firstLine="411" w:firstLineChars="196"/>
        <w:jc w:val="left"/>
        <w:rPr>
          <w:rFonts w:ascii="宋体" w:hAnsi="宋体"/>
          <w:kern w:val="0"/>
          <w:szCs w:val="21"/>
        </w:rPr>
      </w:pPr>
      <w:r>
        <w:rPr>
          <w:rFonts w:ascii="宋体" w:hAnsi="宋体"/>
          <w:kern w:val="0"/>
          <w:szCs w:val="21"/>
        </w:rPr>
        <w:t xml:space="preserve">3.5.3 </w:t>
      </w:r>
      <w:r>
        <w:rPr>
          <w:rFonts w:hint="eastAsia" w:ascii="宋体" w:hAnsi="宋体"/>
          <w:kern w:val="0"/>
          <w:szCs w:val="21"/>
        </w:rPr>
        <w:t>“近年完成的类似项目情况表”应附中标通知书、合同协议书或工程接收证书（工程竣工验收证书）的复印件，具体年份要求见投标人须知前附表。每张表格只填写一个项目，并标明序号。</w:t>
      </w:r>
    </w:p>
    <w:p>
      <w:pPr>
        <w:autoSpaceDE w:val="0"/>
        <w:autoSpaceDN w:val="0"/>
        <w:adjustRightInd w:val="0"/>
        <w:spacing w:line="400" w:lineRule="exact"/>
        <w:ind w:right="-34" w:rightChars="-16" w:firstLine="411" w:firstLineChars="196"/>
        <w:jc w:val="left"/>
        <w:rPr>
          <w:rFonts w:ascii="宋体" w:hAnsi="宋体"/>
          <w:kern w:val="0"/>
          <w:szCs w:val="21"/>
        </w:rPr>
      </w:pPr>
      <w:r>
        <w:rPr>
          <w:rFonts w:ascii="宋体" w:hAnsi="宋体"/>
          <w:kern w:val="0"/>
          <w:szCs w:val="21"/>
        </w:rPr>
        <w:t xml:space="preserve">3.5.4 </w:t>
      </w:r>
      <w:r>
        <w:rPr>
          <w:rFonts w:hint="eastAsia" w:ascii="宋体" w:hAnsi="宋体"/>
          <w:kern w:val="0"/>
          <w:szCs w:val="21"/>
        </w:rPr>
        <w:t>“正在施工和新承接的项目情况表”应附中标通知书或合同协议书复印件。每张表格只填写一个项目，并标明序号。</w:t>
      </w:r>
    </w:p>
    <w:p>
      <w:pPr>
        <w:autoSpaceDE w:val="0"/>
        <w:autoSpaceDN w:val="0"/>
        <w:adjustRightInd w:val="0"/>
        <w:spacing w:line="400" w:lineRule="exact"/>
        <w:ind w:right="-34" w:rightChars="-16" w:firstLine="411" w:firstLineChars="196"/>
        <w:jc w:val="left"/>
        <w:rPr>
          <w:rFonts w:ascii="宋体" w:hAnsi="宋体"/>
          <w:kern w:val="0"/>
          <w:szCs w:val="21"/>
        </w:rPr>
      </w:pPr>
      <w:r>
        <w:rPr>
          <w:rFonts w:ascii="宋体" w:hAnsi="宋体"/>
          <w:kern w:val="0"/>
          <w:szCs w:val="21"/>
        </w:rPr>
        <w:t xml:space="preserve">3.5.5 </w:t>
      </w:r>
      <w:r>
        <w:rPr>
          <w:rFonts w:hint="eastAsia" w:ascii="宋体" w:hAnsi="宋体"/>
          <w:kern w:val="0"/>
          <w:szCs w:val="21"/>
        </w:rPr>
        <w:t>“近年发生的诉讼及仲裁情况”应说明相关情况，并附法院或仲裁机构作出的判决、裁决等有关法律文书复印件，具体年份要求见投标人须知前附表。</w:t>
      </w:r>
      <w:bookmarkStart w:id="322" w:name="_Toc228337094"/>
      <w:bookmarkStart w:id="323" w:name="_Toc214433883"/>
      <w:bookmarkStart w:id="324" w:name="_Toc228589159"/>
      <w:bookmarkStart w:id="325" w:name="_Toc272772570"/>
      <w:bookmarkStart w:id="326" w:name="_Toc227492240"/>
      <w:bookmarkStart w:id="327" w:name="_Toc227657483"/>
      <w:bookmarkStart w:id="328" w:name="_Toc228591653"/>
      <w:bookmarkStart w:id="329" w:name="_Toc228591505"/>
      <w:bookmarkStart w:id="330" w:name="_Toc228881157"/>
    </w:p>
    <w:p>
      <w:pPr>
        <w:spacing w:line="400" w:lineRule="exact"/>
        <w:ind w:firstLine="420" w:firstLineChars="200"/>
      </w:pPr>
      <w:r>
        <w:rPr>
          <w:rFonts w:hint="eastAsia"/>
        </w:rPr>
        <w:t>3.5.</w:t>
      </w:r>
      <w:r>
        <w:t>6</w:t>
      </w:r>
      <w:r>
        <w:rPr>
          <w:rFonts w:hint="eastAsia"/>
        </w:rPr>
        <w:t>投标人须知前附表规定接受联合体投标的，本章第3.5.1项至第3.5.6项规定的表格和资料应包括联合体各方相关情况。</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331" w:name="_Toc13312"/>
      <w:bookmarkStart w:id="332" w:name="_Toc19815"/>
      <w:r>
        <w:rPr>
          <w:rFonts w:ascii="黑体" w:hAnsi="新宋体" w:eastAsia="黑体"/>
          <w:kern w:val="0"/>
          <w:sz w:val="24"/>
          <w:szCs w:val="24"/>
        </w:rPr>
        <w:t xml:space="preserve">3.6 </w:t>
      </w:r>
      <w:r>
        <w:rPr>
          <w:rFonts w:hint="eastAsia" w:ascii="黑体" w:hAnsi="新宋体" w:eastAsia="黑体"/>
          <w:kern w:val="0"/>
          <w:sz w:val="24"/>
          <w:szCs w:val="24"/>
        </w:rPr>
        <w:t>备选投标方案</w:t>
      </w:r>
      <w:bookmarkEnd w:id="322"/>
      <w:bookmarkEnd w:id="323"/>
      <w:bookmarkEnd w:id="324"/>
      <w:bookmarkEnd w:id="325"/>
      <w:bookmarkEnd w:id="326"/>
      <w:bookmarkEnd w:id="327"/>
      <w:bookmarkEnd w:id="328"/>
      <w:bookmarkEnd w:id="329"/>
      <w:bookmarkEnd w:id="330"/>
      <w:bookmarkEnd w:id="331"/>
      <w:bookmarkEnd w:id="332"/>
    </w:p>
    <w:p>
      <w:pPr>
        <w:spacing w:line="400" w:lineRule="exact"/>
        <w:ind w:firstLine="420" w:firstLineChars="200"/>
      </w:pPr>
      <w:bookmarkStart w:id="333" w:name="_Toc228337095"/>
      <w:bookmarkStart w:id="334" w:name="_Toc272772571"/>
      <w:bookmarkStart w:id="335" w:name="_Toc227492241"/>
      <w:bookmarkStart w:id="336" w:name="_Toc228591506"/>
      <w:bookmarkStart w:id="337" w:name="_Toc228881158"/>
      <w:bookmarkStart w:id="338" w:name="_Toc214433884"/>
      <w:bookmarkStart w:id="339" w:name="_Toc228589160"/>
      <w:bookmarkStart w:id="340" w:name="_Toc228591654"/>
      <w:bookmarkStart w:id="341" w:name="_Toc227657484"/>
      <w:r>
        <w:rPr>
          <w:rFonts w:hint="eastAsia"/>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342" w:name="_Toc29494"/>
      <w:bookmarkStart w:id="343" w:name="_Toc18718"/>
      <w:r>
        <w:rPr>
          <w:rFonts w:ascii="黑体" w:hAnsi="新宋体" w:eastAsia="黑体"/>
          <w:kern w:val="0"/>
          <w:sz w:val="24"/>
          <w:szCs w:val="24"/>
        </w:rPr>
        <w:t xml:space="preserve">3.7 </w:t>
      </w:r>
      <w:r>
        <w:rPr>
          <w:rFonts w:hint="eastAsia" w:ascii="黑体" w:hAnsi="新宋体" w:eastAsia="黑体"/>
          <w:kern w:val="0"/>
          <w:sz w:val="24"/>
          <w:szCs w:val="24"/>
        </w:rPr>
        <w:t>投标文件的编制</w:t>
      </w:r>
      <w:bookmarkEnd w:id="333"/>
      <w:bookmarkEnd w:id="334"/>
      <w:bookmarkEnd w:id="335"/>
      <w:bookmarkEnd w:id="336"/>
      <w:bookmarkEnd w:id="337"/>
      <w:bookmarkEnd w:id="338"/>
      <w:bookmarkEnd w:id="339"/>
      <w:bookmarkEnd w:id="340"/>
      <w:bookmarkEnd w:id="341"/>
      <w:bookmarkEnd w:id="342"/>
      <w:bookmarkEnd w:id="343"/>
    </w:p>
    <w:p>
      <w:pPr>
        <w:spacing w:line="420" w:lineRule="exact"/>
        <w:ind w:firstLine="420" w:firstLineChars="200"/>
      </w:pPr>
      <w:bookmarkStart w:id="344" w:name="_Toc214433885"/>
      <w:bookmarkStart w:id="345" w:name="_Toc228591507"/>
      <w:bookmarkStart w:id="346" w:name="_Toc227657485"/>
      <w:bookmarkStart w:id="347" w:name="_Toc228337096"/>
      <w:bookmarkStart w:id="348" w:name="_Toc227492242"/>
      <w:bookmarkStart w:id="349" w:name="_Toc272772572"/>
      <w:bookmarkStart w:id="350" w:name="_Toc10433"/>
      <w:bookmarkStart w:id="351" w:name="_Toc228591655"/>
      <w:bookmarkStart w:id="352" w:name="_Toc228881159"/>
      <w:bookmarkStart w:id="353" w:name="_Toc228589161"/>
      <w:bookmarkStart w:id="354" w:name="_Toc5230"/>
      <w:r>
        <w:rPr>
          <w:rFonts w:hint="eastAsia"/>
        </w:rPr>
        <w:t>3.7.1投标文件应按第八章“投标文件格式”使用驻马店市公共资源交易系统投标文件制作专用工具软件编制。其中，投标函附录在满足招标文件实质性要求的基础上，可以提出比招标文件要求更有利于招标人的承诺。</w:t>
      </w:r>
    </w:p>
    <w:p>
      <w:pPr>
        <w:spacing w:line="420" w:lineRule="exact"/>
        <w:ind w:firstLine="420" w:firstLineChars="200"/>
      </w:pPr>
      <w:r>
        <w:rPr>
          <w:rFonts w:hint="eastAsia"/>
        </w:rPr>
        <w:t>3.7.2 投标文件应当对招标文件有关工期、投标有效期、质量要求、技术标准和要求、招标范围等实质性内容作出响应。</w:t>
      </w:r>
    </w:p>
    <w:p>
      <w:pPr>
        <w:spacing w:line="420" w:lineRule="exact"/>
        <w:ind w:firstLine="420" w:firstLineChars="200"/>
      </w:pPr>
      <w:bookmarkStart w:id="355" w:name="_Toc1526"/>
      <w:r>
        <w:rPr>
          <w:rFonts w:hint="eastAsia"/>
        </w:rPr>
        <w:t>3.7.3 签字或盖章要求详见投标人须知前附表。</w:t>
      </w:r>
      <w:bookmarkEnd w:id="355"/>
    </w:p>
    <w:p>
      <w:pPr>
        <w:spacing w:line="420" w:lineRule="exact"/>
        <w:ind w:firstLine="420" w:firstLineChars="200"/>
      </w:pPr>
      <w:r>
        <w:rPr>
          <w:rFonts w:hint="eastAsia"/>
        </w:rPr>
        <w:t>3.7.4 投标文件份数及其他要求详见投标人须知前附表</w:t>
      </w:r>
    </w:p>
    <w:p>
      <w:pPr>
        <w:spacing w:line="420" w:lineRule="exact"/>
        <w:ind w:firstLine="420" w:firstLineChars="200"/>
      </w:pPr>
      <w:r>
        <w:rPr>
          <w:rFonts w:hint="eastAsia"/>
        </w:rPr>
        <w:t>3.7.5 因投标人自身原因，导致电子投标文件上传件出现问题，其投标文件作无效标处理</w:t>
      </w:r>
    </w:p>
    <w:p>
      <w:pPr>
        <w:pStyle w:val="44"/>
        <w:ind w:left="0" w:leftChars="0" w:firstLine="0"/>
      </w:pPr>
    </w:p>
    <w:p>
      <w:pPr>
        <w:pStyle w:val="69"/>
        <w:spacing w:line="400" w:lineRule="exact"/>
        <w:ind w:right="-34" w:rightChars="-16"/>
        <w:jc w:val="both"/>
        <w:outlineLvl w:val="0"/>
        <w:rPr>
          <w:rFonts w:ascii="黑体" w:hAnsi="新宋体" w:eastAsia="黑体"/>
          <w:color w:val="auto"/>
          <w:sz w:val="28"/>
          <w:szCs w:val="28"/>
        </w:rPr>
      </w:pPr>
      <w:r>
        <w:rPr>
          <w:rFonts w:ascii="黑体" w:hAnsi="新宋体" w:eastAsia="黑体"/>
          <w:color w:val="auto"/>
          <w:sz w:val="28"/>
          <w:szCs w:val="28"/>
        </w:rPr>
        <w:t xml:space="preserve">4. </w:t>
      </w:r>
      <w:r>
        <w:rPr>
          <w:rFonts w:hint="eastAsia" w:ascii="黑体" w:hAnsi="新宋体" w:eastAsia="黑体"/>
          <w:color w:val="auto"/>
          <w:sz w:val="28"/>
          <w:szCs w:val="28"/>
        </w:rPr>
        <w:t>投标</w:t>
      </w:r>
      <w:bookmarkEnd w:id="344"/>
      <w:bookmarkEnd w:id="345"/>
      <w:bookmarkEnd w:id="346"/>
      <w:bookmarkEnd w:id="347"/>
      <w:bookmarkEnd w:id="348"/>
      <w:bookmarkEnd w:id="349"/>
      <w:bookmarkEnd w:id="350"/>
      <w:bookmarkEnd w:id="351"/>
      <w:bookmarkEnd w:id="352"/>
      <w:bookmarkEnd w:id="353"/>
      <w:bookmarkEnd w:id="354"/>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356" w:name="_Toc228337097"/>
      <w:bookmarkStart w:id="357" w:name="_Toc1366"/>
      <w:bookmarkStart w:id="358" w:name="_Toc228589162"/>
      <w:bookmarkStart w:id="359" w:name="_Toc7626"/>
      <w:bookmarkStart w:id="360" w:name="_Toc214433886"/>
      <w:bookmarkStart w:id="361" w:name="_Toc272772573"/>
      <w:bookmarkStart w:id="362" w:name="_Toc227657486"/>
      <w:bookmarkStart w:id="363" w:name="_Toc227492243"/>
      <w:bookmarkStart w:id="364" w:name="_Toc228591508"/>
      <w:bookmarkStart w:id="365" w:name="_Toc228591656"/>
      <w:bookmarkStart w:id="366" w:name="_Toc228881160"/>
      <w:r>
        <w:rPr>
          <w:rFonts w:ascii="黑体" w:hAnsi="新宋体" w:eastAsia="黑体"/>
          <w:kern w:val="0"/>
          <w:sz w:val="24"/>
          <w:szCs w:val="24"/>
        </w:rPr>
        <w:t xml:space="preserve">4.1 </w:t>
      </w:r>
      <w:r>
        <w:rPr>
          <w:rFonts w:hint="eastAsia" w:ascii="黑体" w:hAnsi="新宋体" w:eastAsia="黑体"/>
          <w:kern w:val="0"/>
          <w:sz w:val="24"/>
          <w:szCs w:val="24"/>
        </w:rPr>
        <w:t>投标文件的密封和标记</w:t>
      </w:r>
      <w:bookmarkEnd w:id="356"/>
      <w:bookmarkEnd w:id="357"/>
      <w:bookmarkEnd w:id="358"/>
      <w:bookmarkEnd w:id="359"/>
      <w:bookmarkEnd w:id="360"/>
      <w:bookmarkEnd w:id="361"/>
      <w:bookmarkEnd w:id="362"/>
      <w:bookmarkEnd w:id="363"/>
      <w:bookmarkEnd w:id="364"/>
      <w:bookmarkEnd w:id="365"/>
      <w:bookmarkEnd w:id="366"/>
    </w:p>
    <w:p>
      <w:pPr>
        <w:spacing w:line="400" w:lineRule="exact"/>
        <w:ind w:firstLine="420" w:firstLineChars="200"/>
      </w:pPr>
      <w:r>
        <w:rPr>
          <w:rFonts w:hint="eastAsia"/>
        </w:rPr>
        <w:t>4.1.1 网上上传的电子投标文件应使用数字证书认证并加密；</w:t>
      </w:r>
    </w:p>
    <w:p>
      <w:pPr>
        <w:spacing w:line="400" w:lineRule="exact"/>
        <w:ind w:firstLine="420" w:firstLineChars="200"/>
      </w:pPr>
      <w:r>
        <w:rPr>
          <w:rFonts w:hint="eastAsia"/>
        </w:rPr>
        <w:t>4.1.2电子投标文件U盘、纸质投标文件要求详见投标人须知前附表。</w:t>
      </w:r>
    </w:p>
    <w:p>
      <w:pPr>
        <w:spacing w:line="400" w:lineRule="exact"/>
        <w:ind w:firstLine="420" w:firstLineChars="200"/>
      </w:pPr>
      <w:r>
        <w:rPr>
          <w:rFonts w:hint="eastAsia"/>
        </w:rPr>
        <w:t>4.1.3 未按本章第4.1.1项（网上上传的电子投标文件等要求）或第4.1.2项（中标后需要提交相关投标文件）等要求的，招标人不予接受。</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367" w:name="_Toc228337098"/>
      <w:bookmarkStart w:id="368" w:name="_Toc214433887"/>
      <w:bookmarkStart w:id="369" w:name="_Toc228881161"/>
      <w:bookmarkStart w:id="370" w:name="_Toc228589163"/>
      <w:bookmarkStart w:id="371" w:name="_Toc227492244"/>
      <w:bookmarkStart w:id="372" w:name="_Toc272772574"/>
      <w:bookmarkStart w:id="373" w:name="_Toc13262"/>
      <w:bookmarkStart w:id="374" w:name="_Toc227657487"/>
      <w:bookmarkStart w:id="375" w:name="_Toc228591509"/>
      <w:bookmarkStart w:id="376" w:name="_Toc3038"/>
      <w:bookmarkStart w:id="377" w:name="_Toc228591657"/>
      <w:r>
        <w:rPr>
          <w:rFonts w:ascii="黑体" w:hAnsi="新宋体" w:eastAsia="黑体"/>
          <w:kern w:val="0"/>
          <w:sz w:val="24"/>
          <w:szCs w:val="24"/>
        </w:rPr>
        <w:t xml:space="preserve">4.2 </w:t>
      </w:r>
      <w:r>
        <w:rPr>
          <w:rFonts w:hint="eastAsia" w:ascii="黑体" w:hAnsi="新宋体" w:eastAsia="黑体"/>
          <w:kern w:val="0"/>
          <w:sz w:val="24"/>
          <w:szCs w:val="24"/>
        </w:rPr>
        <w:t>投标文件的递交</w:t>
      </w:r>
      <w:bookmarkEnd w:id="367"/>
      <w:bookmarkEnd w:id="368"/>
      <w:bookmarkEnd w:id="369"/>
      <w:bookmarkEnd w:id="370"/>
      <w:bookmarkEnd w:id="371"/>
      <w:bookmarkEnd w:id="372"/>
      <w:bookmarkEnd w:id="373"/>
      <w:bookmarkEnd w:id="374"/>
      <w:bookmarkEnd w:id="375"/>
      <w:bookmarkEnd w:id="376"/>
      <w:bookmarkEnd w:id="377"/>
    </w:p>
    <w:p>
      <w:pPr>
        <w:autoSpaceDE w:val="0"/>
        <w:autoSpaceDN w:val="0"/>
        <w:adjustRightInd w:val="0"/>
        <w:spacing w:line="400" w:lineRule="exact"/>
        <w:ind w:right="-34" w:rightChars="-16" w:firstLine="420" w:firstLineChars="200"/>
        <w:jc w:val="left"/>
        <w:rPr>
          <w:rFonts w:ascii="宋体" w:hAnsi="宋体"/>
          <w:kern w:val="0"/>
          <w:szCs w:val="21"/>
        </w:rPr>
      </w:pPr>
      <w:bookmarkStart w:id="378" w:name="_Toc28570"/>
      <w:bookmarkStart w:id="379" w:name="_Toc227492245"/>
      <w:bookmarkStart w:id="380" w:name="_Toc228589164"/>
      <w:bookmarkStart w:id="381" w:name="_Toc228591510"/>
      <w:bookmarkStart w:id="382" w:name="_Toc214433888"/>
      <w:bookmarkStart w:id="383" w:name="_Toc30643"/>
      <w:bookmarkStart w:id="384" w:name="_Toc228591658"/>
      <w:bookmarkStart w:id="385" w:name="_Toc228337099"/>
      <w:bookmarkStart w:id="386" w:name="_Toc227657488"/>
      <w:bookmarkStart w:id="387" w:name="_Toc272772575"/>
      <w:bookmarkStart w:id="388" w:name="_Toc228881162"/>
      <w:r>
        <w:rPr>
          <w:rFonts w:ascii="宋体" w:hAnsi="宋体"/>
          <w:kern w:val="0"/>
          <w:szCs w:val="21"/>
        </w:rPr>
        <w:t xml:space="preserve">4.2.1 </w:t>
      </w:r>
      <w:r>
        <w:rPr>
          <w:rFonts w:hint="eastAsia" w:ascii="宋体" w:hAnsi="宋体"/>
          <w:kern w:val="0"/>
          <w:szCs w:val="21"/>
        </w:rPr>
        <w:t>投标人应在投标人须知前附表规定的投标截止时间前递交投标文件。</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 xml:space="preserve">4.2.2 </w:t>
      </w:r>
      <w:r>
        <w:rPr>
          <w:rFonts w:hint="eastAsia" w:ascii="宋体" w:hAnsi="宋体"/>
          <w:kern w:val="0"/>
          <w:szCs w:val="21"/>
        </w:rPr>
        <w:t>投标人递交投标文件的地点：见投标人须知前附表。</w:t>
      </w:r>
    </w:p>
    <w:p>
      <w:pPr>
        <w:autoSpaceDE w:val="0"/>
        <w:autoSpaceDN w:val="0"/>
        <w:adjustRightInd w:val="0"/>
        <w:spacing w:line="400" w:lineRule="exact"/>
        <w:ind w:right="-34" w:rightChars="-16" w:firstLine="420" w:firstLineChars="200"/>
        <w:jc w:val="left"/>
        <w:rPr>
          <w:rFonts w:ascii="宋体" w:hAnsi="宋体" w:cs="TimesNewRomanPSMT"/>
          <w:kern w:val="18"/>
          <w:szCs w:val="21"/>
        </w:rPr>
      </w:pPr>
      <w:r>
        <w:rPr>
          <w:rFonts w:hint="eastAsia" w:ascii="宋体" w:hAnsi="宋体"/>
          <w:kern w:val="0"/>
          <w:szCs w:val="21"/>
        </w:rPr>
        <w:t>4.2.3 投标人递交投标文件的同时，</w:t>
      </w:r>
      <w:r>
        <w:rPr>
          <w:rFonts w:hint="eastAsia" w:ascii="宋体" w:hAnsi="宋体" w:cs="TimesNewRomanPSMT"/>
          <w:kern w:val="18"/>
          <w:szCs w:val="21"/>
        </w:rPr>
        <w:t>需在投标人业务系统的资格审查材料中提交资格审查和业绩信誉核验所需证件（证明）扫描件</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4.2.</w:t>
      </w:r>
      <w:r>
        <w:rPr>
          <w:rFonts w:hint="eastAsia" w:ascii="宋体" w:hAnsi="宋体"/>
          <w:kern w:val="0"/>
          <w:szCs w:val="21"/>
        </w:rPr>
        <w:t>4除投标人须知前附表另有规定外，投标人所递交的投标文件不予退还。</w:t>
      </w:r>
    </w:p>
    <w:p>
      <w:pPr>
        <w:autoSpaceDE w:val="0"/>
        <w:autoSpaceDN w:val="0"/>
        <w:adjustRightInd w:val="0"/>
        <w:spacing w:line="400" w:lineRule="exact"/>
        <w:ind w:right="-34" w:rightChars="-16" w:firstLine="420" w:firstLineChars="200"/>
        <w:jc w:val="left"/>
      </w:pPr>
      <w:r>
        <w:rPr>
          <w:rFonts w:ascii="宋体" w:hAnsi="宋体"/>
          <w:kern w:val="0"/>
          <w:szCs w:val="21"/>
        </w:rPr>
        <w:t>4.2.</w:t>
      </w:r>
      <w:r>
        <w:rPr>
          <w:rFonts w:hint="eastAsia" w:ascii="宋体" w:hAnsi="宋体"/>
          <w:kern w:val="0"/>
          <w:szCs w:val="21"/>
        </w:rPr>
        <w:t>5逾期送达的或者未送达指定地点的投标文件，招标人不予受理。</w:t>
      </w:r>
    </w:p>
    <w:p>
      <w:pPr>
        <w:autoSpaceDE w:val="0"/>
        <w:autoSpaceDN w:val="0"/>
        <w:adjustRightInd w:val="0"/>
        <w:spacing w:line="400" w:lineRule="exact"/>
        <w:ind w:right="-34" w:rightChars="-16"/>
        <w:jc w:val="left"/>
        <w:outlineLvl w:val="0"/>
        <w:rPr>
          <w:rFonts w:ascii="黑体" w:hAnsi="新宋体" w:eastAsia="黑体"/>
          <w:kern w:val="0"/>
          <w:sz w:val="24"/>
          <w:szCs w:val="24"/>
        </w:rPr>
      </w:pPr>
      <w:r>
        <w:rPr>
          <w:rFonts w:ascii="黑体" w:hAnsi="新宋体" w:eastAsia="黑体"/>
          <w:kern w:val="0"/>
          <w:sz w:val="24"/>
          <w:szCs w:val="24"/>
        </w:rPr>
        <w:t xml:space="preserve">4.3 </w:t>
      </w:r>
      <w:r>
        <w:rPr>
          <w:rFonts w:hint="eastAsia" w:ascii="黑体" w:hAnsi="新宋体" w:eastAsia="黑体"/>
          <w:kern w:val="0"/>
          <w:sz w:val="24"/>
          <w:szCs w:val="24"/>
        </w:rPr>
        <w:t>投标文件的修改与撤回</w:t>
      </w:r>
      <w:bookmarkEnd w:id="378"/>
      <w:bookmarkEnd w:id="379"/>
      <w:bookmarkEnd w:id="380"/>
      <w:bookmarkEnd w:id="381"/>
      <w:bookmarkEnd w:id="382"/>
      <w:bookmarkEnd w:id="383"/>
      <w:bookmarkEnd w:id="384"/>
      <w:bookmarkEnd w:id="385"/>
      <w:bookmarkEnd w:id="386"/>
      <w:bookmarkEnd w:id="387"/>
      <w:bookmarkEnd w:id="388"/>
    </w:p>
    <w:p>
      <w:pPr>
        <w:spacing w:line="400" w:lineRule="exact"/>
        <w:ind w:firstLine="420" w:firstLineChars="200"/>
      </w:pPr>
      <w:r>
        <w:rPr>
          <w:rFonts w:ascii="宋体" w:hAnsi="宋体"/>
          <w:kern w:val="0"/>
          <w:szCs w:val="21"/>
        </w:rPr>
        <w:t xml:space="preserve">4.3.1 </w:t>
      </w:r>
      <w:r>
        <w:rPr>
          <w:rFonts w:hint="eastAsia" w:ascii="宋体" w:hAnsi="宋体"/>
          <w:kern w:val="0"/>
          <w:szCs w:val="21"/>
        </w:rPr>
        <w:t>在</w:t>
      </w:r>
      <w:r>
        <w:rPr>
          <w:rFonts w:hint="eastAsia" w:ascii="宋体" w:hAnsi="宋体"/>
          <w:szCs w:val="21"/>
        </w:rPr>
        <w:t>投标人须知前附表</w:t>
      </w:r>
      <w:r>
        <w:rPr>
          <w:rFonts w:hint="eastAsia"/>
        </w:rPr>
        <w:t>4.2.1项</w:t>
      </w:r>
      <w:r>
        <w:rPr>
          <w:rFonts w:hint="eastAsia" w:ascii="宋体" w:hAnsi="宋体"/>
          <w:szCs w:val="21"/>
        </w:rPr>
        <w:t>规定</w:t>
      </w:r>
      <w:r>
        <w:rPr>
          <w:rFonts w:hint="eastAsia" w:ascii="宋体" w:hAnsi="宋体"/>
          <w:kern w:val="0"/>
          <w:szCs w:val="21"/>
        </w:rPr>
        <w:t>的投标截止时间前，</w:t>
      </w:r>
      <w:r>
        <w:rPr>
          <w:rFonts w:hint="eastAsia"/>
        </w:rPr>
        <w:t>投标人可以多次修改或撤回已递交的投标文件，最终投标文件以投标截止时间前完成上传至驻马店市公共资源交易中心交易系统最后一份投标文件为准。</w:t>
      </w:r>
    </w:p>
    <w:p>
      <w:pPr>
        <w:pStyle w:val="69"/>
        <w:spacing w:line="400" w:lineRule="exact"/>
        <w:ind w:right="-34" w:rightChars="-16"/>
        <w:jc w:val="both"/>
        <w:outlineLvl w:val="0"/>
        <w:rPr>
          <w:rFonts w:ascii="黑体" w:hAnsi="新宋体" w:eastAsia="黑体"/>
          <w:color w:val="auto"/>
          <w:szCs w:val="24"/>
        </w:rPr>
      </w:pPr>
      <w:bookmarkStart w:id="389" w:name="_Toc214433889"/>
      <w:bookmarkStart w:id="390" w:name="_Toc227492246"/>
      <w:bookmarkStart w:id="391" w:name="_Toc228881163"/>
      <w:bookmarkStart w:id="392" w:name="_Toc228337100"/>
      <w:bookmarkStart w:id="393" w:name="_Toc5423"/>
      <w:bookmarkStart w:id="394" w:name="_Toc10827"/>
      <w:bookmarkStart w:id="395" w:name="_Toc272772576"/>
      <w:bookmarkStart w:id="396" w:name="_Toc227657489"/>
      <w:bookmarkStart w:id="397" w:name="_Toc228591659"/>
      <w:bookmarkStart w:id="398" w:name="_Toc228591511"/>
      <w:bookmarkStart w:id="399" w:name="_Toc228589165"/>
      <w:r>
        <w:rPr>
          <w:rFonts w:ascii="黑体" w:hAnsi="新宋体" w:eastAsia="黑体"/>
          <w:color w:val="auto"/>
          <w:szCs w:val="24"/>
        </w:rPr>
        <w:t xml:space="preserve">5. </w:t>
      </w:r>
      <w:r>
        <w:rPr>
          <w:rFonts w:hint="eastAsia" w:ascii="黑体" w:hAnsi="新宋体" w:eastAsia="黑体"/>
          <w:color w:val="auto"/>
          <w:szCs w:val="24"/>
        </w:rPr>
        <w:t>开标</w:t>
      </w:r>
      <w:bookmarkEnd w:id="389"/>
      <w:bookmarkEnd w:id="390"/>
      <w:bookmarkEnd w:id="391"/>
      <w:bookmarkEnd w:id="392"/>
      <w:bookmarkEnd w:id="393"/>
      <w:bookmarkEnd w:id="394"/>
      <w:bookmarkEnd w:id="395"/>
      <w:bookmarkEnd w:id="396"/>
      <w:bookmarkEnd w:id="397"/>
      <w:bookmarkEnd w:id="398"/>
      <w:bookmarkEnd w:id="399"/>
      <w:bookmarkStart w:id="400" w:name="_Toc25088"/>
      <w:bookmarkStart w:id="401" w:name="_Toc4891"/>
    </w:p>
    <w:p>
      <w:pPr>
        <w:pStyle w:val="69"/>
        <w:spacing w:line="400" w:lineRule="exact"/>
        <w:ind w:right="-34" w:rightChars="-16"/>
        <w:jc w:val="both"/>
        <w:outlineLvl w:val="0"/>
        <w:rPr>
          <w:rFonts w:ascii="黑体" w:hAnsi="新宋体" w:eastAsia="黑体"/>
          <w:color w:val="auto"/>
          <w:szCs w:val="24"/>
        </w:rPr>
      </w:pPr>
      <w:r>
        <w:rPr>
          <w:rFonts w:hint="eastAsia" w:ascii="黑体" w:hAnsi="新宋体" w:eastAsia="黑体"/>
          <w:color w:val="auto"/>
          <w:szCs w:val="24"/>
        </w:rPr>
        <w:t>5.1开标的时间、地点和要求</w:t>
      </w:r>
      <w:bookmarkEnd w:id="400"/>
      <w:bookmarkEnd w:id="401"/>
    </w:p>
    <w:p>
      <w:pPr>
        <w:spacing w:line="400" w:lineRule="exact"/>
        <w:ind w:firstLine="420" w:firstLineChars="200"/>
        <w:jc w:val="left"/>
        <w:rPr>
          <w:rFonts w:ascii="宋体" w:hAnsi="宋体"/>
          <w:szCs w:val="21"/>
        </w:rPr>
      </w:pPr>
      <w:bookmarkStart w:id="402" w:name="_Toc214433892"/>
      <w:bookmarkStart w:id="403" w:name="_Toc227492249"/>
      <w:bookmarkStart w:id="404" w:name="_Toc272772579"/>
      <w:bookmarkStart w:id="405" w:name="_Toc227657492"/>
      <w:bookmarkStart w:id="406" w:name="_Toc228591514"/>
      <w:bookmarkStart w:id="407" w:name="_Toc228589168"/>
      <w:bookmarkStart w:id="408" w:name="_Toc228881166"/>
      <w:bookmarkStart w:id="409" w:name="_Toc228337103"/>
      <w:bookmarkStart w:id="410" w:name="_Toc228591662"/>
      <w:r>
        <w:rPr>
          <w:rFonts w:hint="eastAsia"/>
        </w:rPr>
        <w:t>5.1.1 招标人在本章第 4.2.1 项规定的投标截止时间（开标时间）和投标人须知前附表规定的地点开标。</w:t>
      </w:r>
    </w:p>
    <w:p>
      <w:pPr>
        <w:wordWrap w:val="0"/>
        <w:spacing w:line="480" w:lineRule="exact"/>
        <w:ind w:firstLine="411" w:firstLineChars="196"/>
        <w:rPr>
          <w:rFonts w:ascii="宋体" w:hAnsi="宋体"/>
          <w:b/>
          <w:sz w:val="28"/>
          <w:szCs w:val="24"/>
        </w:rPr>
      </w:pPr>
      <w:r>
        <w:rPr>
          <w:rFonts w:hint="eastAsia" w:ascii="宋体" w:hAnsi="宋体" w:cs="宋体"/>
          <w:szCs w:val="21"/>
        </w:rPr>
        <w:t>本项目采用远程不见面交易的模式。开标当日，投标人无需到达开标现场，仅需在任意地点通过驻马店不见面开标系统（http://</w:t>
      </w:r>
      <w:r>
        <w:rPr>
          <w:rFonts w:hint="eastAsia" w:ascii="宋体" w:hAnsi="宋体" w:cs="宋体"/>
          <w:szCs w:val="21"/>
          <w:lang w:eastAsia="zh-CN"/>
        </w:rPr>
        <w:t>ggzy.zhumadian.gov.cn</w:t>
      </w:r>
      <w:r>
        <w:rPr>
          <w:rFonts w:hint="eastAsia" w:ascii="宋体" w:hAnsi="宋体" w:cs="宋体"/>
          <w:szCs w:val="21"/>
        </w:rPr>
        <w:t>:9190/BidOpening/bidopeninghallaction/hall/login）及相应的配套硬件设备（摄像头、话筒、麦克风等），完成远程解密、评标办法与系数抽取、文件传输、提疑澄清、开标唱标、结果公布等交互环节。</w:t>
      </w:r>
    </w:p>
    <w:p>
      <w:pPr>
        <w:spacing w:line="400" w:lineRule="exact"/>
        <w:ind w:firstLine="420" w:firstLineChars="200"/>
        <w:jc w:val="left"/>
      </w:pPr>
      <w:r>
        <w:rPr>
          <w:rFonts w:hint="eastAsia"/>
        </w:rPr>
        <w:t xml:space="preserve">5.1.2 投标人须在投标人须知前附表规定的时间内完成解密。 </w:t>
      </w:r>
    </w:p>
    <w:p>
      <w:pPr>
        <w:autoSpaceDE w:val="0"/>
        <w:autoSpaceDN w:val="0"/>
        <w:adjustRightInd w:val="0"/>
        <w:spacing w:line="420" w:lineRule="exact"/>
        <w:jc w:val="left"/>
        <w:rPr>
          <w:rFonts w:ascii="黑体" w:eastAsia="黑体"/>
          <w:b/>
          <w:kern w:val="0"/>
          <w:szCs w:val="21"/>
        </w:rPr>
      </w:pPr>
      <w:r>
        <w:rPr>
          <w:rFonts w:hint="eastAsia" w:ascii="黑体" w:eastAsia="黑体"/>
          <w:b/>
          <w:kern w:val="0"/>
          <w:szCs w:val="21"/>
        </w:rPr>
        <w:t>5.3 开标异议</w:t>
      </w:r>
    </w:p>
    <w:p>
      <w:pPr>
        <w:spacing w:line="400" w:lineRule="exact"/>
        <w:ind w:firstLine="359" w:firstLineChars="171"/>
      </w:pPr>
      <w:r>
        <w:rPr>
          <w:rFonts w:hint="eastAsia"/>
        </w:rPr>
        <w:t>投标人对开标有异议的，应当在开标现场提出，招标人当场作出答复，并制作记录。</w:t>
      </w:r>
    </w:p>
    <w:p>
      <w:pPr>
        <w:pStyle w:val="69"/>
        <w:spacing w:line="400" w:lineRule="exact"/>
        <w:ind w:right="-34" w:rightChars="-16"/>
        <w:outlineLvl w:val="0"/>
        <w:rPr>
          <w:rFonts w:ascii="黑体" w:hAnsi="新宋体" w:eastAsia="黑体"/>
          <w:color w:val="auto"/>
          <w:szCs w:val="24"/>
        </w:rPr>
      </w:pPr>
      <w:bookmarkStart w:id="411" w:name="_Toc29459"/>
      <w:bookmarkStart w:id="412" w:name="_Toc9365"/>
      <w:r>
        <w:rPr>
          <w:rFonts w:ascii="黑体" w:hAnsi="新宋体" w:eastAsia="黑体"/>
          <w:color w:val="auto"/>
          <w:szCs w:val="24"/>
        </w:rPr>
        <w:t xml:space="preserve">6. </w:t>
      </w:r>
      <w:r>
        <w:rPr>
          <w:rFonts w:hint="eastAsia" w:ascii="黑体" w:hAnsi="新宋体" w:eastAsia="黑体"/>
          <w:color w:val="auto"/>
          <w:szCs w:val="24"/>
        </w:rPr>
        <w:t>评标</w:t>
      </w:r>
      <w:bookmarkEnd w:id="402"/>
      <w:bookmarkEnd w:id="403"/>
      <w:bookmarkEnd w:id="404"/>
      <w:bookmarkEnd w:id="405"/>
      <w:bookmarkEnd w:id="406"/>
      <w:bookmarkEnd w:id="407"/>
      <w:bookmarkEnd w:id="408"/>
      <w:bookmarkEnd w:id="409"/>
      <w:bookmarkEnd w:id="410"/>
      <w:bookmarkEnd w:id="411"/>
      <w:bookmarkEnd w:id="412"/>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413" w:name="_Toc228591515"/>
      <w:bookmarkStart w:id="414" w:name="_Toc228881167"/>
      <w:bookmarkStart w:id="415" w:name="_Toc25435"/>
      <w:bookmarkStart w:id="416" w:name="_Toc2233"/>
      <w:bookmarkStart w:id="417" w:name="_Toc272772580"/>
      <w:bookmarkStart w:id="418" w:name="_Toc228591663"/>
      <w:bookmarkStart w:id="419" w:name="_Toc228589169"/>
      <w:bookmarkStart w:id="420" w:name="_Toc214433893"/>
      <w:bookmarkStart w:id="421" w:name="_Toc227657493"/>
      <w:bookmarkStart w:id="422" w:name="_Toc227492250"/>
      <w:bookmarkStart w:id="423" w:name="_Toc228337104"/>
      <w:r>
        <w:rPr>
          <w:rFonts w:ascii="黑体" w:hAnsi="新宋体" w:eastAsia="黑体"/>
          <w:kern w:val="0"/>
          <w:sz w:val="24"/>
          <w:szCs w:val="24"/>
        </w:rPr>
        <w:t xml:space="preserve">6.1 </w:t>
      </w:r>
      <w:r>
        <w:rPr>
          <w:rFonts w:hint="eastAsia" w:ascii="黑体" w:hAnsi="新宋体" w:eastAsia="黑体"/>
          <w:kern w:val="0"/>
          <w:sz w:val="24"/>
          <w:szCs w:val="24"/>
        </w:rPr>
        <w:t>评标委员会</w:t>
      </w:r>
      <w:bookmarkEnd w:id="413"/>
      <w:bookmarkEnd w:id="414"/>
      <w:bookmarkEnd w:id="415"/>
      <w:bookmarkEnd w:id="416"/>
      <w:bookmarkEnd w:id="417"/>
      <w:bookmarkEnd w:id="418"/>
      <w:bookmarkEnd w:id="419"/>
      <w:bookmarkEnd w:id="420"/>
      <w:bookmarkEnd w:id="421"/>
      <w:bookmarkEnd w:id="422"/>
      <w:bookmarkEnd w:id="423"/>
    </w:p>
    <w:p>
      <w:pPr>
        <w:spacing w:line="400" w:lineRule="exact"/>
        <w:ind w:firstLine="420" w:firstLineChars="200"/>
      </w:pPr>
      <w:r>
        <w:rPr>
          <w:rFonts w:ascii="宋体" w:hAnsi="宋体"/>
          <w:kern w:val="0"/>
          <w:szCs w:val="21"/>
        </w:rPr>
        <w:t>6.1.1</w:t>
      </w:r>
      <w:r>
        <w:rPr>
          <w:rFonts w:hint="eastAsia"/>
        </w:rPr>
        <w:t>评标由招标人依法组建的评标委员会负责。评标委员会由有关技术、经济等方面的专家组成。评标委员会成员人数以及技术、经济等方面专家的确定方式见投标人须知前附表。</w:t>
      </w:r>
    </w:p>
    <w:p>
      <w:pPr>
        <w:spacing w:line="400" w:lineRule="exact"/>
        <w:ind w:firstLine="420" w:firstLineChars="200"/>
        <w:rPr>
          <w:rFonts w:ascii="宋体" w:hAnsi="宋体"/>
          <w:kern w:val="0"/>
          <w:szCs w:val="21"/>
        </w:rPr>
      </w:pPr>
      <w:r>
        <w:rPr>
          <w:rFonts w:ascii="宋体" w:hAnsi="宋体"/>
          <w:kern w:val="0"/>
          <w:szCs w:val="21"/>
        </w:rPr>
        <w:t xml:space="preserve">6.1.2 </w:t>
      </w:r>
      <w:r>
        <w:rPr>
          <w:rFonts w:hint="eastAsia" w:ascii="宋体" w:hAnsi="宋体"/>
          <w:kern w:val="0"/>
          <w:szCs w:val="21"/>
        </w:rPr>
        <w:t>评标委员会成员有下列情形之一的，应当回避：</w:t>
      </w:r>
    </w:p>
    <w:p>
      <w:pPr>
        <w:autoSpaceDE w:val="0"/>
        <w:autoSpaceDN w:val="0"/>
        <w:adjustRightInd w:val="0"/>
        <w:spacing w:line="400" w:lineRule="exact"/>
        <w:ind w:right="-34" w:rightChars="-16" w:firstLine="462" w:firstLineChars="22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）投标人的主要负责人的近亲属；</w:t>
      </w:r>
    </w:p>
    <w:p>
      <w:pPr>
        <w:autoSpaceDE w:val="0"/>
        <w:autoSpaceDN w:val="0"/>
        <w:adjustRightInd w:val="0"/>
        <w:spacing w:line="400" w:lineRule="exact"/>
        <w:ind w:right="-34" w:rightChars="-16" w:firstLine="462" w:firstLineChars="220"/>
        <w:jc w:val="left"/>
        <w:rPr>
          <w:rFonts w:ascii="宋体" w:hAnsi="宋体"/>
          <w:kern w:val="0"/>
          <w:szCs w:val="21"/>
        </w:rPr>
      </w:pPr>
      <w:r>
        <w:rPr>
          <w:rFonts w:hint="eastAsia" w:ascii="宋体" w:hAnsi="宋体"/>
          <w:kern w:val="0"/>
          <w:szCs w:val="21"/>
        </w:rPr>
        <w:t>（</w:t>
      </w:r>
      <w:r>
        <w:rPr>
          <w:rFonts w:ascii="宋体" w:hAnsi="宋体"/>
          <w:kern w:val="0"/>
          <w:szCs w:val="21"/>
        </w:rPr>
        <w:t>2</w:t>
      </w:r>
      <w:r>
        <w:rPr>
          <w:rFonts w:hint="eastAsia" w:ascii="宋体" w:hAnsi="宋体"/>
          <w:kern w:val="0"/>
          <w:szCs w:val="21"/>
        </w:rPr>
        <w:t>）项目主管部门或者行政监督部门的人员；</w:t>
      </w:r>
    </w:p>
    <w:p>
      <w:pPr>
        <w:autoSpaceDE w:val="0"/>
        <w:autoSpaceDN w:val="0"/>
        <w:adjustRightInd w:val="0"/>
        <w:spacing w:line="400" w:lineRule="exact"/>
        <w:ind w:right="-34" w:rightChars="-16" w:firstLine="462" w:firstLineChars="220"/>
        <w:jc w:val="left"/>
        <w:rPr>
          <w:rFonts w:ascii="宋体" w:hAnsi="宋体"/>
          <w:kern w:val="0"/>
          <w:szCs w:val="21"/>
        </w:rPr>
      </w:pPr>
      <w:r>
        <w:rPr>
          <w:rFonts w:hint="eastAsia" w:ascii="宋体" w:hAnsi="宋体"/>
          <w:kern w:val="0"/>
          <w:szCs w:val="21"/>
        </w:rPr>
        <w:t>（</w:t>
      </w:r>
      <w:r>
        <w:rPr>
          <w:rFonts w:ascii="宋体" w:hAnsi="宋体"/>
          <w:kern w:val="0"/>
          <w:szCs w:val="21"/>
        </w:rPr>
        <w:t>3</w:t>
      </w:r>
      <w:r>
        <w:rPr>
          <w:rFonts w:hint="eastAsia" w:ascii="宋体" w:hAnsi="宋体"/>
          <w:kern w:val="0"/>
          <w:szCs w:val="21"/>
        </w:rPr>
        <w:t>）与投标人有经济利益关系，可能影响对投标公正评审的；</w:t>
      </w:r>
    </w:p>
    <w:p>
      <w:pPr>
        <w:autoSpaceDE w:val="0"/>
        <w:autoSpaceDN w:val="0"/>
        <w:adjustRightInd w:val="0"/>
        <w:spacing w:line="400" w:lineRule="exact"/>
        <w:ind w:right="-34" w:rightChars="-16" w:firstLine="462" w:firstLineChars="220"/>
        <w:jc w:val="left"/>
        <w:rPr>
          <w:rFonts w:ascii="宋体" w:hAnsi="宋体"/>
          <w:kern w:val="0"/>
          <w:szCs w:val="21"/>
        </w:rPr>
      </w:pPr>
      <w:r>
        <w:rPr>
          <w:rFonts w:hint="eastAsia" w:ascii="宋体" w:hAnsi="宋体"/>
          <w:kern w:val="0"/>
          <w:szCs w:val="21"/>
        </w:rPr>
        <w:t>（4）曾因在招标、评标以及其他与招标投标有关活动中从事违法行为而受过行政处罚或刑事处罚的。</w:t>
      </w:r>
    </w:p>
    <w:p>
      <w:pPr>
        <w:autoSpaceDE w:val="0"/>
        <w:autoSpaceDN w:val="0"/>
        <w:adjustRightInd w:val="0"/>
        <w:spacing w:line="400" w:lineRule="exact"/>
        <w:ind w:right="-34" w:rightChars="-16" w:firstLine="462" w:firstLineChars="220"/>
        <w:jc w:val="left"/>
        <w:rPr>
          <w:rFonts w:ascii="宋体" w:hAnsi="宋体"/>
          <w:kern w:val="0"/>
          <w:szCs w:val="21"/>
        </w:rPr>
      </w:pPr>
      <w:r>
        <w:rPr>
          <w:rFonts w:hint="eastAsia"/>
        </w:rPr>
        <w:t>（5</w:t>
      </w:r>
      <w:r>
        <w:t>）</w:t>
      </w:r>
      <w:r>
        <w:rPr>
          <w:rFonts w:hint="eastAsia"/>
        </w:rPr>
        <w:t>“信用</w:t>
      </w:r>
      <w:r>
        <w:t>中</w:t>
      </w:r>
      <w:r>
        <w:rPr>
          <w:rFonts w:hint="eastAsia"/>
        </w:rPr>
        <w:t>国”网站</w:t>
      </w:r>
      <w:r>
        <w:t>（www.creditchina,gov,cn）</w:t>
      </w:r>
      <w:r>
        <w:rPr>
          <w:rFonts w:hint="eastAsia"/>
        </w:rPr>
        <w:t>记录</w:t>
      </w:r>
      <w:r>
        <w:t>为失信被执行人的。</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424" w:name="_Toc227657494"/>
      <w:bookmarkStart w:id="425" w:name="_Toc228591516"/>
      <w:bookmarkStart w:id="426" w:name="_Toc228591664"/>
      <w:bookmarkStart w:id="427" w:name="_Toc228881168"/>
      <w:bookmarkStart w:id="428" w:name="_Toc228589170"/>
      <w:bookmarkStart w:id="429" w:name="_Toc214433894"/>
      <w:bookmarkStart w:id="430" w:name="_Toc7893"/>
      <w:bookmarkStart w:id="431" w:name="_Toc228337105"/>
      <w:bookmarkStart w:id="432" w:name="_Toc272772581"/>
      <w:bookmarkStart w:id="433" w:name="_Toc227492251"/>
      <w:bookmarkStart w:id="434" w:name="_Toc2202"/>
      <w:r>
        <w:rPr>
          <w:rFonts w:ascii="黑体" w:hAnsi="新宋体" w:eastAsia="黑体"/>
          <w:kern w:val="0"/>
          <w:sz w:val="24"/>
          <w:szCs w:val="24"/>
        </w:rPr>
        <w:t xml:space="preserve">6.2 </w:t>
      </w:r>
      <w:r>
        <w:rPr>
          <w:rFonts w:hint="eastAsia" w:ascii="黑体" w:hAnsi="新宋体" w:eastAsia="黑体"/>
          <w:kern w:val="0"/>
          <w:sz w:val="24"/>
          <w:szCs w:val="24"/>
        </w:rPr>
        <w:t>评标原则</w:t>
      </w:r>
      <w:bookmarkEnd w:id="424"/>
      <w:bookmarkEnd w:id="425"/>
      <w:bookmarkEnd w:id="426"/>
      <w:bookmarkEnd w:id="427"/>
      <w:bookmarkEnd w:id="428"/>
      <w:bookmarkEnd w:id="429"/>
      <w:bookmarkEnd w:id="430"/>
      <w:bookmarkEnd w:id="431"/>
      <w:bookmarkEnd w:id="432"/>
      <w:bookmarkEnd w:id="433"/>
      <w:bookmarkEnd w:id="434"/>
    </w:p>
    <w:p>
      <w:pPr>
        <w:autoSpaceDE w:val="0"/>
        <w:autoSpaceDN w:val="0"/>
        <w:adjustRightInd w:val="0"/>
        <w:spacing w:line="400" w:lineRule="exact"/>
        <w:ind w:right="-34" w:rightChars="-16" w:firstLine="525" w:firstLineChars="250"/>
        <w:jc w:val="left"/>
        <w:rPr>
          <w:rFonts w:ascii="宋体" w:hAnsi="宋体"/>
          <w:kern w:val="0"/>
          <w:szCs w:val="21"/>
        </w:rPr>
      </w:pPr>
      <w:r>
        <w:rPr>
          <w:rFonts w:hint="eastAsia" w:ascii="宋体" w:hAnsi="宋体"/>
          <w:kern w:val="0"/>
          <w:szCs w:val="21"/>
        </w:rPr>
        <w:t>评标活动遵循公平、公正、科学和择优的原则。</w:t>
      </w:r>
    </w:p>
    <w:p>
      <w:pPr>
        <w:autoSpaceDE w:val="0"/>
        <w:autoSpaceDN w:val="0"/>
        <w:adjustRightInd w:val="0"/>
        <w:spacing w:line="400" w:lineRule="exact"/>
        <w:ind w:right="-34" w:rightChars="-16"/>
        <w:jc w:val="left"/>
        <w:outlineLvl w:val="0"/>
        <w:rPr>
          <w:rFonts w:ascii="黑体" w:hAnsi="宋体" w:eastAsia="黑体"/>
          <w:kern w:val="0"/>
          <w:sz w:val="24"/>
          <w:szCs w:val="24"/>
        </w:rPr>
      </w:pPr>
      <w:bookmarkStart w:id="435" w:name="_Toc228591517"/>
      <w:bookmarkStart w:id="436" w:name="_Toc227657495"/>
      <w:bookmarkStart w:id="437" w:name="_Toc272772582"/>
      <w:bookmarkStart w:id="438" w:name="_Toc214433895"/>
      <w:bookmarkStart w:id="439" w:name="_Toc228591665"/>
      <w:bookmarkStart w:id="440" w:name="_Toc228337106"/>
      <w:bookmarkStart w:id="441" w:name="_Toc227492252"/>
      <w:bookmarkStart w:id="442" w:name="_Toc667"/>
      <w:bookmarkStart w:id="443" w:name="_Toc584"/>
      <w:bookmarkStart w:id="444" w:name="_Toc228881169"/>
      <w:bookmarkStart w:id="445" w:name="_Toc228589171"/>
      <w:r>
        <w:rPr>
          <w:rFonts w:hint="eastAsia" w:ascii="黑体" w:hAnsi="宋体" w:eastAsia="黑体"/>
          <w:kern w:val="0"/>
          <w:sz w:val="24"/>
          <w:szCs w:val="24"/>
        </w:rPr>
        <w:t>6.3 评标</w:t>
      </w:r>
      <w:bookmarkEnd w:id="435"/>
      <w:bookmarkEnd w:id="436"/>
      <w:bookmarkEnd w:id="437"/>
      <w:bookmarkEnd w:id="438"/>
      <w:bookmarkEnd w:id="439"/>
      <w:bookmarkEnd w:id="440"/>
      <w:bookmarkEnd w:id="441"/>
      <w:bookmarkEnd w:id="442"/>
      <w:bookmarkEnd w:id="443"/>
      <w:bookmarkEnd w:id="444"/>
      <w:bookmarkEnd w:id="445"/>
    </w:p>
    <w:p>
      <w:pPr>
        <w:autoSpaceDE w:val="0"/>
        <w:autoSpaceDN w:val="0"/>
        <w:adjustRightInd w:val="0"/>
        <w:spacing w:line="400" w:lineRule="exact"/>
        <w:ind w:right="-34" w:rightChars="-16" w:firstLine="525" w:firstLineChars="250"/>
        <w:jc w:val="left"/>
        <w:rPr>
          <w:rFonts w:ascii="宋体" w:hAnsi="宋体"/>
          <w:kern w:val="0"/>
          <w:szCs w:val="21"/>
        </w:rPr>
      </w:pPr>
      <w:bookmarkStart w:id="446" w:name="_Toc27662"/>
      <w:bookmarkStart w:id="447" w:name="_Toc228589172"/>
      <w:bookmarkStart w:id="448" w:name="_Toc228591518"/>
      <w:bookmarkStart w:id="449" w:name="_Toc228881170"/>
      <w:bookmarkStart w:id="450" w:name="_Toc272772583"/>
      <w:bookmarkStart w:id="451" w:name="_Toc227657496"/>
      <w:bookmarkStart w:id="452" w:name="_Toc228591666"/>
      <w:bookmarkStart w:id="453" w:name="_Toc9677"/>
      <w:bookmarkStart w:id="454" w:name="_Toc228337107"/>
      <w:bookmarkStart w:id="455" w:name="_Toc227492253"/>
      <w:bookmarkStart w:id="456" w:name="_Toc214433896"/>
      <w:r>
        <w:rPr>
          <w:rFonts w:hint="eastAsia" w:ascii="宋体" w:hAnsi="宋体"/>
          <w:kern w:val="0"/>
          <w:szCs w:val="21"/>
        </w:rPr>
        <w:t>评标委员会按照第三章“评标办法”规定的方法、评审因素、标准和程序对投标文件进行评审。第三章“评标办法”没有规定的方法、评审因素和标准，不作为评标依据。评标方法和评标方式见前附表6.3.4及6.3.5。</w:t>
      </w:r>
    </w:p>
    <w:p>
      <w:pPr>
        <w:pStyle w:val="69"/>
        <w:spacing w:line="400" w:lineRule="exact"/>
        <w:ind w:right="-34" w:rightChars="-16"/>
        <w:jc w:val="both"/>
        <w:outlineLvl w:val="0"/>
        <w:rPr>
          <w:rFonts w:ascii="黑体" w:hAnsi="新宋体" w:eastAsia="黑体"/>
          <w:color w:val="auto"/>
          <w:szCs w:val="24"/>
        </w:rPr>
      </w:pPr>
      <w:r>
        <w:rPr>
          <w:rFonts w:ascii="黑体" w:hAnsi="新宋体" w:eastAsia="黑体"/>
          <w:color w:val="auto"/>
          <w:szCs w:val="24"/>
        </w:rPr>
        <w:t xml:space="preserve">7. </w:t>
      </w:r>
      <w:r>
        <w:rPr>
          <w:rFonts w:hint="eastAsia" w:ascii="黑体" w:hAnsi="新宋体" w:eastAsia="黑体"/>
          <w:color w:val="auto"/>
          <w:szCs w:val="24"/>
        </w:rPr>
        <w:t>合同授予</w:t>
      </w:r>
      <w:bookmarkEnd w:id="446"/>
      <w:bookmarkEnd w:id="447"/>
      <w:bookmarkEnd w:id="448"/>
      <w:bookmarkEnd w:id="449"/>
      <w:bookmarkEnd w:id="450"/>
      <w:bookmarkEnd w:id="451"/>
      <w:bookmarkEnd w:id="452"/>
      <w:bookmarkEnd w:id="453"/>
      <w:bookmarkEnd w:id="454"/>
      <w:bookmarkEnd w:id="455"/>
      <w:bookmarkEnd w:id="456"/>
    </w:p>
    <w:p>
      <w:pPr>
        <w:tabs>
          <w:tab w:val="left" w:pos="540"/>
        </w:tabs>
        <w:autoSpaceDE w:val="0"/>
        <w:autoSpaceDN w:val="0"/>
        <w:adjustRightInd w:val="0"/>
        <w:spacing w:line="400" w:lineRule="exact"/>
        <w:ind w:right="-34" w:rightChars="-16"/>
        <w:jc w:val="left"/>
        <w:outlineLvl w:val="0"/>
        <w:rPr>
          <w:rFonts w:ascii="黑体" w:hAnsi="新宋体" w:eastAsia="黑体"/>
          <w:sz w:val="24"/>
          <w:szCs w:val="24"/>
        </w:rPr>
      </w:pPr>
      <w:bookmarkStart w:id="457" w:name="_Toc21523"/>
      <w:bookmarkStart w:id="458" w:name="_Toc11070"/>
      <w:r>
        <w:rPr>
          <w:rFonts w:hint="eastAsia" w:ascii="黑体" w:hAnsi="新宋体" w:eastAsia="黑体"/>
          <w:sz w:val="24"/>
          <w:szCs w:val="24"/>
        </w:rPr>
        <w:t>7.1 推荐中标候选人（直接确定中标人）</w:t>
      </w:r>
      <w:bookmarkEnd w:id="457"/>
      <w:bookmarkEnd w:id="458"/>
    </w:p>
    <w:p>
      <w:pPr>
        <w:pStyle w:val="20"/>
        <w:spacing w:after="0" w:line="360" w:lineRule="exact"/>
        <w:ind w:right="-34" w:rightChars="-16" w:firstLine="525" w:firstLineChars="250"/>
        <w:rPr>
          <w:rFonts w:ascii="宋体" w:hAnsi="宋体"/>
          <w:kern w:val="0"/>
          <w:sz w:val="21"/>
          <w:szCs w:val="21"/>
        </w:rPr>
      </w:pPr>
      <w:bookmarkStart w:id="459" w:name="_Toc14190"/>
      <w:bookmarkStart w:id="460" w:name="_Toc13635"/>
      <w:r>
        <w:rPr>
          <w:rFonts w:hint="eastAsia" w:ascii="宋体" w:hAnsi="宋体"/>
          <w:kern w:val="0"/>
          <w:sz w:val="21"/>
          <w:szCs w:val="21"/>
        </w:rPr>
        <w:t>除投标人须知前附表规定评标委员会直接确定中标人外，招标人依据评标委员会推荐的中标候选人确定中标人，评标委员会推荐中标候选人的人数见投标人须知前附表。</w:t>
      </w:r>
      <w:bookmarkEnd w:id="459"/>
      <w:bookmarkEnd w:id="460"/>
    </w:p>
    <w:p>
      <w:pPr>
        <w:tabs>
          <w:tab w:val="left" w:pos="540"/>
        </w:tabs>
        <w:autoSpaceDE w:val="0"/>
        <w:autoSpaceDN w:val="0"/>
        <w:adjustRightInd w:val="0"/>
        <w:spacing w:line="400" w:lineRule="exact"/>
        <w:ind w:right="-34" w:rightChars="-16"/>
        <w:jc w:val="left"/>
        <w:outlineLvl w:val="0"/>
        <w:rPr>
          <w:rFonts w:ascii="黑体" w:hAnsi="新宋体" w:eastAsia="黑体"/>
          <w:kern w:val="0"/>
          <w:sz w:val="24"/>
          <w:szCs w:val="24"/>
        </w:rPr>
      </w:pPr>
      <w:bookmarkStart w:id="461" w:name="_Toc22726"/>
      <w:bookmarkStart w:id="462" w:name="_Toc20964"/>
      <w:bookmarkStart w:id="463" w:name="_Toc227657497"/>
      <w:bookmarkStart w:id="464" w:name="_Toc227492254"/>
      <w:bookmarkStart w:id="465" w:name="_Toc228591667"/>
      <w:bookmarkStart w:id="466" w:name="_Toc228337108"/>
      <w:bookmarkStart w:id="467" w:name="_Toc214433897"/>
      <w:bookmarkStart w:id="468" w:name="_Toc228589173"/>
      <w:bookmarkStart w:id="469" w:name="_Toc272772584"/>
      <w:bookmarkStart w:id="470" w:name="_Toc228881171"/>
      <w:bookmarkStart w:id="471" w:name="_Toc228591519"/>
      <w:r>
        <w:rPr>
          <w:rFonts w:ascii="黑体" w:hAnsi="新宋体" w:eastAsia="黑体"/>
          <w:kern w:val="0"/>
          <w:sz w:val="24"/>
          <w:szCs w:val="24"/>
        </w:rPr>
        <w:t>7.</w:t>
      </w:r>
      <w:r>
        <w:rPr>
          <w:rFonts w:hint="eastAsia" w:ascii="黑体" w:hAnsi="新宋体" w:eastAsia="黑体"/>
          <w:kern w:val="0"/>
          <w:sz w:val="24"/>
          <w:szCs w:val="24"/>
        </w:rPr>
        <w:t>2中标候选人公示</w:t>
      </w:r>
      <w:bookmarkEnd w:id="461"/>
      <w:bookmarkEnd w:id="462"/>
    </w:p>
    <w:p>
      <w:pPr>
        <w:pStyle w:val="20"/>
        <w:spacing w:after="0" w:line="360" w:lineRule="exact"/>
        <w:ind w:right="-34" w:rightChars="-16" w:firstLine="525" w:firstLineChars="250"/>
        <w:rPr>
          <w:rFonts w:ascii="宋体" w:hAnsi="宋体"/>
          <w:kern w:val="0"/>
          <w:sz w:val="21"/>
          <w:szCs w:val="21"/>
        </w:rPr>
      </w:pPr>
      <w:r>
        <w:rPr>
          <w:rFonts w:hint="eastAsia" w:ascii="宋体" w:hAnsi="宋体"/>
          <w:kern w:val="0"/>
          <w:sz w:val="21"/>
          <w:szCs w:val="21"/>
        </w:rPr>
        <w:t>招标人在收到评标报告3日内，按照投标人须知前附表10.5款规定的公示媒介和期限公示中标候选人，公示期不少于3日。</w:t>
      </w:r>
    </w:p>
    <w:p>
      <w:pPr>
        <w:tabs>
          <w:tab w:val="left" w:pos="540"/>
        </w:tabs>
        <w:autoSpaceDE w:val="0"/>
        <w:autoSpaceDN w:val="0"/>
        <w:adjustRightInd w:val="0"/>
        <w:spacing w:line="400" w:lineRule="exact"/>
        <w:ind w:right="-34" w:rightChars="-16"/>
        <w:jc w:val="left"/>
        <w:outlineLvl w:val="0"/>
        <w:rPr>
          <w:rFonts w:ascii="黑体" w:hAnsi="新宋体" w:eastAsia="黑体"/>
          <w:kern w:val="0"/>
          <w:sz w:val="24"/>
          <w:szCs w:val="24"/>
        </w:rPr>
      </w:pPr>
      <w:bookmarkStart w:id="472" w:name="_Toc22435"/>
      <w:bookmarkStart w:id="473" w:name="_Toc4273"/>
      <w:r>
        <w:rPr>
          <w:rFonts w:hint="eastAsia" w:ascii="黑体" w:hAnsi="新宋体" w:eastAsia="黑体"/>
          <w:kern w:val="0"/>
          <w:sz w:val="24"/>
          <w:szCs w:val="24"/>
        </w:rPr>
        <w:t>7.3评标结果异议</w:t>
      </w:r>
      <w:bookmarkEnd w:id="472"/>
      <w:bookmarkEnd w:id="473"/>
    </w:p>
    <w:p>
      <w:pPr>
        <w:tabs>
          <w:tab w:val="left" w:pos="540"/>
        </w:tabs>
        <w:autoSpaceDE w:val="0"/>
        <w:autoSpaceDN w:val="0"/>
        <w:adjustRightInd w:val="0"/>
        <w:spacing w:line="400" w:lineRule="exact"/>
        <w:ind w:right="-34" w:rightChars="-16" w:firstLine="420" w:firstLineChars="200"/>
        <w:jc w:val="left"/>
        <w:outlineLvl w:val="0"/>
        <w:rPr>
          <w:rFonts w:ascii="宋体" w:hAnsi="宋体"/>
          <w:kern w:val="0"/>
          <w:szCs w:val="21"/>
        </w:rPr>
      </w:pPr>
      <w:bookmarkStart w:id="474" w:name="_Toc23176"/>
      <w:bookmarkStart w:id="475" w:name="_Toc20591"/>
      <w:r>
        <w:rPr>
          <w:rFonts w:hint="eastAsia" w:ascii="宋体" w:hAnsi="宋体"/>
          <w:kern w:val="0"/>
          <w:szCs w:val="21"/>
        </w:rPr>
        <w:t>投标人或者其他利害关系人对评标结果有异议的，应当在中标候选人公示期间提出，招标人将在收到异议之日起3日内作出答复，作出答复前，将暂停招投标活动。</w:t>
      </w:r>
      <w:bookmarkEnd w:id="474"/>
      <w:bookmarkEnd w:id="475"/>
    </w:p>
    <w:p>
      <w:pPr>
        <w:tabs>
          <w:tab w:val="left" w:pos="540"/>
        </w:tabs>
        <w:autoSpaceDE w:val="0"/>
        <w:autoSpaceDN w:val="0"/>
        <w:adjustRightInd w:val="0"/>
        <w:spacing w:line="400" w:lineRule="exact"/>
        <w:ind w:right="-34" w:rightChars="-16"/>
        <w:jc w:val="left"/>
        <w:outlineLvl w:val="0"/>
        <w:rPr>
          <w:rFonts w:ascii="黑体" w:hAnsi="新宋体" w:eastAsia="黑体"/>
          <w:kern w:val="0"/>
          <w:sz w:val="24"/>
          <w:szCs w:val="24"/>
        </w:rPr>
      </w:pPr>
      <w:bookmarkStart w:id="476" w:name="_Toc6124"/>
      <w:bookmarkStart w:id="477" w:name="_Toc12578"/>
      <w:r>
        <w:rPr>
          <w:rFonts w:hint="eastAsia" w:ascii="黑体" w:hAnsi="新宋体" w:eastAsia="黑体"/>
          <w:kern w:val="0"/>
          <w:sz w:val="24"/>
          <w:szCs w:val="24"/>
        </w:rPr>
        <w:t>7.4中标候选人履约能力审查</w:t>
      </w:r>
      <w:bookmarkEnd w:id="476"/>
      <w:bookmarkEnd w:id="477"/>
    </w:p>
    <w:p>
      <w:pPr>
        <w:pStyle w:val="20"/>
        <w:spacing w:after="0" w:line="360" w:lineRule="exact"/>
        <w:ind w:right="-34" w:rightChars="-16" w:firstLine="525" w:firstLineChars="250"/>
        <w:rPr>
          <w:rFonts w:ascii="宋体" w:hAnsi="宋体"/>
          <w:kern w:val="0"/>
          <w:sz w:val="21"/>
          <w:szCs w:val="21"/>
        </w:rPr>
      </w:pPr>
      <w:r>
        <w:rPr>
          <w:rFonts w:hint="eastAsia" w:ascii="宋体" w:hAnsi="宋体"/>
          <w:kern w:val="0"/>
          <w:sz w:val="21"/>
          <w:szCs w:val="21"/>
        </w:rPr>
        <w:t>中标候选人的经营、财务状况发生较大变化或存在违法行为，招标人认为可能影响其履约能力的，将在发出中标通知书前提请原评标委员会按照招标文件规定的标准和方法进行审查确认。</w:t>
      </w:r>
    </w:p>
    <w:p>
      <w:pPr>
        <w:pStyle w:val="20"/>
        <w:spacing w:after="0" w:line="360" w:lineRule="exact"/>
        <w:ind w:right="-34" w:rightChars="-16" w:firstLine="525" w:firstLineChars="250"/>
        <w:rPr>
          <w:rFonts w:ascii="宋体" w:hAnsi="宋体"/>
          <w:kern w:val="0"/>
          <w:sz w:val="21"/>
          <w:szCs w:val="21"/>
        </w:rPr>
      </w:pPr>
      <w:r>
        <w:rPr>
          <w:rFonts w:hint="eastAsia" w:ascii="宋体" w:hAnsi="宋体"/>
          <w:kern w:val="0"/>
          <w:sz w:val="21"/>
          <w:szCs w:val="21"/>
        </w:rPr>
        <w:t>招标人发放中标通知书前，排名第一的中标候选人除因被查实存在违法违规行为取消第一中标候选人资格和不可抗力放弃中标外，排名第一的中标候选人放弃中标的，其递交的投标保证金招标人不予退还，并计入不良行为记录。</w:t>
      </w:r>
    </w:p>
    <w:bookmarkEnd w:id="463"/>
    <w:bookmarkEnd w:id="464"/>
    <w:bookmarkEnd w:id="465"/>
    <w:bookmarkEnd w:id="466"/>
    <w:bookmarkEnd w:id="467"/>
    <w:bookmarkEnd w:id="468"/>
    <w:bookmarkEnd w:id="469"/>
    <w:bookmarkEnd w:id="470"/>
    <w:bookmarkEnd w:id="471"/>
    <w:p>
      <w:pPr>
        <w:tabs>
          <w:tab w:val="left" w:pos="540"/>
        </w:tabs>
        <w:autoSpaceDE w:val="0"/>
        <w:autoSpaceDN w:val="0"/>
        <w:adjustRightInd w:val="0"/>
        <w:spacing w:line="400" w:lineRule="exact"/>
        <w:ind w:right="-34" w:rightChars="-16"/>
        <w:jc w:val="left"/>
        <w:outlineLvl w:val="0"/>
        <w:rPr>
          <w:rFonts w:ascii="黑体" w:hAnsi="新宋体" w:eastAsia="黑体"/>
          <w:kern w:val="0"/>
          <w:sz w:val="24"/>
          <w:szCs w:val="24"/>
        </w:rPr>
      </w:pPr>
      <w:bookmarkStart w:id="478" w:name="_Toc227657498"/>
      <w:bookmarkStart w:id="479" w:name="_Toc272772585"/>
      <w:bookmarkStart w:id="480" w:name="_Toc214433898"/>
      <w:bookmarkStart w:id="481" w:name="_Toc227492255"/>
      <w:bookmarkStart w:id="482" w:name="_Toc228881172"/>
      <w:bookmarkStart w:id="483" w:name="_Toc228591520"/>
      <w:bookmarkStart w:id="484" w:name="_Toc228589174"/>
      <w:bookmarkStart w:id="485" w:name="_Toc12853"/>
      <w:bookmarkStart w:id="486" w:name="_Toc228337109"/>
      <w:bookmarkStart w:id="487" w:name="_Toc228591668"/>
      <w:bookmarkStart w:id="488" w:name="_Toc32760"/>
      <w:r>
        <w:rPr>
          <w:rFonts w:ascii="黑体" w:hAnsi="新宋体" w:eastAsia="黑体"/>
          <w:kern w:val="0"/>
          <w:sz w:val="24"/>
          <w:szCs w:val="24"/>
        </w:rPr>
        <w:t>7.</w:t>
      </w:r>
      <w:r>
        <w:rPr>
          <w:rFonts w:hint="eastAsia" w:ascii="黑体" w:hAnsi="新宋体" w:eastAsia="黑体"/>
          <w:kern w:val="0"/>
          <w:sz w:val="24"/>
          <w:szCs w:val="24"/>
        </w:rPr>
        <w:t>5中标通知</w:t>
      </w:r>
      <w:bookmarkEnd w:id="478"/>
      <w:bookmarkEnd w:id="479"/>
      <w:bookmarkEnd w:id="480"/>
      <w:bookmarkEnd w:id="481"/>
      <w:bookmarkEnd w:id="482"/>
      <w:bookmarkEnd w:id="483"/>
      <w:bookmarkEnd w:id="484"/>
      <w:bookmarkEnd w:id="485"/>
      <w:bookmarkEnd w:id="486"/>
      <w:bookmarkEnd w:id="487"/>
      <w:bookmarkEnd w:id="488"/>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在本章第</w:t>
      </w:r>
      <w:r>
        <w:rPr>
          <w:rFonts w:ascii="宋体" w:hAnsi="宋体"/>
          <w:kern w:val="0"/>
          <w:szCs w:val="21"/>
        </w:rPr>
        <w:t>3.3</w:t>
      </w:r>
      <w:r>
        <w:rPr>
          <w:rFonts w:hint="eastAsia" w:ascii="宋体" w:hAnsi="宋体"/>
          <w:kern w:val="0"/>
          <w:szCs w:val="21"/>
        </w:rPr>
        <w:t>.1款规定的投标有效期内，招标人以书面形式向中标人发出中标通知书，同时将中标结果通知未中标的投标人。</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489" w:name="_Toc214433899"/>
      <w:bookmarkStart w:id="490" w:name="_Toc228337110"/>
      <w:bookmarkStart w:id="491" w:name="_Toc228591521"/>
      <w:bookmarkStart w:id="492" w:name="_Toc228591669"/>
      <w:bookmarkStart w:id="493" w:name="_Toc272772586"/>
      <w:bookmarkStart w:id="494" w:name="_Toc228589175"/>
      <w:bookmarkStart w:id="495" w:name="_Toc227657499"/>
      <w:bookmarkStart w:id="496" w:name="_Toc227492256"/>
      <w:bookmarkStart w:id="497" w:name="_Toc228881173"/>
      <w:bookmarkStart w:id="498" w:name="_Toc30757"/>
      <w:bookmarkStart w:id="499" w:name="_Toc21593"/>
      <w:r>
        <w:rPr>
          <w:rFonts w:ascii="黑体" w:hAnsi="新宋体" w:eastAsia="黑体"/>
          <w:kern w:val="0"/>
          <w:sz w:val="24"/>
          <w:szCs w:val="24"/>
        </w:rPr>
        <w:t>7.</w:t>
      </w:r>
      <w:r>
        <w:rPr>
          <w:rFonts w:hint="eastAsia" w:ascii="黑体" w:hAnsi="新宋体" w:eastAsia="黑体"/>
          <w:kern w:val="0"/>
          <w:sz w:val="24"/>
          <w:szCs w:val="24"/>
        </w:rPr>
        <w:t>6履约</w:t>
      </w:r>
      <w:bookmarkEnd w:id="489"/>
      <w:bookmarkEnd w:id="490"/>
      <w:bookmarkEnd w:id="491"/>
      <w:bookmarkEnd w:id="492"/>
      <w:bookmarkEnd w:id="493"/>
      <w:bookmarkEnd w:id="494"/>
      <w:bookmarkEnd w:id="495"/>
      <w:bookmarkEnd w:id="496"/>
      <w:bookmarkEnd w:id="497"/>
      <w:r>
        <w:rPr>
          <w:rFonts w:hint="eastAsia" w:ascii="黑体" w:hAnsi="新宋体" w:eastAsia="黑体"/>
          <w:kern w:val="0"/>
          <w:sz w:val="24"/>
          <w:szCs w:val="24"/>
        </w:rPr>
        <w:t>保证金</w:t>
      </w:r>
      <w:bookmarkEnd w:id="498"/>
      <w:bookmarkEnd w:id="499"/>
    </w:p>
    <w:p>
      <w:pPr>
        <w:autoSpaceDE w:val="0"/>
        <w:autoSpaceDN w:val="0"/>
        <w:adjustRightInd w:val="0"/>
        <w:spacing w:line="400" w:lineRule="exact"/>
        <w:ind w:right="-34" w:rightChars="-16" w:firstLine="420" w:firstLineChars="200"/>
        <w:jc w:val="left"/>
        <w:rPr>
          <w:rFonts w:ascii="宋体" w:hAnsi="宋体"/>
          <w:kern w:val="0"/>
          <w:szCs w:val="21"/>
        </w:rPr>
      </w:pPr>
      <w:r>
        <w:rPr>
          <w:rFonts w:hint="eastAsia" w:ascii="宋体" w:hAnsi="宋体"/>
          <w:kern w:val="0"/>
          <w:szCs w:val="21"/>
        </w:rPr>
        <w:t>7.6.1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pPr>
        <w:autoSpaceDE w:val="0"/>
        <w:autoSpaceDN w:val="0"/>
        <w:adjustRightInd w:val="0"/>
        <w:spacing w:line="400" w:lineRule="exact"/>
        <w:ind w:right="-34" w:rightChars="-16" w:firstLine="420" w:firstLineChars="200"/>
        <w:jc w:val="left"/>
        <w:rPr>
          <w:rFonts w:ascii="宋体" w:hAnsi="宋体"/>
          <w:kern w:val="0"/>
          <w:szCs w:val="21"/>
        </w:rPr>
      </w:pPr>
      <w:r>
        <w:rPr>
          <w:rFonts w:ascii="宋体" w:hAnsi="宋体"/>
          <w:kern w:val="0"/>
          <w:szCs w:val="21"/>
        </w:rPr>
        <w:t>7.</w:t>
      </w:r>
      <w:r>
        <w:rPr>
          <w:rFonts w:hint="eastAsia" w:ascii="宋体" w:hAnsi="宋体"/>
          <w:kern w:val="0"/>
          <w:szCs w:val="21"/>
        </w:rPr>
        <w:t>6</w:t>
      </w:r>
      <w:r>
        <w:rPr>
          <w:rFonts w:ascii="宋体" w:hAnsi="宋体"/>
          <w:kern w:val="0"/>
          <w:szCs w:val="21"/>
        </w:rPr>
        <w:t xml:space="preserve">.2 </w:t>
      </w:r>
      <w:r>
        <w:rPr>
          <w:rFonts w:hint="eastAsia" w:ascii="宋体" w:hAnsi="宋体"/>
          <w:kern w:val="0"/>
          <w:szCs w:val="21"/>
        </w:rPr>
        <w:t>中标人不能按本章第</w:t>
      </w:r>
      <w:r>
        <w:rPr>
          <w:rFonts w:ascii="宋体" w:hAnsi="宋体"/>
          <w:kern w:val="0"/>
          <w:szCs w:val="21"/>
        </w:rPr>
        <w:t>7.</w:t>
      </w:r>
      <w:r>
        <w:rPr>
          <w:rFonts w:hint="eastAsia" w:ascii="宋体" w:hAnsi="宋体"/>
          <w:kern w:val="0"/>
          <w:szCs w:val="21"/>
        </w:rPr>
        <w:t>6</w:t>
      </w:r>
      <w:r>
        <w:rPr>
          <w:rFonts w:ascii="宋体" w:hAnsi="宋体"/>
          <w:kern w:val="0"/>
          <w:szCs w:val="21"/>
        </w:rPr>
        <w:t xml:space="preserve">.1 </w:t>
      </w:r>
      <w:r>
        <w:rPr>
          <w:rFonts w:hint="eastAsia" w:ascii="宋体" w:hAnsi="宋体"/>
          <w:kern w:val="0"/>
          <w:szCs w:val="21"/>
        </w:rPr>
        <w:t>项要求提交履约保证金的，视为放弃中标，其投标保证金不予退还，给招标人造成的损失超过投标保证金数额的，中标人还应当对超过部分予以赔偿。</w:t>
      </w:r>
    </w:p>
    <w:p>
      <w:pPr>
        <w:autoSpaceDE w:val="0"/>
        <w:autoSpaceDN w:val="0"/>
        <w:adjustRightInd w:val="0"/>
        <w:spacing w:line="400" w:lineRule="exact"/>
        <w:ind w:right="-34" w:rightChars="-16"/>
        <w:jc w:val="left"/>
        <w:outlineLvl w:val="0"/>
        <w:rPr>
          <w:rFonts w:ascii="黑体" w:hAnsi="新宋体" w:eastAsia="黑体"/>
          <w:kern w:val="0"/>
          <w:sz w:val="24"/>
          <w:szCs w:val="24"/>
        </w:rPr>
      </w:pPr>
      <w:bookmarkStart w:id="500" w:name="_Toc228591670"/>
      <w:bookmarkStart w:id="501" w:name="_Toc10778"/>
      <w:bookmarkStart w:id="502" w:name="_Toc272772587"/>
      <w:bookmarkStart w:id="503" w:name="_Toc228337111"/>
      <w:bookmarkStart w:id="504" w:name="_Toc228589176"/>
      <w:bookmarkStart w:id="505" w:name="_Toc29388"/>
      <w:bookmarkStart w:id="506" w:name="_Toc228591522"/>
      <w:bookmarkStart w:id="507" w:name="_Toc227492257"/>
      <w:bookmarkStart w:id="508" w:name="_Toc227657500"/>
      <w:bookmarkStart w:id="509" w:name="_Toc228881174"/>
      <w:bookmarkStart w:id="510" w:name="_Toc214433900"/>
      <w:r>
        <w:rPr>
          <w:rFonts w:hint="eastAsia" w:ascii="黑体" w:hAnsi="新宋体" w:eastAsia="黑体"/>
          <w:kern w:val="0"/>
          <w:sz w:val="24"/>
          <w:szCs w:val="24"/>
        </w:rPr>
        <w:t>7.7签订合同</w:t>
      </w:r>
      <w:bookmarkEnd w:id="500"/>
      <w:bookmarkEnd w:id="501"/>
      <w:bookmarkEnd w:id="502"/>
      <w:bookmarkEnd w:id="503"/>
      <w:bookmarkEnd w:id="504"/>
      <w:bookmarkEnd w:id="505"/>
      <w:bookmarkEnd w:id="506"/>
      <w:bookmarkEnd w:id="507"/>
      <w:bookmarkEnd w:id="508"/>
      <w:bookmarkEnd w:id="509"/>
      <w:bookmarkEnd w:id="510"/>
    </w:p>
    <w:p>
      <w:pPr>
        <w:autoSpaceDE w:val="0"/>
        <w:autoSpaceDN w:val="0"/>
        <w:adjustRightInd w:val="0"/>
        <w:spacing w:line="440" w:lineRule="exact"/>
        <w:ind w:right="-34" w:rightChars="-16" w:firstLine="420" w:firstLineChars="200"/>
        <w:jc w:val="left"/>
        <w:rPr>
          <w:rFonts w:ascii="宋体" w:hAnsi="宋体"/>
          <w:kern w:val="0"/>
          <w:szCs w:val="21"/>
        </w:rPr>
      </w:pPr>
      <w:r>
        <w:rPr>
          <w:rFonts w:ascii="宋体" w:hAnsi="宋体"/>
          <w:kern w:val="0"/>
          <w:szCs w:val="21"/>
        </w:rPr>
        <w:t>7.</w:t>
      </w:r>
      <w:r>
        <w:rPr>
          <w:rFonts w:hint="eastAsia" w:ascii="宋体" w:hAnsi="宋体"/>
          <w:kern w:val="0"/>
          <w:szCs w:val="21"/>
        </w:rPr>
        <w:t>7</w:t>
      </w:r>
      <w:r>
        <w:rPr>
          <w:rFonts w:ascii="宋体" w:hAnsi="宋体"/>
          <w:kern w:val="0"/>
          <w:szCs w:val="21"/>
        </w:rPr>
        <w:t xml:space="preserve">.1 </w:t>
      </w:r>
      <w:r>
        <w:rPr>
          <w:rFonts w:hint="eastAsia" w:ascii="宋体" w:hAnsi="宋体"/>
          <w:kern w:val="0"/>
          <w:szCs w:val="21"/>
        </w:rPr>
        <w:t>招标人和中标人应当自中标通知书发出之日起</w:t>
      </w:r>
      <w:r>
        <w:rPr>
          <w:rFonts w:ascii="宋体" w:hAnsi="宋体"/>
          <w:kern w:val="0"/>
          <w:szCs w:val="21"/>
        </w:rPr>
        <w:t>30</w:t>
      </w:r>
      <w:r>
        <w:rPr>
          <w:rFonts w:hint="eastAsia" w:ascii="宋体" w:hAnsi="宋体"/>
          <w:kern w:val="0"/>
          <w:szCs w:val="21"/>
        </w:rPr>
        <w:t>天内，根据招标文件和中标人的投标文件订立书面合同。具体合同与招标人签订。中标人无正当理由拒签合同的，招标人取消其中标资格，其投标保证金不予退还；给招标人造成的损失超过投标保证金数额的，中标人还应当对超过部分予以赔偿。</w:t>
      </w:r>
    </w:p>
    <w:p>
      <w:pPr>
        <w:autoSpaceDE w:val="0"/>
        <w:autoSpaceDN w:val="0"/>
        <w:adjustRightInd w:val="0"/>
        <w:spacing w:line="440" w:lineRule="exact"/>
        <w:ind w:right="-34" w:rightChars="-16" w:firstLine="420" w:firstLineChars="200"/>
        <w:jc w:val="left"/>
        <w:rPr>
          <w:rFonts w:ascii="宋体" w:hAnsi="宋体"/>
          <w:kern w:val="0"/>
          <w:szCs w:val="21"/>
        </w:rPr>
      </w:pPr>
      <w:bookmarkStart w:id="511" w:name="_Toc233775487"/>
      <w:bookmarkStart w:id="512" w:name="_Toc231031247"/>
      <w:bookmarkStart w:id="513" w:name="_Toc231783606"/>
      <w:r>
        <w:rPr>
          <w:rFonts w:ascii="宋体" w:hAnsi="宋体"/>
          <w:kern w:val="0"/>
          <w:szCs w:val="21"/>
        </w:rPr>
        <w:t>7.</w:t>
      </w:r>
      <w:r>
        <w:rPr>
          <w:rFonts w:hint="eastAsia" w:ascii="宋体" w:hAnsi="宋体"/>
          <w:kern w:val="0"/>
          <w:szCs w:val="21"/>
        </w:rPr>
        <w:t>7</w:t>
      </w:r>
      <w:r>
        <w:rPr>
          <w:rFonts w:ascii="宋体" w:hAnsi="宋体"/>
          <w:kern w:val="0"/>
          <w:szCs w:val="21"/>
        </w:rPr>
        <w:t xml:space="preserve">.2 </w:t>
      </w:r>
      <w:r>
        <w:rPr>
          <w:rFonts w:hint="eastAsia" w:ascii="宋体" w:hAnsi="宋体"/>
          <w:kern w:val="0"/>
          <w:szCs w:val="21"/>
        </w:rPr>
        <w:t>发出中标通知书后，招标人无正当理由拒签合同的，招标人向中标人退还投标保证金；</w:t>
      </w:r>
    </w:p>
    <w:p>
      <w:pPr>
        <w:autoSpaceDE w:val="0"/>
        <w:autoSpaceDN w:val="0"/>
        <w:adjustRightInd w:val="0"/>
        <w:spacing w:line="440" w:lineRule="exact"/>
        <w:ind w:right="-34" w:rightChars="-16" w:firstLine="420" w:firstLineChars="200"/>
        <w:jc w:val="left"/>
        <w:rPr>
          <w:rFonts w:ascii="宋体" w:hAnsi="宋体"/>
          <w:kern w:val="0"/>
          <w:szCs w:val="21"/>
        </w:rPr>
      </w:pPr>
      <w:r>
        <w:rPr>
          <w:rFonts w:hint="eastAsia" w:ascii="宋体" w:hAnsi="宋体"/>
          <w:kern w:val="0"/>
          <w:szCs w:val="21"/>
        </w:rPr>
        <w:t>给中标人造成损失的，还应当赔偿损失。</w:t>
      </w:r>
      <w:bookmarkEnd w:id="511"/>
      <w:bookmarkEnd w:id="512"/>
      <w:bookmarkEnd w:id="513"/>
      <w:bookmarkStart w:id="514" w:name="_Toc228591523"/>
      <w:bookmarkStart w:id="515" w:name="_Toc272772588"/>
      <w:bookmarkStart w:id="516" w:name="_Toc228589177"/>
      <w:bookmarkStart w:id="517" w:name="_Toc227657501"/>
      <w:bookmarkStart w:id="518" w:name="_Toc227492258"/>
      <w:bookmarkStart w:id="519" w:name="_Toc214433901"/>
      <w:bookmarkStart w:id="520" w:name="_Toc228591671"/>
      <w:bookmarkStart w:id="521" w:name="_Toc228337112"/>
      <w:bookmarkStart w:id="522" w:name="_Toc228881175"/>
    </w:p>
    <w:p>
      <w:pPr>
        <w:pStyle w:val="69"/>
        <w:spacing w:line="440" w:lineRule="exact"/>
        <w:ind w:right="-34" w:rightChars="-16"/>
        <w:jc w:val="both"/>
        <w:outlineLvl w:val="0"/>
        <w:rPr>
          <w:rFonts w:ascii="黑体" w:hAnsi="新宋体" w:eastAsia="黑体"/>
          <w:color w:val="auto"/>
          <w:szCs w:val="24"/>
        </w:rPr>
      </w:pPr>
      <w:bookmarkStart w:id="523" w:name="_Toc26026"/>
      <w:bookmarkStart w:id="524" w:name="_Toc1751"/>
      <w:r>
        <w:rPr>
          <w:rFonts w:ascii="黑体" w:hAnsi="新宋体" w:eastAsia="黑体"/>
          <w:color w:val="auto"/>
          <w:szCs w:val="24"/>
        </w:rPr>
        <w:t xml:space="preserve">8. </w:t>
      </w:r>
      <w:r>
        <w:rPr>
          <w:rFonts w:hint="eastAsia" w:ascii="黑体" w:hAnsi="新宋体" w:eastAsia="黑体"/>
          <w:color w:val="auto"/>
          <w:szCs w:val="24"/>
        </w:rPr>
        <w:t>重新招标和不再招标</w:t>
      </w:r>
      <w:bookmarkEnd w:id="514"/>
      <w:bookmarkEnd w:id="515"/>
      <w:bookmarkEnd w:id="516"/>
      <w:bookmarkEnd w:id="517"/>
      <w:bookmarkEnd w:id="518"/>
      <w:bookmarkEnd w:id="519"/>
      <w:bookmarkEnd w:id="520"/>
      <w:bookmarkEnd w:id="521"/>
      <w:bookmarkEnd w:id="522"/>
      <w:bookmarkEnd w:id="523"/>
      <w:bookmarkEnd w:id="524"/>
    </w:p>
    <w:p>
      <w:pPr>
        <w:autoSpaceDE w:val="0"/>
        <w:autoSpaceDN w:val="0"/>
        <w:adjustRightInd w:val="0"/>
        <w:spacing w:line="440" w:lineRule="exact"/>
        <w:ind w:right="-34" w:rightChars="-16"/>
        <w:jc w:val="left"/>
        <w:outlineLvl w:val="0"/>
        <w:rPr>
          <w:rFonts w:ascii="黑体" w:hAnsi="新宋体" w:eastAsia="黑体"/>
          <w:kern w:val="0"/>
          <w:sz w:val="24"/>
          <w:szCs w:val="24"/>
        </w:rPr>
      </w:pPr>
      <w:bookmarkStart w:id="525" w:name="_Toc272772589"/>
      <w:bookmarkStart w:id="526" w:name="_Toc228881176"/>
      <w:bookmarkStart w:id="527" w:name="_Toc228591672"/>
      <w:bookmarkStart w:id="528" w:name="_Toc227492259"/>
      <w:bookmarkStart w:id="529" w:name="_Toc214433902"/>
      <w:bookmarkStart w:id="530" w:name="_Toc228589178"/>
      <w:bookmarkStart w:id="531" w:name="_Toc19462"/>
      <w:bookmarkStart w:id="532" w:name="_Toc228591524"/>
      <w:bookmarkStart w:id="533" w:name="_Toc228337113"/>
      <w:bookmarkStart w:id="534" w:name="_Toc4758"/>
      <w:bookmarkStart w:id="535" w:name="_Toc227657502"/>
      <w:r>
        <w:rPr>
          <w:rFonts w:ascii="黑体" w:hAnsi="新宋体" w:eastAsia="黑体"/>
          <w:kern w:val="0"/>
          <w:sz w:val="24"/>
          <w:szCs w:val="24"/>
        </w:rPr>
        <w:t xml:space="preserve">8.1 </w:t>
      </w:r>
      <w:r>
        <w:rPr>
          <w:rFonts w:hint="eastAsia" w:ascii="黑体" w:hAnsi="新宋体" w:eastAsia="黑体"/>
          <w:kern w:val="0"/>
          <w:sz w:val="24"/>
          <w:szCs w:val="24"/>
        </w:rPr>
        <w:t>重新招标</w:t>
      </w:r>
      <w:bookmarkEnd w:id="525"/>
      <w:bookmarkEnd w:id="526"/>
      <w:bookmarkEnd w:id="527"/>
      <w:bookmarkEnd w:id="528"/>
      <w:bookmarkEnd w:id="529"/>
      <w:bookmarkEnd w:id="530"/>
      <w:bookmarkEnd w:id="531"/>
      <w:bookmarkEnd w:id="532"/>
      <w:bookmarkEnd w:id="533"/>
      <w:bookmarkEnd w:id="534"/>
      <w:bookmarkEnd w:id="535"/>
    </w:p>
    <w:p>
      <w:pPr>
        <w:autoSpaceDE w:val="0"/>
        <w:autoSpaceDN w:val="0"/>
        <w:adjustRightInd w:val="0"/>
        <w:spacing w:line="440" w:lineRule="exact"/>
        <w:ind w:right="-34" w:rightChars="-16" w:firstLine="420" w:firstLineChars="200"/>
        <w:jc w:val="left"/>
        <w:rPr>
          <w:rFonts w:ascii="宋体" w:hAnsi="宋体"/>
          <w:kern w:val="0"/>
          <w:szCs w:val="21"/>
        </w:rPr>
      </w:pPr>
      <w:r>
        <w:rPr>
          <w:rFonts w:hint="eastAsia" w:ascii="宋体" w:hAnsi="宋体"/>
          <w:kern w:val="0"/>
          <w:szCs w:val="21"/>
        </w:rPr>
        <w:t>有下列情形之一的，招标人将重新招标：</w:t>
      </w:r>
    </w:p>
    <w:p>
      <w:pPr>
        <w:autoSpaceDE w:val="0"/>
        <w:autoSpaceDN w:val="0"/>
        <w:adjustRightInd w:val="0"/>
        <w:spacing w:line="440" w:lineRule="exact"/>
        <w:ind w:right="-34" w:rightChars="-16" w:firstLine="539" w:firstLineChars="257"/>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）投标截止时间止，投标人少于</w:t>
      </w:r>
      <w:r>
        <w:rPr>
          <w:rFonts w:ascii="宋体" w:hAnsi="宋体"/>
          <w:kern w:val="0"/>
          <w:szCs w:val="21"/>
        </w:rPr>
        <w:t>3</w:t>
      </w:r>
      <w:r>
        <w:rPr>
          <w:rFonts w:hint="eastAsia" w:ascii="宋体" w:hAnsi="宋体"/>
          <w:kern w:val="0"/>
          <w:szCs w:val="21"/>
        </w:rPr>
        <w:t>个的；</w:t>
      </w:r>
    </w:p>
    <w:p>
      <w:pPr>
        <w:autoSpaceDE w:val="0"/>
        <w:autoSpaceDN w:val="0"/>
        <w:adjustRightInd w:val="0"/>
        <w:spacing w:line="440" w:lineRule="exact"/>
        <w:ind w:right="-34" w:rightChars="-16" w:firstLine="539" w:firstLineChars="257"/>
        <w:jc w:val="left"/>
        <w:rPr>
          <w:rFonts w:ascii="宋体" w:hAnsi="宋体"/>
          <w:kern w:val="0"/>
          <w:sz w:val="24"/>
          <w:szCs w:val="24"/>
        </w:rPr>
      </w:pPr>
      <w:r>
        <w:rPr>
          <w:rFonts w:hint="eastAsia" w:ascii="宋体" w:hAnsi="宋体"/>
          <w:kern w:val="0"/>
          <w:szCs w:val="21"/>
        </w:rPr>
        <w:t>（</w:t>
      </w:r>
      <w:r>
        <w:rPr>
          <w:rFonts w:ascii="宋体" w:hAnsi="宋体"/>
          <w:kern w:val="0"/>
          <w:szCs w:val="21"/>
        </w:rPr>
        <w:t>2</w:t>
      </w:r>
      <w:r>
        <w:rPr>
          <w:rFonts w:hint="eastAsia" w:ascii="宋体" w:hAnsi="宋体"/>
          <w:kern w:val="0"/>
          <w:szCs w:val="21"/>
        </w:rPr>
        <w:t>）经评标委员会评审后否决所有投标的。</w:t>
      </w:r>
    </w:p>
    <w:p>
      <w:pPr>
        <w:autoSpaceDE w:val="0"/>
        <w:autoSpaceDN w:val="0"/>
        <w:adjustRightInd w:val="0"/>
        <w:spacing w:line="440" w:lineRule="exact"/>
        <w:ind w:right="-34" w:rightChars="-16"/>
        <w:jc w:val="left"/>
        <w:outlineLvl w:val="0"/>
        <w:rPr>
          <w:rFonts w:ascii="黑体" w:hAnsi="新宋体" w:eastAsia="黑体"/>
          <w:kern w:val="0"/>
          <w:sz w:val="24"/>
          <w:szCs w:val="24"/>
        </w:rPr>
      </w:pPr>
      <w:bookmarkStart w:id="536" w:name="_Toc5543"/>
      <w:bookmarkStart w:id="537" w:name="_Toc228337114"/>
      <w:bookmarkStart w:id="538" w:name="_Toc228591673"/>
      <w:bookmarkStart w:id="539" w:name="_Toc214433903"/>
      <w:bookmarkStart w:id="540" w:name="_Toc228881177"/>
      <w:bookmarkStart w:id="541" w:name="_Toc228589179"/>
      <w:bookmarkStart w:id="542" w:name="_Toc26045"/>
      <w:bookmarkStart w:id="543" w:name="_Toc272772590"/>
      <w:bookmarkStart w:id="544" w:name="_Toc227657503"/>
      <w:bookmarkStart w:id="545" w:name="_Toc227492260"/>
      <w:bookmarkStart w:id="546" w:name="_Toc228591525"/>
      <w:r>
        <w:rPr>
          <w:rFonts w:ascii="黑体" w:hAnsi="新宋体" w:eastAsia="黑体"/>
          <w:kern w:val="0"/>
          <w:sz w:val="24"/>
          <w:szCs w:val="24"/>
        </w:rPr>
        <w:t xml:space="preserve">8.2 </w:t>
      </w:r>
      <w:r>
        <w:rPr>
          <w:rFonts w:hint="eastAsia" w:ascii="黑体" w:hAnsi="新宋体" w:eastAsia="黑体"/>
          <w:kern w:val="0"/>
          <w:sz w:val="24"/>
          <w:szCs w:val="24"/>
        </w:rPr>
        <w:t>不再招标</w:t>
      </w:r>
      <w:bookmarkEnd w:id="536"/>
      <w:bookmarkEnd w:id="537"/>
      <w:bookmarkEnd w:id="538"/>
      <w:bookmarkEnd w:id="539"/>
      <w:bookmarkEnd w:id="540"/>
      <w:bookmarkEnd w:id="541"/>
      <w:bookmarkEnd w:id="542"/>
      <w:bookmarkEnd w:id="543"/>
      <w:bookmarkEnd w:id="544"/>
      <w:bookmarkEnd w:id="545"/>
      <w:bookmarkEnd w:id="546"/>
    </w:p>
    <w:p>
      <w:pPr>
        <w:autoSpaceDE w:val="0"/>
        <w:autoSpaceDN w:val="0"/>
        <w:adjustRightInd w:val="0"/>
        <w:spacing w:line="440" w:lineRule="exact"/>
        <w:ind w:right="-34" w:rightChars="-16" w:firstLine="420" w:firstLineChars="200"/>
        <w:jc w:val="left"/>
        <w:rPr>
          <w:rFonts w:ascii="宋体" w:hAnsi="宋体"/>
          <w:kern w:val="0"/>
          <w:szCs w:val="21"/>
        </w:rPr>
      </w:pPr>
      <w:r>
        <w:rPr>
          <w:rFonts w:hint="eastAsia" w:ascii="宋体" w:hAnsi="宋体"/>
          <w:kern w:val="0"/>
          <w:szCs w:val="21"/>
        </w:rPr>
        <w:t>重新招标后投标人仍少于</w:t>
      </w:r>
      <w:r>
        <w:rPr>
          <w:rFonts w:ascii="宋体" w:hAnsi="宋体"/>
          <w:kern w:val="0"/>
          <w:szCs w:val="21"/>
        </w:rPr>
        <w:t xml:space="preserve">3 </w:t>
      </w:r>
      <w:r>
        <w:rPr>
          <w:rFonts w:hint="eastAsia" w:ascii="宋体" w:hAnsi="宋体"/>
          <w:kern w:val="0"/>
          <w:szCs w:val="21"/>
        </w:rPr>
        <w:t>个或者所有投标被否决的，属于必须审批或核准的工程建设项目，经原审批或核准部门批准后不再进行招标。</w:t>
      </w:r>
    </w:p>
    <w:p>
      <w:pPr>
        <w:pStyle w:val="69"/>
        <w:spacing w:line="440" w:lineRule="exact"/>
        <w:ind w:right="-34" w:rightChars="-16"/>
        <w:jc w:val="both"/>
        <w:outlineLvl w:val="0"/>
        <w:rPr>
          <w:rFonts w:ascii="黑体" w:hAnsi="新宋体" w:eastAsia="黑体"/>
          <w:color w:val="auto"/>
          <w:szCs w:val="24"/>
        </w:rPr>
      </w:pPr>
      <w:bookmarkStart w:id="547" w:name="_Toc228881178"/>
      <w:bookmarkStart w:id="548" w:name="_Toc227657504"/>
      <w:bookmarkStart w:id="549" w:name="_Toc214433904"/>
      <w:bookmarkStart w:id="550" w:name="_Toc21797"/>
      <w:bookmarkStart w:id="551" w:name="_Toc228591526"/>
      <w:bookmarkStart w:id="552" w:name="_Toc228337115"/>
      <w:bookmarkStart w:id="553" w:name="_Toc227492261"/>
      <w:bookmarkStart w:id="554" w:name="_Toc13556"/>
      <w:bookmarkStart w:id="555" w:name="_Toc228591674"/>
      <w:bookmarkStart w:id="556" w:name="_Toc228589180"/>
      <w:bookmarkStart w:id="557" w:name="_Toc272772591"/>
      <w:r>
        <w:rPr>
          <w:rFonts w:ascii="黑体" w:hAnsi="新宋体" w:eastAsia="黑体"/>
          <w:color w:val="auto"/>
          <w:szCs w:val="24"/>
        </w:rPr>
        <w:t xml:space="preserve">9. </w:t>
      </w:r>
      <w:r>
        <w:rPr>
          <w:rFonts w:hint="eastAsia" w:ascii="黑体" w:hAnsi="新宋体" w:eastAsia="黑体"/>
          <w:color w:val="auto"/>
          <w:szCs w:val="24"/>
        </w:rPr>
        <w:t>纪律和监督</w:t>
      </w:r>
      <w:bookmarkEnd w:id="547"/>
      <w:bookmarkEnd w:id="548"/>
      <w:bookmarkEnd w:id="549"/>
      <w:bookmarkEnd w:id="550"/>
      <w:bookmarkEnd w:id="551"/>
      <w:bookmarkEnd w:id="552"/>
      <w:bookmarkEnd w:id="553"/>
      <w:bookmarkEnd w:id="554"/>
      <w:bookmarkEnd w:id="555"/>
      <w:bookmarkEnd w:id="556"/>
      <w:bookmarkEnd w:id="557"/>
    </w:p>
    <w:p>
      <w:pPr>
        <w:autoSpaceDE w:val="0"/>
        <w:autoSpaceDN w:val="0"/>
        <w:adjustRightInd w:val="0"/>
        <w:spacing w:line="440" w:lineRule="exact"/>
        <w:ind w:right="-34" w:rightChars="-16"/>
        <w:jc w:val="left"/>
        <w:outlineLvl w:val="0"/>
        <w:rPr>
          <w:rFonts w:ascii="黑体" w:hAnsi="新宋体" w:eastAsia="黑体"/>
          <w:kern w:val="0"/>
          <w:sz w:val="24"/>
          <w:szCs w:val="24"/>
        </w:rPr>
      </w:pPr>
      <w:bookmarkStart w:id="558" w:name="_Toc228591675"/>
      <w:bookmarkStart w:id="559" w:name="_Toc228589181"/>
      <w:bookmarkStart w:id="560" w:name="_Toc227492262"/>
      <w:bookmarkStart w:id="561" w:name="_Toc228591527"/>
      <w:bookmarkStart w:id="562" w:name="_Toc214433905"/>
      <w:bookmarkStart w:id="563" w:name="_Toc228337116"/>
      <w:bookmarkStart w:id="564" w:name="_Toc228881179"/>
      <w:bookmarkStart w:id="565" w:name="_Toc10361"/>
      <w:bookmarkStart w:id="566" w:name="_Toc272772592"/>
      <w:bookmarkStart w:id="567" w:name="_Toc227657505"/>
      <w:bookmarkStart w:id="568" w:name="_Toc19262"/>
      <w:r>
        <w:rPr>
          <w:rFonts w:ascii="黑体" w:hAnsi="新宋体" w:eastAsia="黑体"/>
          <w:kern w:val="0"/>
          <w:sz w:val="24"/>
          <w:szCs w:val="24"/>
        </w:rPr>
        <w:t xml:space="preserve">9.1 </w:t>
      </w:r>
      <w:r>
        <w:rPr>
          <w:rFonts w:hint="eastAsia" w:ascii="黑体" w:hAnsi="新宋体" w:eastAsia="黑体"/>
          <w:kern w:val="0"/>
          <w:sz w:val="24"/>
          <w:szCs w:val="24"/>
        </w:rPr>
        <w:t>对招标人的纪律要求</w:t>
      </w:r>
      <w:bookmarkEnd w:id="558"/>
      <w:bookmarkEnd w:id="559"/>
      <w:bookmarkEnd w:id="560"/>
      <w:bookmarkEnd w:id="561"/>
      <w:bookmarkEnd w:id="562"/>
      <w:bookmarkEnd w:id="563"/>
      <w:bookmarkEnd w:id="564"/>
      <w:bookmarkEnd w:id="565"/>
      <w:bookmarkEnd w:id="566"/>
      <w:bookmarkEnd w:id="567"/>
      <w:bookmarkEnd w:id="568"/>
    </w:p>
    <w:p>
      <w:pPr>
        <w:autoSpaceDE w:val="0"/>
        <w:autoSpaceDN w:val="0"/>
        <w:adjustRightInd w:val="0"/>
        <w:spacing w:line="440" w:lineRule="exact"/>
        <w:ind w:right="-34" w:rightChars="-16" w:firstLine="420" w:firstLineChars="200"/>
        <w:jc w:val="left"/>
        <w:rPr>
          <w:rFonts w:ascii="宋体" w:hAnsi="宋体"/>
          <w:kern w:val="0"/>
          <w:szCs w:val="21"/>
        </w:rPr>
      </w:pPr>
      <w:r>
        <w:rPr>
          <w:rFonts w:hint="eastAsia" w:ascii="宋体" w:hAnsi="宋体"/>
          <w:kern w:val="0"/>
          <w:szCs w:val="21"/>
        </w:rPr>
        <w:t>招标人不得泄漏招标投标活动中应当保密的情况和资料，不得与投标人串通损害国家利益、社会公共利益或者他人合法权益。</w:t>
      </w:r>
    </w:p>
    <w:p>
      <w:pPr>
        <w:autoSpaceDE w:val="0"/>
        <w:autoSpaceDN w:val="0"/>
        <w:adjustRightInd w:val="0"/>
        <w:spacing w:line="440" w:lineRule="exact"/>
        <w:ind w:right="-34" w:rightChars="-16"/>
        <w:jc w:val="left"/>
        <w:outlineLvl w:val="0"/>
        <w:rPr>
          <w:rFonts w:ascii="黑体" w:hAnsi="新宋体" w:eastAsia="黑体"/>
          <w:kern w:val="0"/>
          <w:sz w:val="24"/>
          <w:szCs w:val="24"/>
        </w:rPr>
      </w:pPr>
      <w:bookmarkStart w:id="569" w:name="_Toc227492263"/>
      <w:bookmarkStart w:id="570" w:name="_Toc228591676"/>
      <w:bookmarkStart w:id="571" w:name="_Toc228337117"/>
      <w:bookmarkStart w:id="572" w:name="_Toc1096"/>
      <w:bookmarkStart w:id="573" w:name="_Toc228881180"/>
      <w:bookmarkStart w:id="574" w:name="_Toc272772593"/>
      <w:bookmarkStart w:id="575" w:name="_Toc8893"/>
      <w:bookmarkStart w:id="576" w:name="_Toc228591528"/>
      <w:bookmarkStart w:id="577" w:name="_Toc227657506"/>
      <w:bookmarkStart w:id="578" w:name="_Toc214433906"/>
      <w:bookmarkStart w:id="579" w:name="_Toc228589182"/>
      <w:r>
        <w:rPr>
          <w:rFonts w:ascii="黑体" w:hAnsi="新宋体" w:eastAsia="黑体"/>
          <w:kern w:val="0"/>
          <w:sz w:val="24"/>
          <w:szCs w:val="24"/>
        </w:rPr>
        <w:t xml:space="preserve">9.2 </w:t>
      </w:r>
      <w:r>
        <w:rPr>
          <w:rFonts w:hint="eastAsia" w:ascii="黑体" w:hAnsi="新宋体" w:eastAsia="黑体"/>
          <w:kern w:val="0"/>
          <w:sz w:val="24"/>
          <w:szCs w:val="24"/>
        </w:rPr>
        <w:t>对投标人的纪律要求</w:t>
      </w:r>
      <w:bookmarkEnd w:id="569"/>
      <w:bookmarkEnd w:id="570"/>
      <w:bookmarkEnd w:id="571"/>
      <w:bookmarkEnd w:id="572"/>
      <w:bookmarkEnd w:id="573"/>
      <w:bookmarkEnd w:id="574"/>
      <w:bookmarkEnd w:id="575"/>
      <w:bookmarkEnd w:id="576"/>
      <w:bookmarkEnd w:id="577"/>
      <w:bookmarkEnd w:id="578"/>
      <w:bookmarkEnd w:id="579"/>
    </w:p>
    <w:p>
      <w:pPr>
        <w:autoSpaceDE w:val="0"/>
        <w:autoSpaceDN w:val="0"/>
        <w:adjustRightInd w:val="0"/>
        <w:spacing w:line="440" w:lineRule="exact"/>
        <w:ind w:right="-34" w:rightChars="-16" w:firstLine="420" w:firstLineChars="200"/>
        <w:jc w:val="left"/>
        <w:rPr>
          <w:rFonts w:ascii="宋体" w:hAnsi="宋体"/>
          <w:kern w:val="0"/>
          <w:szCs w:val="21"/>
        </w:rPr>
      </w:pPr>
      <w:r>
        <w:rPr>
          <w:rFonts w:hint="eastAsia" w:ascii="宋体" w:hAnsi="宋体"/>
          <w:kern w:val="0"/>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autoSpaceDE w:val="0"/>
        <w:autoSpaceDN w:val="0"/>
        <w:adjustRightInd w:val="0"/>
        <w:spacing w:line="440" w:lineRule="exact"/>
        <w:ind w:right="-34" w:rightChars="-16"/>
        <w:jc w:val="left"/>
        <w:outlineLvl w:val="0"/>
        <w:rPr>
          <w:rFonts w:ascii="黑体" w:hAnsi="新宋体" w:eastAsia="黑体"/>
          <w:kern w:val="0"/>
          <w:sz w:val="24"/>
          <w:szCs w:val="24"/>
        </w:rPr>
      </w:pPr>
      <w:bookmarkStart w:id="580" w:name="_Toc228589183"/>
      <w:bookmarkStart w:id="581" w:name="_Toc272772594"/>
      <w:bookmarkStart w:id="582" w:name="_Toc37"/>
      <w:bookmarkStart w:id="583" w:name="_Toc214433907"/>
      <w:bookmarkStart w:id="584" w:name="_Toc228591677"/>
      <w:bookmarkStart w:id="585" w:name="_Toc228591529"/>
      <w:bookmarkStart w:id="586" w:name="_Toc227492264"/>
      <w:bookmarkStart w:id="587" w:name="_Toc10329"/>
      <w:bookmarkStart w:id="588" w:name="_Toc228337118"/>
      <w:bookmarkStart w:id="589" w:name="_Toc227657507"/>
      <w:bookmarkStart w:id="590" w:name="_Toc228881181"/>
      <w:r>
        <w:rPr>
          <w:rFonts w:ascii="黑体" w:hAnsi="新宋体" w:eastAsia="黑体"/>
          <w:kern w:val="0"/>
          <w:sz w:val="24"/>
          <w:szCs w:val="24"/>
        </w:rPr>
        <w:t xml:space="preserve">9.3 </w:t>
      </w:r>
      <w:r>
        <w:rPr>
          <w:rFonts w:hint="eastAsia" w:ascii="黑体" w:hAnsi="新宋体" w:eastAsia="黑体"/>
          <w:kern w:val="0"/>
          <w:sz w:val="24"/>
          <w:szCs w:val="24"/>
        </w:rPr>
        <w:t>对评标委员会成员的纪律要求</w:t>
      </w:r>
      <w:bookmarkEnd w:id="580"/>
      <w:bookmarkEnd w:id="581"/>
      <w:bookmarkEnd w:id="582"/>
      <w:bookmarkEnd w:id="583"/>
      <w:bookmarkEnd w:id="584"/>
      <w:bookmarkEnd w:id="585"/>
      <w:bookmarkEnd w:id="586"/>
      <w:bookmarkEnd w:id="587"/>
      <w:bookmarkEnd w:id="588"/>
      <w:bookmarkEnd w:id="589"/>
      <w:bookmarkEnd w:id="590"/>
    </w:p>
    <w:p>
      <w:pPr>
        <w:autoSpaceDE w:val="0"/>
        <w:autoSpaceDN w:val="0"/>
        <w:adjustRightInd w:val="0"/>
        <w:spacing w:line="440" w:lineRule="exact"/>
        <w:ind w:right="-34" w:rightChars="-16" w:firstLine="420" w:firstLineChars="200"/>
        <w:jc w:val="left"/>
        <w:rPr>
          <w:rFonts w:ascii="宋体" w:hAnsi="宋体"/>
          <w:kern w:val="0"/>
          <w:szCs w:val="21"/>
        </w:rPr>
      </w:pPr>
      <w:r>
        <w:rPr>
          <w:rFonts w:hint="eastAsia" w:ascii="宋体" w:hAnsi="宋体"/>
          <w:kern w:val="0"/>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autoSpaceDE w:val="0"/>
        <w:autoSpaceDN w:val="0"/>
        <w:adjustRightInd w:val="0"/>
        <w:spacing w:line="440" w:lineRule="exact"/>
        <w:ind w:right="-34" w:rightChars="-16"/>
        <w:jc w:val="left"/>
        <w:outlineLvl w:val="0"/>
        <w:rPr>
          <w:rFonts w:ascii="黑体" w:hAnsi="新宋体" w:eastAsia="黑体"/>
          <w:kern w:val="0"/>
          <w:sz w:val="24"/>
          <w:szCs w:val="24"/>
        </w:rPr>
      </w:pPr>
      <w:bookmarkStart w:id="591" w:name="_Toc27808"/>
      <w:bookmarkStart w:id="592" w:name="_Toc228881182"/>
      <w:bookmarkStart w:id="593" w:name="_Toc227492265"/>
      <w:bookmarkStart w:id="594" w:name="_Toc228589184"/>
      <w:bookmarkStart w:id="595" w:name="_Toc228591678"/>
      <w:bookmarkStart w:id="596" w:name="_Toc228591530"/>
      <w:bookmarkStart w:id="597" w:name="_Toc272772595"/>
      <w:bookmarkStart w:id="598" w:name="_Toc227657508"/>
      <w:bookmarkStart w:id="599" w:name="_Toc8620"/>
      <w:bookmarkStart w:id="600" w:name="_Toc214433908"/>
      <w:bookmarkStart w:id="601" w:name="_Toc228337119"/>
      <w:r>
        <w:rPr>
          <w:rFonts w:ascii="黑体" w:hAnsi="新宋体" w:eastAsia="黑体"/>
          <w:kern w:val="0"/>
          <w:sz w:val="24"/>
          <w:szCs w:val="24"/>
        </w:rPr>
        <w:t xml:space="preserve">9.4 </w:t>
      </w:r>
      <w:r>
        <w:rPr>
          <w:rFonts w:hint="eastAsia" w:ascii="黑体" w:hAnsi="新宋体" w:eastAsia="黑体"/>
          <w:kern w:val="0"/>
          <w:sz w:val="24"/>
          <w:szCs w:val="24"/>
        </w:rPr>
        <w:t>对与评标活动有关的工作人员的纪律要求</w:t>
      </w:r>
      <w:bookmarkEnd w:id="591"/>
      <w:bookmarkEnd w:id="592"/>
      <w:bookmarkEnd w:id="593"/>
      <w:bookmarkEnd w:id="594"/>
      <w:bookmarkEnd w:id="595"/>
      <w:bookmarkEnd w:id="596"/>
      <w:bookmarkEnd w:id="597"/>
      <w:bookmarkEnd w:id="598"/>
      <w:bookmarkEnd w:id="599"/>
      <w:bookmarkEnd w:id="600"/>
      <w:bookmarkEnd w:id="601"/>
    </w:p>
    <w:p>
      <w:pPr>
        <w:autoSpaceDE w:val="0"/>
        <w:autoSpaceDN w:val="0"/>
        <w:adjustRightInd w:val="0"/>
        <w:spacing w:line="440" w:lineRule="exact"/>
        <w:ind w:right="-34" w:rightChars="-16" w:firstLine="420" w:firstLineChars="200"/>
        <w:jc w:val="left"/>
        <w:rPr>
          <w:rFonts w:ascii="宋体" w:hAnsi="宋体"/>
          <w:kern w:val="0"/>
          <w:szCs w:val="21"/>
        </w:rPr>
      </w:pPr>
      <w:r>
        <w:rPr>
          <w:rFonts w:hint="eastAsia" w:ascii="宋体" w:hAnsi="宋体"/>
          <w:kern w:val="0"/>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autoSpaceDE w:val="0"/>
        <w:autoSpaceDN w:val="0"/>
        <w:adjustRightInd w:val="0"/>
        <w:spacing w:line="440" w:lineRule="exact"/>
        <w:ind w:right="-34" w:rightChars="-16"/>
        <w:jc w:val="left"/>
        <w:outlineLvl w:val="0"/>
        <w:rPr>
          <w:rFonts w:ascii="黑体" w:hAnsi="新宋体" w:eastAsia="黑体"/>
          <w:kern w:val="0"/>
          <w:sz w:val="24"/>
          <w:szCs w:val="24"/>
        </w:rPr>
      </w:pPr>
      <w:bookmarkStart w:id="602" w:name="_Toc227492266"/>
      <w:bookmarkStart w:id="603" w:name="_Toc228591531"/>
      <w:bookmarkStart w:id="604" w:name="_Toc227657509"/>
      <w:bookmarkStart w:id="605" w:name="_Toc214433909"/>
      <w:bookmarkStart w:id="606" w:name="_Toc228591679"/>
      <w:bookmarkStart w:id="607" w:name="_Toc228589185"/>
      <w:bookmarkStart w:id="608" w:name="_Toc272772596"/>
      <w:bookmarkStart w:id="609" w:name="_Toc19443"/>
      <w:bookmarkStart w:id="610" w:name="_Toc228881183"/>
      <w:bookmarkStart w:id="611" w:name="_Toc7471"/>
      <w:bookmarkStart w:id="612" w:name="_Toc228337120"/>
      <w:r>
        <w:rPr>
          <w:rFonts w:ascii="黑体" w:hAnsi="新宋体" w:eastAsia="黑体"/>
          <w:kern w:val="0"/>
          <w:sz w:val="24"/>
          <w:szCs w:val="24"/>
        </w:rPr>
        <w:t xml:space="preserve">9.5 </w:t>
      </w:r>
      <w:r>
        <w:rPr>
          <w:rFonts w:hint="eastAsia" w:ascii="黑体" w:hAnsi="新宋体" w:eastAsia="黑体"/>
          <w:kern w:val="0"/>
          <w:sz w:val="24"/>
          <w:szCs w:val="24"/>
        </w:rPr>
        <w:t>投诉</w:t>
      </w:r>
      <w:bookmarkEnd w:id="602"/>
      <w:bookmarkEnd w:id="603"/>
      <w:bookmarkEnd w:id="604"/>
      <w:bookmarkEnd w:id="605"/>
      <w:bookmarkEnd w:id="606"/>
      <w:bookmarkEnd w:id="607"/>
      <w:bookmarkEnd w:id="608"/>
      <w:bookmarkEnd w:id="609"/>
      <w:bookmarkEnd w:id="610"/>
      <w:bookmarkEnd w:id="611"/>
      <w:bookmarkEnd w:id="612"/>
    </w:p>
    <w:p>
      <w:pPr>
        <w:autoSpaceDE w:val="0"/>
        <w:autoSpaceDN w:val="0"/>
        <w:adjustRightInd w:val="0"/>
        <w:spacing w:line="440" w:lineRule="exact"/>
        <w:ind w:right="-34" w:rightChars="-16" w:firstLine="404" w:firstLineChars="200"/>
        <w:jc w:val="left"/>
        <w:rPr>
          <w:rFonts w:ascii="宋体" w:hAnsi="宋体"/>
          <w:spacing w:val="-4"/>
          <w:kern w:val="0"/>
          <w:szCs w:val="21"/>
        </w:rPr>
      </w:pPr>
      <w:r>
        <w:rPr>
          <w:rFonts w:hint="eastAsia" w:ascii="宋体" w:hAnsi="宋体"/>
          <w:spacing w:val="-4"/>
          <w:kern w:val="0"/>
          <w:szCs w:val="21"/>
        </w:rPr>
        <w:t>投标人和其他利害关系人认为本次招标活动违反法律、法规和规章规定的，有权向有关行政监督部门投诉。</w:t>
      </w:r>
    </w:p>
    <w:p>
      <w:pPr>
        <w:pStyle w:val="69"/>
        <w:spacing w:line="440" w:lineRule="exact"/>
        <w:ind w:right="-34" w:rightChars="-16"/>
        <w:jc w:val="both"/>
        <w:outlineLvl w:val="0"/>
        <w:rPr>
          <w:rFonts w:ascii="黑体" w:hAnsi="新宋体" w:eastAsia="黑体"/>
          <w:color w:val="auto"/>
          <w:szCs w:val="24"/>
        </w:rPr>
      </w:pPr>
      <w:bookmarkStart w:id="613" w:name="_Toc11341"/>
      <w:bookmarkStart w:id="614" w:name="_Toc272772597"/>
      <w:bookmarkStart w:id="615" w:name="_Toc228881184"/>
      <w:bookmarkStart w:id="616" w:name="_Toc228589186"/>
      <w:bookmarkStart w:id="617" w:name="_Toc228337121"/>
      <w:bookmarkStart w:id="618" w:name="_Toc9966"/>
      <w:bookmarkStart w:id="619" w:name="_Toc227657510"/>
      <w:bookmarkStart w:id="620" w:name="_Toc214433910"/>
      <w:bookmarkStart w:id="621" w:name="_Toc227492267"/>
      <w:bookmarkStart w:id="622" w:name="_Toc228591680"/>
      <w:bookmarkStart w:id="623" w:name="_Toc228591532"/>
      <w:r>
        <w:rPr>
          <w:rFonts w:ascii="黑体" w:hAnsi="新宋体" w:eastAsia="黑体"/>
          <w:color w:val="auto"/>
          <w:szCs w:val="24"/>
        </w:rPr>
        <w:t xml:space="preserve">10. </w:t>
      </w:r>
      <w:r>
        <w:rPr>
          <w:rFonts w:hint="eastAsia" w:ascii="黑体" w:hAnsi="新宋体" w:eastAsia="黑体"/>
          <w:color w:val="auto"/>
          <w:szCs w:val="24"/>
        </w:rPr>
        <w:t>需要补充的其他内容</w:t>
      </w:r>
      <w:bookmarkEnd w:id="613"/>
      <w:bookmarkEnd w:id="614"/>
      <w:bookmarkEnd w:id="615"/>
      <w:bookmarkEnd w:id="616"/>
      <w:bookmarkEnd w:id="617"/>
      <w:bookmarkEnd w:id="618"/>
      <w:bookmarkEnd w:id="619"/>
      <w:bookmarkEnd w:id="620"/>
      <w:bookmarkEnd w:id="621"/>
      <w:bookmarkEnd w:id="622"/>
      <w:bookmarkEnd w:id="623"/>
    </w:p>
    <w:p>
      <w:pPr>
        <w:spacing w:line="440" w:lineRule="exact"/>
        <w:ind w:firstLine="420" w:firstLineChars="200"/>
      </w:pPr>
      <w:r>
        <w:rPr>
          <w:rFonts w:hint="eastAsia"/>
        </w:rPr>
        <w:t>需要补充的其他内容：见投标人须知前附表。</w:t>
      </w:r>
    </w:p>
    <w:p>
      <w:pPr>
        <w:ind w:right="-34" w:rightChars="-16"/>
        <w:rPr>
          <w:szCs w:val="21"/>
          <w:u w:val="single"/>
        </w:rPr>
      </w:pPr>
      <w:bookmarkStart w:id="624" w:name="_Toc352146050"/>
      <w:bookmarkStart w:id="625" w:name="_Toc186913852"/>
      <w:bookmarkStart w:id="626" w:name="_Toc228881193"/>
      <w:bookmarkStart w:id="627" w:name="_Toc184635092"/>
      <w:bookmarkStart w:id="628" w:name="_Toc227657519"/>
      <w:bookmarkStart w:id="629" w:name="_Toc299439351"/>
      <w:bookmarkStart w:id="630" w:name="_Toc228589195"/>
      <w:bookmarkStart w:id="631" w:name="_Toc272772606"/>
      <w:bookmarkStart w:id="632" w:name="_Toc228591689"/>
      <w:bookmarkStart w:id="633" w:name="_Toc228337130"/>
      <w:bookmarkStart w:id="634" w:name="_Toc228591541"/>
      <w:bookmarkStart w:id="635" w:name="_Toc214433919"/>
      <w:bookmarkStart w:id="636" w:name="_Toc227492276"/>
      <w:bookmarkStart w:id="637" w:name="_Toc272772615"/>
      <w:bookmarkStart w:id="638" w:name="_Toc227492312"/>
      <w:bookmarkStart w:id="639" w:name="_Toc228337166"/>
      <w:bookmarkStart w:id="640" w:name="_Toc214433955"/>
      <w:bookmarkStart w:id="641" w:name="_Toc228881229"/>
      <w:bookmarkStart w:id="642" w:name="_Toc227657555"/>
      <w:bookmarkStart w:id="643" w:name="_Toc228591577"/>
      <w:bookmarkStart w:id="644" w:name="_Toc228591725"/>
      <w:bookmarkStart w:id="645" w:name="_Toc228589231"/>
    </w:p>
    <w:p>
      <w:pPr>
        <w:pStyle w:val="2"/>
        <w:ind w:left="63" w:right="63" w:firstLine="400"/>
        <w:rPr>
          <w:u w:val="single"/>
        </w:rPr>
      </w:pPr>
    </w:p>
    <w:p>
      <w:pPr>
        <w:pStyle w:val="69"/>
        <w:spacing w:line="400" w:lineRule="exact"/>
        <w:ind w:right="-34" w:rightChars="-16"/>
        <w:outlineLvl w:val="0"/>
        <w:rPr>
          <w:rFonts w:ascii="黑体" w:hAnsi="新宋体" w:eastAsia="黑体"/>
          <w:color w:val="auto"/>
          <w:sz w:val="32"/>
        </w:rPr>
      </w:pPr>
      <w:bookmarkStart w:id="646" w:name="_Toc18397"/>
      <w:bookmarkStart w:id="647" w:name="_Toc32535"/>
    </w:p>
    <w:p>
      <w:pPr>
        <w:pStyle w:val="69"/>
        <w:spacing w:line="400" w:lineRule="exact"/>
        <w:ind w:right="-34" w:rightChars="-16"/>
        <w:outlineLvl w:val="0"/>
        <w:rPr>
          <w:rFonts w:ascii="黑体" w:hAnsi="新宋体" w:eastAsia="黑体"/>
          <w:color w:val="auto"/>
          <w:sz w:val="32"/>
        </w:rPr>
      </w:pPr>
    </w:p>
    <w:p>
      <w:pPr>
        <w:pStyle w:val="69"/>
        <w:spacing w:line="400" w:lineRule="exact"/>
        <w:ind w:right="-34" w:rightChars="-16"/>
        <w:outlineLvl w:val="0"/>
        <w:rPr>
          <w:rFonts w:ascii="黑体" w:hAnsi="新宋体" w:eastAsia="黑体"/>
          <w:color w:val="auto"/>
          <w:sz w:val="32"/>
        </w:rPr>
      </w:pPr>
    </w:p>
    <w:p>
      <w:pPr>
        <w:pStyle w:val="69"/>
        <w:spacing w:line="400" w:lineRule="exact"/>
        <w:ind w:right="-34" w:rightChars="-16"/>
        <w:outlineLvl w:val="0"/>
        <w:rPr>
          <w:rFonts w:ascii="黑体" w:hAnsi="新宋体" w:eastAsia="黑体"/>
          <w:color w:val="auto"/>
          <w:sz w:val="32"/>
        </w:rPr>
      </w:pPr>
    </w:p>
    <w:p>
      <w:pPr>
        <w:pStyle w:val="69"/>
        <w:spacing w:line="400" w:lineRule="exact"/>
        <w:ind w:right="-34" w:rightChars="-16"/>
        <w:outlineLvl w:val="0"/>
        <w:rPr>
          <w:rFonts w:ascii="黑体" w:hAnsi="新宋体" w:eastAsia="黑体"/>
          <w:color w:val="auto"/>
          <w:sz w:val="32"/>
        </w:rPr>
      </w:pPr>
    </w:p>
    <w:p>
      <w:pPr>
        <w:pStyle w:val="69"/>
        <w:spacing w:line="400" w:lineRule="exact"/>
        <w:ind w:right="-34" w:rightChars="-16"/>
        <w:outlineLvl w:val="0"/>
        <w:rPr>
          <w:color w:val="auto"/>
        </w:rPr>
      </w:pPr>
      <w:r>
        <w:rPr>
          <w:rFonts w:hint="eastAsia" w:ascii="黑体" w:hAnsi="新宋体" w:eastAsia="黑体"/>
          <w:color w:val="auto"/>
          <w:sz w:val="32"/>
        </w:rPr>
        <w:t>附表一：开标记录表</w:t>
      </w:r>
      <w:bookmarkEnd w:id="646"/>
      <w:bookmarkEnd w:id="647"/>
    </w:p>
    <w:p>
      <w:pPr>
        <w:ind w:right="-34" w:rightChars="-16" w:firstLine="562" w:firstLineChars="200"/>
        <w:jc w:val="center"/>
        <w:rPr>
          <w:b/>
          <w:sz w:val="28"/>
          <w:szCs w:val="28"/>
        </w:rPr>
      </w:pPr>
      <w:r>
        <w:rPr>
          <w:rFonts w:hint="eastAsia"/>
          <w:b/>
          <w:sz w:val="28"/>
          <w:szCs w:val="28"/>
        </w:rPr>
        <w:t>开标记录表</w:t>
      </w:r>
    </w:p>
    <w:p>
      <w:pPr>
        <w:ind w:right="-34" w:rightChars="-16" w:firstLine="562" w:firstLineChars="200"/>
        <w:jc w:val="left"/>
        <w:rPr>
          <w:b/>
          <w:sz w:val="28"/>
          <w:szCs w:val="28"/>
        </w:rPr>
      </w:pPr>
      <w:r>
        <w:rPr>
          <w:rFonts w:hint="eastAsia"/>
          <w:b/>
          <w:sz w:val="28"/>
          <w:szCs w:val="28"/>
        </w:rPr>
        <w:t>标段名称：</w:t>
      </w:r>
    </w:p>
    <w:tbl>
      <w:tblPr>
        <w:tblStyle w:val="46"/>
        <w:tblW w:w="10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834"/>
        <w:gridCol w:w="819"/>
        <w:gridCol w:w="819"/>
        <w:gridCol w:w="1036"/>
        <w:gridCol w:w="906"/>
        <w:gridCol w:w="876"/>
        <w:gridCol w:w="656"/>
        <w:gridCol w:w="954"/>
        <w:gridCol w:w="954"/>
        <w:gridCol w:w="954"/>
        <w:gridCol w:w="954"/>
        <w:gridCol w:w="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500" w:type="dxa"/>
            <w:vAlign w:val="center"/>
          </w:tcPr>
          <w:p>
            <w:pPr>
              <w:ind w:right="-34" w:rightChars="-16"/>
              <w:jc w:val="center"/>
              <w:rPr>
                <w:szCs w:val="21"/>
              </w:rPr>
            </w:pPr>
            <w:r>
              <w:rPr>
                <w:rFonts w:hint="eastAsia"/>
                <w:szCs w:val="21"/>
              </w:rPr>
              <w:t>序号</w:t>
            </w:r>
          </w:p>
        </w:tc>
        <w:tc>
          <w:tcPr>
            <w:tcW w:w="834" w:type="dxa"/>
            <w:vAlign w:val="center"/>
          </w:tcPr>
          <w:p>
            <w:pPr>
              <w:ind w:right="-34" w:rightChars="-16"/>
              <w:jc w:val="center"/>
              <w:rPr>
                <w:szCs w:val="21"/>
              </w:rPr>
            </w:pPr>
            <w:r>
              <w:rPr>
                <w:rFonts w:hint="eastAsia"/>
                <w:szCs w:val="21"/>
              </w:rPr>
              <w:t>投标单位名称</w:t>
            </w:r>
          </w:p>
        </w:tc>
        <w:tc>
          <w:tcPr>
            <w:tcW w:w="819" w:type="dxa"/>
            <w:vAlign w:val="center"/>
          </w:tcPr>
          <w:p>
            <w:pPr>
              <w:ind w:left="210" w:right="-34" w:rightChars="-16" w:hanging="210" w:hangingChars="100"/>
              <w:jc w:val="center"/>
              <w:rPr>
                <w:szCs w:val="21"/>
              </w:rPr>
            </w:pPr>
            <w:r>
              <w:rPr>
                <w:rFonts w:hint="eastAsia"/>
                <w:szCs w:val="21"/>
              </w:rPr>
              <w:t>投标总价（元）</w:t>
            </w:r>
          </w:p>
        </w:tc>
        <w:tc>
          <w:tcPr>
            <w:tcW w:w="819" w:type="dxa"/>
            <w:vAlign w:val="center"/>
          </w:tcPr>
          <w:p>
            <w:pPr>
              <w:ind w:left="210" w:right="-34" w:rightChars="-16" w:hanging="210" w:hangingChars="100"/>
              <w:jc w:val="center"/>
              <w:rPr>
                <w:szCs w:val="21"/>
              </w:rPr>
            </w:pPr>
            <w:r>
              <w:rPr>
                <w:rFonts w:hint="eastAsia"/>
                <w:szCs w:val="21"/>
              </w:rPr>
              <w:t>工期（日历天）</w:t>
            </w:r>
          </w:p>
        </w:tc>
        <w:tc>
          <w:tcPr>
            <w:tcW w:w="1036" w:type="dxa"/>
            <w:vAlign w:val="center"/>
          </w:tcPr>
          <w:p>
            <w:pPr>
              <w:ind w:right="-34" w:rightChars="-16"/>
              <w:jc w:val="center"/>
              <w:rPr>
                <w:szCs w:val="21"/>
              </w:rPr>
            </w:pPr>
            <w:r>
              <w:rPr>
                <w:rFonts w:hint="eastAsia"/>
                <w:szCs w:val="21"/>
              </w:rPr>
              <w:t>质量标准</w:t>
            </w:r>
          </w:p>
        </w:tc>
        <w:tc>
          <w:tcPr>
            <w:tcW w:w="906" w:type="dxa"/>
            <w:vAlign w:val="center"/>
          </w:tcPr>
          <w:p>
            <w:pPr>
              <w:ind w:right="-34" w:rightChars="-16"/>
              <w:jc w:val="center"/>
              <w:rPr>
                <w:szCs w:val="21"/>
              </w:rPr>
            </w:pPr>
            <w:r>
              <w:rPr>
                <w:rFonts w:hint="eastAsia"/>
                <w:szCs w:val="21"/>
              </w:rPr>
              <w:t>资质等级</w:t>
            </w:r>
          </w:p>
        </w:tc>
        <w:tc>
          <w:tcPr>
            <w:tcW w:w="876" w:type="dxa"/>
            <w:vAlign w:val="center"/>
          </w:tcPr>
          <w:p>
            <w:pPr>
              <w:ind w:right="-34" w:rightChars="-16"/>
              <w:jc w:val="center"/>
              <w:rPr>
                <w:szCs w:val="21"/>
              </w:rPr>
            </w:pPr>
            <w:r>
              <w:rPr>
                <w:rFonts w:hint="eastAsia"/>
                <w:szCs w:val="21"/>
              </w:rPr>
              <w:t>项目经理</w:t>
            </w:r>
          </w:p>
        </w:tc>
        <w:tc>
          <w:tcPr>
            <w:tcW w:w="656" w:type="dxa"/>
            <w:vAlign w:val="center"/>
          </w:tcPr>
          <w:p>
            <w:pPr>
              <w:ind w:right="-34" w:rightChars="-16"/>
              <w:jc w:val="center"/>
              <w:rPr>
                <w:szCs w:val="21"/>
              </w:rPr>
            </w:pPr>
            <w:r>
              <w:rPr>
                <w:rFonts w:hint="eastAsia"/>
                <w:szCs w:val="21"/>
              </w:rPr>
              <w:t>级别</w:t>
            </w:r>
          </w:p>
        </w:tc>
        <w:tc>
          <w:tcPr>
            <w:tcW w:w="954" w:type="dxa"/>
            <w:vAlign w:val="center"/>
          </w:tcPr>
          <w:p>
            <w:pPr>
              <w:ind w:right="-34" w:rightChars="-16"/>
              <w:jc w:val="center"/>
              <w:rPr>
                <w:szCs w:val="21"/>
              </w:rPr>
            </w:pPr>
            <w:r>
              <w:rPr>
                <w:rFonts w:hint="eastAsia"/>
                <w:szCs w:val="21"/>
              </w:rPr>
              <w:t>不可竞争费用（元）</w:t>
            </w:r>
          </w:p>
        </w:tc>
        <w:tc>
          <w:tcPr>
            <w:tcW w:w="954" w:type="dxa"/>
            <w:vAlign w:val="center"/>
          </w:tcPr>
          <w:p>
            <w:pPr>
              <w:ind w:right="-34" w:rightChars="-16"/>
              <w:jc w:val="center"/>
              <w:rPr>
                <w:szCs w:val="21"/>
              </w:rPr>
            </w:pPr>
            <w:r>
              <w:rPr>
                <w:rFonts w:hint="eastAsia"/>
                <w:szCs w:val="21"/>
              </w:rPr>
              <w:t>措施项目费报价（元）</w:t>
            </w:r>
          </w:p>
        </w:tc>
        <w:tc>
          <w:tcPr>
            <w:tcW w:w="954" w:type="dxa"/>
            <w:vAlign w:val="center"/>
          </w:tcPr>
          <w:p>
            <w:pPr>
              <w:ind w:right="-34" w:rightChars="-16"/>
              <w:jc w:val="center"/>
              <w:rPr>
                <w:szCs w:val="21"/>
              </w:rPr>
            </w:pPr>
            <w:r>
              <w:rPr>
                <w:rFonts w:hint="eastAsia"/>
                <w:szCs w:val="21"/>
              </w:rPr>
              <w:t>安全文明施工措施费（元）</w:t>
            </w:r>
          </w:p>
        </w:tc>
        <w:tc>
          <w:tcPr>
            <w:tcW w:w="954" w:type="dxa"/>
            <w:vAlign w:val="center"/>
          </w:tcPr>
          <w:p>
            <w:pPr>
              <w:ind w:right="-34" w:rightChars="-16"/>
              <w:jc w:val="center"/>
              <w:rPr>
                <w:szCs w:val="21"/>
              </w:rPr>
            </w:pPr>
            <w:r>
              <w:rPr>
                <w:rFonts w:hint="eastAsia"/>
                <w:szCs w:val="21"/>
              </w:rPr>
              <w:t>委托代理人签字</w:t>
            </w:r>
          </w:p>
        </w:tc>
        <w:tc>
          <w:tcPr>
            <w:tcW w:w="630" w:type="dxa"/>
            <w:vAlign w:val="center"/>
          </w:tcPr>
          <w:p>
            <w:pPr>
              <w:ind w:right="-34" w:rightChars="-16"/>
              <w:jc w:val="center"/>
              <w:rPr>
                <w:szCs w:val="21"/>
              </w:rPr>
            </w:pPr>
            <w:r>
              <w:rPr>
                <w:rFonts w:hint="eastAsia"/>
                <w:szCs w:val="21"/>
              </w:rPr>
              <w:t>开标备注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500" w:type="dxa"/>
          </w:tcPr>
          <w:p>
            <w:pPr>
              <w:ind w:right="-34" w:rightChars="-16"/>
              <w:jc w:val="center"/>
            </w:pPr>
          </w:p>
        </w:tc>
        <w:tc>
          <w:tcPr>
            <w:tcW w:w="834" w:type="dxa"/>
          </w:tcPr>
          <w:p>
            <w:pPr>
              <w:ind w:right="-34" w:rightChars="-16"/>
              <w:jc w:val="center"/>
            </w:pPr>
          </w:p>
        </w:tc>
        <w:tc>
          <w:tcPr>
            <w:tcW w:w="819" w:type="dxa"/>
          </w:tcPr>
          <w:p>
            <w:pPr>
              <w:ind w:right="-34" w:rightChars="-16"/>
              <w:jc w:val="center"/>
            </w:pPr>
          </w:p>
        </w:tc>
        <w:tc>
          <w:tcPr>
            <w:tcW w:w="819" w:type="dxa"/>
          </w:tcPr>
          <w:p>
            <w:pPr>
              <w:ind w:right="-34" w:rightChars="-16"/>
              <w:jc w:val="center"/>
            </w:pPr>
          </w:p>
        </w:tc>
        <w:tc>
          <w:tcPr>
            <w:tcW w:w="1036" w:type="dxa"/>
          </w:tcPr>
          <w:p>
            <w:pPr>
              <w:ind w:right="-34" w:rightChars="-16"/>
              <w:jc w:val="center"/>
            </w:pPr>
          </w:p>
        </w:tc>
        <w:tc>
          <w:tcPr>
            <w:tcW w:w="906" w:type="dxa"/>
          </w:tcPr>
          <w:p>
            <w:pPr>
              <w:ind w:right="-34" w:rightChars="-16"/>
              <w:jc w:val="center"/>
            </w:pPr>
          </w:p>
        </w:tc>
        <w:tc>
          <w:tcPr>
            <w:tcW w:w="876" w:type="dxa"/>
          </w:tcPr>
          <w:p>
            <w:pPr>
              <w:ind w:right="-34" w:rightChars="-16"/>
              <w:jc w:val="center"/>
            </w:pPr>
          </w:p>
        </w:tc>
        <w:tc>
          <w:tcPr>
            <w:tcW w:w="656" w:type="dxa"/>
          </w:tcPr>
          <w:p>
            <w:pPr>
              <w:ind w:right="-34" w:rightChars="-16"/>
              <w:jc w:val="center"/>
            </w:pPr>
          </w:p>
        </w:tc>
        <w:tc>
          <w:tcPr>
            <w:tcW w:w="954" w:type="dxa"/>
          </w:tcPr>
          <w:p>
            <w:pPr>
              <w:ind w:right="-34" w:rightChars="-16"/>
              <w:jc w:val="center"/>
            </w:pPr>
          </w:p>
          <w:p>
            <w:pPr>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630" w:type="dxa"/>
          </w:tcPr>
          <w:p>
            <w:pPr>
              <w:ind w:right="-34" w:rightChars="-16"/>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00" w:type="dxa"/>
          </w:tcPr>
          <w:p>
            <w:pPr>
              <w:ind w:right="-34" w:rightChars="-16"/>
              <w:jc w:val="center"/>
            </w:pPr>
          </w:p>
        </w:tc>
        <w:tc>
          <w:tcPr>
            <w:tcW w:w="834" w:type="dxa"/>
          </w:tcPr>
          <w:p>
            <w:pPr>
              <w:ind w:right="-34" w:rightChars="-16"/>
              <w:jc w:val="center"/>
            </w:pPr>
          </w:p>
        </w:tc>
        <w:tc>
          <w:tcPr>
            <w:tcW w:w="819" w:type="dxa"/>
          </w:tcPr>
          <w:p>
            <w:pPr>
              <w:ind w:right="-34" w:rightChars="-16"/>
              <w:jc w:val="center"/>
            </w:pPr>
          </w:p>
        </w:tc>
        <w:tc>
          <w:tcPr>
            <w:tcW w:w="819" w:type="dxa"/>
          </w:tcPr>
          <w:p>
            <w:pPr>
              <w:ind w:right="-34" w:rightChars="-16"/>
              <w:jc w:val="center"/>
            </w:pPr>
          </w:p>
        </w:tc>
        <w:tc>
          <w:tcPr>
            <w:tcW w:w="1036" w:type="dxa"/>
          </w:tcPr>
          <w:p>
            <w:pPr>
              <w:ind w:right="-34" w:rightChars="-16"/>
              <w:jc w:val="center"/>
            </w:pPr>
          </w:p>
        </w:tc>
        <w:tc>
          <w:tcPr>
            <w:tcW w:w="906" w:type="dxa"/>
          </w:tcPr>
          <w:p>
            <w:pPr>
              <w:ind w:right="-34" w:rightChars="-16"/>
              <w:jc w:val="center"/>
            </w:pPr>
          </w:p>
        </w:tc>
        <w:tc>
          <w:tcPr>
            <w:tcW w:w="876" w:type="dxa"/>
          </w:tcPr>
          <w:p>
            <w:pPr>
              <w:ind w:right="-34" w:rightChars="-16"/>
              <w:jc w:val="center"/>
            </w:pPr>
          </w:p>
        </w:tc>
        <w:tc>
          <w:tcPr>
            <w:tcW w:w="656"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630" w:type="dxa"/>
          </w:tcPr>
          <w:p>
            <w:pPr>
              <w:ind w:right="-34" w:rightChars="-16"/>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0" w:type="dxa"/>
          </w:tcPr>
          <w:p>
            <w:pPr>
              <w:ind w:right="-34" w:rightChars="-16"/>
              <w:jc w:val="center"/>
            </w:pPr>
          </w:p>
        </w:tc>
        <w:tc>
          <w:tcPr>
            <w:tcW w:w="834" w:type="dxa"/>
          </w:tcPr>
          <w:p>
            <w:pPr>
              <w:ind w:right="-34" w:rightChars="-16"/>
              <w:jc w:val="center"/>
            </w:pPr>
          </w:p>
        </w:tc>
        <w:tc>
          <w:tcPr>
            <w:tcW w:w="819" w:type="dxa"/>
          </w:tcPr>
          <w:p>
            <w:pPr>
              <w:ind w:right="-34" w:rightChars="-16"/>
              <w:jc w:val="center"/>
            </w:pPr>
          </w:p>
        </w:tc>
        <w:tc>
          <w:tcPr>
            <w:tcW w:w="819" w:type="dxa"/>
          </w:tcPr>
          <w:p>
            <w:pPr>
              <w:ind w:right="-34" w:rightChars="-16"/>
              <w:jc w:val="center"/>
            </w:pPr>
          </w:p>
        </w:tc>
        <w:tc>
          <w:tcPr>
            <w:tcW w:w="1036" w:type="dxa"/>
          </w:tcPr>
          <w:p>
            <w:pPr>
              <w:ind w:right="-34" w:rightChars="-16"/>
              <w:jc w:val="center"/>
            </w:pPr>
          </w:p>
        </w:tc>
        <w:tc>
          <w:tcPr>
            <w:tcW w:w="906" w:type="dxa"/>
          </w:tcPr>
          <w:p>
            <w:pPr>
              <w:ind w:right="-34" w:rightChars="-16"/>
              <w:jc w:val="center"/>
            </w:pPr>
          </w:p>
        </w:tc>
        <w:tc>
          <w:tcPr>
            <w:tcW w:w="876" w:type="dxa"/>
          </w:tcPr>
          <w:p>
            <w:pPr>
              <w:ind w:right="-34" w:rightChars="-16"/>
              <w:jc w:val="center"/>
            </w:pPr>
          </w:p>
        </w:tc>
        <w:tc>
          <w:tcPr>
            <w:tcW w:w="656"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630" w:type="dxa"/>
          </w:tcPr>
          <w:p>
            <w:pPr>
              <w:ind w:right="-34" w:rightChars="-16"/>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00" w:type="dxa"/>
          </w:tcPr>
          <w:p>
            <w:pPr>
              <w:ind w:right="-34" w:rightChars="-16"/>
              <w:jc w:val="center"/>
            </w:pPr>
          </w:p>
        </w:tc>
        <w:tc>
          <w:tcPr>
            <w:tcW w:w="834" w:type="dxa"/>
          </w:tcPr>
          <w:p>
            <w:pPr>
              <w:ind w:right="-34" w:rightChars="-16"/>
              <w:jc w:val="center"/>
            </w:pPr>
          </w:p>
        </w:tc>
        <w:tc>
          <w:tcPr>
            <w:tcW w:w="819" w:type="dxa"/>
          </w:tcPr>
          <w:p>
            <w:pPr>
              <w:ind w:right="-34" w:rightChars="-16"/>
              <w:jc w:val="center"/>
            </w:pPr>
          </w:p>
        </w:tc>
        <w:tc>
          <w:tcPr>
            <w:tcW w:w="819" w:type="dxa"/>
          </w:tcPr>
          <w:p>
            <w:pPr>
              <w:ind w:right="-34" w:rightChars="-16"/>
              <w:jc w:val="center"/>
            </w:pPr>
          </w:p>
        </w:tc>
        <w:tc>
          <w:tcPr>
            <w:tcW w:w="1036" w:type="dxa"/>
          </w:tcPr>
          <w:p>
            <w:pPr>
              <w:ind w:right="-34" w:rightChars="-16"/>
              <w:jc w:val="center"/>
            </w:pPr>
          </w:p>
        </w:tc>
        <w:tc>
          <w:tcPr>
            <w:tcW w:w="906" w:type="dxa"/>
          </w:tcPr>
          <w:p>
            <w:pPr>
              <w:ind w:right="-34" w:rightChars="-16"/>
              <w:jc w:val="center"/>
            </w:pPr>
          </w:p>
        </w:tc>
        <w:tc>
          <w:tcPr>
            <w:tcW w:w="876" w:type="dxa"/>
          </w:tcPr>
          <w:p>
            <w:pPr>
              <w:ind w:right="-34" w:rightChars="-16"/>
              <w:jc w:val="center"/>
            </w:pPr>
          </w:p>
        </w:tc>
        <w:tc>
          <w:tcPr>
            <w:tcW w:w="656"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630" w:type="dxa"/>
          </w:tcPr>
          <w:p>
            <w:pPr>
              <w:ind w:right="-34" w:rightChars="-16"/>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0" w:type="dxa"/>
          </w:tcPr>
          <w:p>
            <w:pPr>
              <w:ind w:right="-34" w:rightChars="-16"/>
              <w:jc w:val="center"/>
            </w:pPr>
          </w:p>
        </w:tc>
        <w:tc>
          <w:tcPr>
            <w:tcW w:w="834" w:type="dxa"/>
          </w:tcPr>
          <w:p>
            <w:pPr>
              <w:ind w:right="-34" w:rightChars="-16"/>
              <w:jc w:val="center"/>
            </w:pPr>
          </w:p>
        </w:tc>
        <w:tc>
          <w:tcPr>
            <w:tcW w:w="819" w:type="dxa"/>
          </w:tcPr>
          <w:p>
            <w:pPr>
              <w:ind w:right="-34" w:rightChars="-16"/>
              <w:jc w:val="center"/>
            </w:pPr>
          </w:p>
        </w:tc>
        <w:tc>
          <w:tcPr>
            <w:tcW w:w="819" w:type="dxa"/>
          </w:tcPr>
          <w:p>
            <w:pPr>
              <w:ind w:right="-34" w:rightChars="-16"/>
              <w:jc w:val="center"/>
            </w:pPr>
          </w:p>
        </w:tc>
        <w:tc>
          <w:tcPr>
            <w:tcW w:w="1036" w:type="dxa"/>
          </w:tcPr>
          <w:p>
            <w:pPr>
              <w:ind w:right="-34" w:rightChars="-16"/>
              <w:jc w:val="center"/>
            </w:pPr>
          </w:p>
        </w:tc>
        <w:tc>
          <w:tcPr>
            <w:tcW w:w="906" w:type="dxa"/>
          </w:tcPr>
          <w:p>
            <w:pPr>
              <w:ind w:right="-34" w:rightChars="-16"/>
              <w:jc w:val="center"/>
            </w:pPr>
          </w:p>
        </w:tc>
        <w:tc>
          <w:tcPr>
            <w:tcW w:w="876" w:type="dxa"/>
          </w:tcPr>
          <w:p>
            <w:pPr>
              <w:ind w:right="-34" w:rightChars="-16"/>
              <w:jc w:val="center"/>
            </w:pPr>
          </w:p>
        </w:tc>
        <w:tc>
          <w:tcPr>
            <w:tcW w:w="656"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630" w:type="dxa"/>
          </w:tcPr>
          <w:p>
            <w:pPr>
              <w:ind w:right="-34" w:rightChars="-16"/>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00" w:type="dxa"/>
          </w:tcPr>
          <w:p>
            <w:pPr>
              <w:ind w:right="-34" w:rightChars="-16"/>
              <w:jc w:val="center"/>
            </w:pPr>
          </w:p>
        </w:tc>
        <w:tc>
          <w:tcPr>
            <w:tcW w:w="834" w:type="dxa"/>
          </w:tcPr>
          <w:p>
            <w:pPr>
              <w:ind w:right="-34" w:rightChars="-16"/>
              <w:jc w:val="center"/>
            </w:pPr>
          </w:p>
        </w:tc>
        <w:tc>
          <w:tcPr>
            <w:tcW w:w="819" w:type="dxa"/>
          </w:tcPr>
          <w:p>
            <w:pPr>
              <w:ind w:right="-34" w:rightChars="-16"/>
              <w:jc w:val="center"/>
            </w:pPr>
          </w:p>
        </w:tc>
        <w:tc>
          <w:tcPr>
            <w:tcW w:w="819" w:type="dxa"/>
          </w:tcPr>
          <w:p>
            <w:pPr>
              <w:ind w:right="-34" w:rightChars="-16"/>
              <w:jc w:val="center"/>
            </w:pPr>
          </w:p>
        </w:tc>
        <w:tc>
          <w:tcPr>
            <w:tcW w:w="1036" w:type="dxa"/>
          </w:tcPr>
          <w:p>
            <w:pPr>
              <w:ind w:right="-34" w:rightChars="-16"/>
              <w:jc w:val="center"/>
            </w:pPr>
          </w:p>
        </w:tc>
        <w:tc>
          <w:tcPr>
            <w:tcW w:w="906" w:type="dxa"/>
          </w:tcPr>
          <w:p>
            <w:pPr>
              <w:ind w:right="-34" w:rightChars="-16"/>
              <w:jc w:val="center"/>
            </w:pPr>
          </w:p>
        </w:tc>
        <w:tc>
          <w:tcPr>
            <w:tcW w:w="876" w:type="dxa"/>
          </w:tcPr>
          <w:p>
            <w:pPr>
              <w:ind w:right="-34" w:rightChars="-16"/>
              <w:jc w:val="center"/>
            </w:pPr>
          </w:p>
        </w:tc>
        <w:tc>
          <w:tcPr>
            <w:tcW w:w="656"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954" w:type="dxa"/>
          </w:tcPr>
          <w:p>
            <w:pPr>
              <w:ind w:right="-34" w:rightChars="-16"/>
              <w:jc w:val="center"/>
            </w:pPr>
          </w:p>
        </w:tc>
        <w:tc>
          <w:tcPr>
            <w:tcW w:w="630" w:type="dxa"/>
          </w:tcPr>
          <w:p>
            <w:pPr>
              <w:ind w:right="-34" w:rightChars="-16"/>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972" w:type="dxa"/>
            <w:gridSpan w:val="4"/>
            <w:vAlign w:val="center"/>
          </w:tcPr>
          <w:p>
            <w:pPr>
              <w:ind w:right="-34" w:rightChars="-16"/>
              <w:jc w:val="center"/>
            </w:pPr>
            <w:r>
              <w:rPr>
                <w:rFonts w:hint="eastAsia"/>
              </w:rPr>
              <w:t>K值</w:t>
            </w:r>
          </w:p>
        </w:tc>
        <w:tc>
          <w:tcPr>
            <w:tcW w:w="7920" w:type="dxa"/>
            <w:gridSpan w:val="9"/>
          </w:tcPr>
          <w:p>
            <w:pPr>
              <w:ind w:right="-34" w:rightChars="-16"/>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972" w:type="dxa"/>
            <w:gridSpan w:val="4"/>
            <w:vAlign w:val="center"/>
          </w:tcPr>
          <w:p>
            <w:pPr>
              <w:ind w:right="-34" w:rightChars="-16"/>
              <w:jc w:val="center"/>
            </w:pPr>
            <w:r>
              <w:rPr>
                <w:rFonts w:hint="eastAsia"/>
              </w:rPr>
              <w:t>招标人编制的招标控制价</w:t>
            </w:r>
          </w:p>
        </w:tc>
        <w:tc>
          <w:tcPr>
            <w:tcW w:w="7920" w:type="dxa"/>
            <w:gridSpan w:val="9"/>
          </w:tcPr>
          <w:p>
            <w:pPr>
              <w:ind w:right="-34" w:rightChars="-16"/>
              <w:jc w:val="center"/>
            </w:pPr>
          </w:p>
        </w:tc>
      </w:tr>
    </w:tbl>
    <w:p>
      <w:pPr>
        <w:ind w:right="-34" w:rightChars="-16"/>
        <w:jc w:val="center"/>
      </w:pPr>
    </w:p>
    <w:p>
      <w:pPr>
        <w:ind w:right="-34" w:rightChars="-16" w:firstLine="1155" w:firstLineChars="550"/>
        <w:rPr>
          <w:szCs w:val="21"/>
          <w:u w:val="single"/>
        </w:rPr>
      </w:pPr>
      <w:r>
        <w:rPr>
          <w:rFonts w:hint="eastAsia"/>
          <w:szCs w:val="21"/>
        </w:rPr>
        <w:t>招标人代表：            监督部门：</w:t>
      </w:r>
    </w:p>
    <w:p>
      <w:pPr>
        <w:ind w:right="-34" w:rightChars="-16"/>
        <w:jc w:val="center"/>
        <w:rPr>
          <w:szCs w:val="21"/>
        </w:rPr>
      </w:pPr>
    </w:p>
    <w:p>
      <w:pPr>
        <w:ind w:right="-34" w:rightChars="-16"/>
        <w:jc w:val="center"/>
        <w:rPr>
          <w:szCs w:val="21"/>
        </w:rPr>
      </w:pPr>
    </w:p>
    <w:p>
      <w:pPr>
        <w:ind w:right="-34" w:rightChars="-16"/>
        <w:jc w:val="center"/>
      </w:pPr>
      <w:r>
        <w:rPr>
          <w:rFonts w:hint="eastAsia"/>
        </w:rPr>
        <w:t>开标时间：</w:t>
      </w:r>
      <w:r>
        <w:rPr>
          <w:rFonts w:hint="eastAsia"/>
          <w:u w:val="single"/>
        </w:rPr>
        <w:t>年     月     日  时    分</w:t>
      </w:r>
    </w:p>
    <w:p>
      <w:pPr>
        <w:ind w:right="-34" w:rightChars="-16"/>
        <w:rPr>
          <w:szCs w:val="21"/>
          <w:u w:val="single"/>
        </w:rPr>
      </w:pPr>
    </w:p>
    <w:p>
      <w:pPr>
        <w:ind w:right="-34" w:rightChars="-16"/>
        <w:rPr>
          <w:szCs w:val="21"/>
          <w:u w:val="single"/>
        </w:rPr>
      </w:pPr>
    </w:p>
    <w:p>
      <w:pPr>
        <w:pStyle w:val="69"/>
        <w:tabs>
          <w:tab w:val="right" w:pos="8730"/>
        </w:tabs>
        <w:spacing w:line="420" w:lineRule="exact"/>
        <w:ind w:right="-34" w:rightChars="-16"/>
        <w:outlineLvl w:val="0"/>
        <w:rPr>
          <w:b/>
          <w:color w:val="auto"/>
        </w:rPr>
        <w:sectPr>
          <w:headerReference r:id="rId9" w:type="default"/>
          <w:footerReference r:id="rId10" w:type="default"/>
          <w:pgSz w:w="11906" w:h="16838"/>
          <w:pgMar w:top="1440" w:right="1588" w:bottom="1440" w:left="1588" w:header="720" w:footer="720" w:gutter="0"/>
          <w:pgBorders>
            <w:top w:val="none" w:sz="0" w:space="0"/>
            <w:left w:val="none" w:sz="0" w:space="0"/>
            <w:bottom w:val="none" w:sz="0" w:space="0"/>
            <w:right w:val="none" w:sz="0" w:space="0"/>
          </w:pgBorders>
          <w:pgNumType w:fmt="decimal" w:start="1"/>
          <w:cols w:space="0" w:num="1"/>
          <w:rtlGutter w:val="0"/>
          <w:docGrid w:linePitch="287" w:charSpace="0"/>
        </w:sectPr>
      </w:pPr>
      <w:bookmarkStart w:id="648" w:name="_Toc436038197"/>
      <w:r>
        <w:rPr>
          <w:rFonts w:hint="eastAsia"/>
          <w:b/>
          <w:color w:val="auto"/>
        </w:rPr>
        <w:tab/>
      </w:r>
    </w:p>
    <w:p>
      <w:pPr>
        <w:pStyle w:val="69"/>
        <w:spacing w:line="420" w:lineRule="exact"/>
        <w:ind w:right="-34" w:rightChars="-16"/>
        <w:jc w:val="both"/>
        <w:outlineLvl w:val="0"/>
        <w:rPr>
          <w:rFonts w:ascii="黑体" w:hAnsi="新宋体" w:eastAsia="黑体"/>
          <w:color w:val="auto"/>
          <w:sz w:val="32"/>
          <w:szCs w:val="22"/>
        </w:rPr>
      </w:pPr>
      <w:bookmarkStart w:id="649" w:name="_Toc28869"/>
      <w:bookmarkStart w:id="650" w:name="_Toc32603"/>
      <w:r>
        <w:rPr>
          <w:rFonts w:hint="eastAsia" w:ascii="黑体" w:hAnsi="新宋体" w:eastAsia="黑体"/>
          <w:color w:val="auto"/>
          <w:sz w:val="32"/>
          <w:szCs w:val="22"/>
        </w:rPr>
        <w:t>附表二：问题澄清通知</w:t>
      </w:r>
      <w:bookmarkEnd w:id="648"/>
      <w:bookmarkEnd w:id="649"/>
      <w:bookmarkEnd w:id="650"/>
    </w:p>
    <w:p>
      <w:pPr>
        <w:pStyle w:val="69"/>
        <w:spacing w:line="420" w:lineRule="exact"/>
        <w:ind w:right="-34" w:rightChars="-16"/>
        <w:jc w:val="center"/>
        <w:rPr>
          <w:rFonts w:ascii="黑体" w:hAnsi="新宋体" w:eastAsia="黑体"/>
          <w:color w:val="auto"/>
          <w:sz w:val="28"/>
        </w:rPr>
      </w:pPr>
    </w:p>
    <w:p>
      <w:pPr>
        <w:pStyle w:val="69"/>
        <w:spacing w:line="420" w:lineRule="exact"/>
        <w:ind w:right="-34" w:rightChars="-16"/>
        <w:jc w:val="center"/>
        <w:rPr>
          <w:rFonts w:ascii="黑体" w:hAnsi="新宋体" w:eastAsia="黑体"/>
          <w:color w:val="auto"/>
          <w:sz w:val="28"/>
        </w:rPr>
      </w:pPr>
    </w:p>
    <w:p>
      <w:pPr>
        <w:pStyle w:val="69"/>
        <w:spacing w:line="420" w:lineRule="exact"/>
        <w:ind w:right="-34" w:rightChars="-16"/>
        <w:jc w:val="center"/>
        <w:rPr>
          <w:rFonts w:ascii="黑体" w:hAnsi="新宋体" w:eastAsia="黑体"/>
          <w:color w:val="auto"/>
          <w:sz w:val="28"/>
        </w:rPr>
      </w:pPr>
      <w:r>
        <w:rPr>
          <w:rFonts w:hint="eastAsia" w:ascii="黑体" w:hAnsi="新宋体" w:eastAsia="黑体"/>
          <w:color w:val="auto"/>
          <w:sz w:val="28"/>
        </w:rPr>
        <w:t>问题澄清通知</w:t>
      </w:r>
    </w:p>
    <w:p>
      <w:pPr>
        <w:autoSpaceDE w:val="0"/>
        <w:autoSpaceDN w:val="0"/>
        <w:adjustRightInd w:val="0"/>
        <w:spacing w:line="420" w:lineRule="exact"/>
        <w:ind w:right="-34" w:rightChars="-16" w:firstLine="3780" w:firstLineChars="1800"/>
        <w:rPr>
          <w:rFonts w:ascii="宋体" w:hAnsi="宋体"/>
          <w:kern w:val="0"/>
        </w:rPr>
      </w:pPr>
      <w:r>
        <w:rPr>
          <w:rFonts w:hint="eastAsia" w:ascii="宋体" w:hAnsi="宋体"/>
          <w:kern w:val="0"/>
        </w:rPr>
        <w:t>编号：</w:t>
      </w:r>
    </w:p>
    <w:p>
      <w:pPr>
        <w:autoSpaceDE w:val="0"/>
        <w:autoSpaceDN w:val="0"/>
        <w:adjustRightInd w:val="0"/>
        <w:spacing w:line="420" w:lineRule="exact"/>
        <w:ind w:right="-34" w:rightChars="-16"/>
        <w:jc w:val="left"/>
        <w:rPr>
          <w:rFonts w:ascii="宋体" w:hAnsi="宋体"/>
          <w:kern w:val="0"/>
        </w:rPr>
      </w:pPr>
      <w:r>
        <w:rPr>
          <w:rFonts w:hint="eastAsia" w:ascii="宋体" w:hAnsi="宋体"/>
          <w:kern w:val="0"/>
        </w:rPr>
        <w:t>（投标人名称）：</w:t>
      </w:r>
    </w:p>
    <w:p>
      <w:pPr>
        <w:autoSpaceDE w:val="0"/>
        <w:autoSpaceDN w:val="0"/>
        <w:adjustRightInd w:val="0"/>
        <w:spacing w:line="420" w:lineRule="exact"/>
        <w:ind w:right="-34" w:rightChars="-16" w:firstLine="420" w:firstLineChars="200"/>
        <w:jc w:val="left"/>
        <w:rPr>
          <w:rFonts w:ascii="宋体" w:hAnsi="宋体"/>
          <w:kern w:val="0"/>
        </w:rPr>
      </w:pPr>
      <w:r>
        <w:rPr>
          <w:rFonts w:hint="eastAsia" w:ascii="宋体" w:hAnsi="宋体"/>
          <w:kern w:val="0"/>
        </w:rPr>
        <w:t>（项目名称）施工招标的评标委员会，对你方的投标文件进行了仔细的审查，现需你方对下列问题以书面形式予以澄清：</w:t>
      </w:r>
    </w:p>
    <w:p>
      <w:pPr>
        <w:autoSpaceDE w:val="0"/>
        <w:autoSpaceDN w:val="0"/>
        <w:adjustRightInd w:val="0"/>
        <w:spacing w:line="420" w:lineRule="exact"/>
        <w:ind w:right="-34" w:rightChars="-16"/>
        <w:jc w:val="left"/>
        <w:rPr>
          <w:rFonts w:ascii="宋体" w:hAnsi="宋体"/>
          <w:kern w:val="0"/>
        </w:rPr>
      </w:pPr>
      <w:r>
        <w:rPr>
          <w:rFonts w:ascii="宋体" w:hAnsi="宋体"/>
          <w:kern w:val="0"/>
        </w:rPr>
        <w:t>1.</w:t>
      </w:r>
    </w:p>
    <w:p>
      <w:pPr>
        <w:autoSpaceDE w:val="0"/>
        <w:autoSpaceDN w:val="0"/>
        <w:adjustRightInd w:val="0"/>
        <w:spacing w:line="420" w:lineRule="exact"/>
        <w:ind w:right="-34" w:rightChars="-16"/>
        <w:jc w:val="left"/>
        <w:rPr>
          <w:rFonts w:ascii="宋体" w:hAnsi="宋体"/>
          <w:kern w:val="0"/>
        </w:rPr>
      </w:pPr>
      <w:r>
        <w:rPr>
          <w:rFonts w:ascii="宋体" w:hAnsi="宋体"/>
          <w:kern w:val="0"/>
        </w:rPr>
        <w:t>2.</w:t>
      </w:r>
    </w:p>
    <w:p>
      <w:pPr>
        <w:autoSpaceDE w:val="0"/>
        <w:autoSpaceDN w:val="0"/>
        <w:adjustRightInd w:val="0"/>
        <w:spacing w:line="420" w:lineRule="exact"/>
        <w:ind w:right="-34" w:rightChars="-16" w:firstLine="420" w:firstLineChars="200"/>
        <w:jc w:val="left"/>
        <w:rPr>
          <w:rFonts w:ascii="宋体" w:hAnsi="宋体"/>
          <w:kern w:val="0"/>
        </w:rPr>
      </w:pPr>
      <w:r>
        <w:rPr>
          <w:rFonts w:hint="eastAsia" w:ascii="宋体" w:hAnsi="宋体"/>
          <w:kern w:val="0"/>
        </w:rPr>
        <w:t>请将上述问题的澄清于年月日时前递交至（详细地址）或传真至（传真号码）。采用传真方式的，应在年月日时前将原件递交至（详细地址）。</w:t>
      </w:r>
    </w:p>
    <w:p>
      <w:pPr>
        <w:autoSpaceDE w:val="0"/>
        <w:autoSpaceDN w:val="0"/>
        <w:adjustRightInd w:val="0"/>
        <w:spacing w:line="420" w:lineRule="exact"/>
        <w:ind w:right="-34" w:rightChars="-16" w:firstLine="3570" w:firstLineChars="1700"/>
        <w:jc w:val="left"/>
        <w:rPr>
          <w:rFonts w:ascii="宋体" w:hAnsi="宋体"/>
          <w:kern w:val="0"/>
        </w:rPr>
      </w:pPr>
      <w:r>
        <w:rPr>
          <w:rFonts w:hint="eastAsia" w:ascii="宋体" w:hAnsi="宋体"/>
          <w:kern w:val="0"/>
        </w:rPr>
        <w:t>评标工作组负责人：（签字）</w:t>
      </w:r>
    </w:p>
    <w:p>
      <w:pPr>
        <w:autoSpaceDE w:val="0"/>
        <w:autoSpaceDN w:val="0"/>
        <w:adjustRightInd w:val="0"/>
        <w:spacing w:line="420" w:lineRule="exact"/>
        <w:ind w:right="-34" w:rightChars="-16" w:firstLine="3360" w:firstLineChars="1600"/>
        <w:jc w:val="left"/>
        <w:rPr>
          <w:rFonts w:ascii="宋体" w:hAnsi="宋体"/>
          <w:kern w:val="0"/>
        </w:rPr>
      </w:pPr>
      <w:r>
        <w:rPr>
          <w:rFonts w:hint="eastAsia" w:ascii="宋体" w:hAnsi="宋体"/>
          <w:kern w:val="0"/>
        </w:rPr>
        <w:t>年月日</w:t>
      </w:r>
    </w:p>
    <w:p>
      <w:pPr>
        <w:pStyle w:val="69"/>
        <w:spacing w:line="420" w:lineRule="exact"/>
        <w:ind w:right="-34" w:rightChars="-16"/>
        <w:jc w:val="both"/>
        <w:outlineLvl w:val="0"/>
        <w:rPr>
          <w:rFonts w:ascii="黑体" w:hAnsi="新宋体" w:eastAsia="黑体"/>
          <w:color w:val="auto"/>
          <w:sz w:val="32"/>
        </w:rPr>
      </w:pPr>
      <w:bookmarkStart w:id="651" w:name="_Toc227657513"/>
      <w:bookmarkStart w:id="652" w:name="_Toc214433913"/>
      <w:bookmarkStart w:id="653" w:name="_Toc228591683"/>
      <w:bookmarkStart w:id="654" w:name="_Toc272772600"/>
      <w:bookmarkStart w:id="655" w:name="_Toc228591535"/>
      <w:bookmarkStart w:id="656" w:name="_Toc227492270"/>
      <w:bookmarkStart w:id="657" w:name="_Toc228337124"/>
      <w:bookmarkStart w:id="658" w:name="_Toc228881187"/>
      <w:bookmarkStart w:id="659" w:name="_Toc228589189"/>
      <w:bookmarkStart w:id="660" w:name="_Toc436038198"/>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bookmarkStart w:id="661" w:name="_Toc12024"/>
      <w:bookmarkStart w:id="662" w:name="_Toc27009"/>
      <w:r>
        <w:rPr>
          <w:rFonts w:hint="eastAsia" w:ascii="黑体" w:hAnsi="新宋体" w:eastAsia="黑体"/>
          <w:color w:val="auto"/>
          <w:sz w:val="32"/>
        </w:rPr>
        <w:t>附表三：问题的澄清</w:t>
      </w:r>
      <w:bookmarkEnd w:id="651"/>
      <w:bookmarkEnd w:id="652"/>
      <w:bookmarkEnd w:id="653"/>
      <w:bookmarkEnd w:id="654"/>
      <w:bookmarkEnd w:id="655"/>
      <w:bookmarkEnd w:id="656"/>
      <w:bookmarkEnd w:id="657"/>
      <w:bookmarkEnd w:id="658"/>
      <w:bookmarkEnd w:id="659"/>
      <w:bookmarkEnd w:id="660"/>
      <w:bookmarkEnd w:id="661"/>
      <w:bookmarkEnd w:id="662"/>
    </w:p>
    <w:p>
      <w:pPr>
        <w:pStyle w:val="69"/>
        <w:spacing w:line="420" w:lineRule="exact"/>
        <w:ind w:right="-34" w:rightChars="-16"/>
        <w:jc w:val="center"/>
        <w:rPr>
          <w:rFonts w:ascii="黑体" w:hAnsi="新宋体" w:eastAsia="黑体"/>
          <w:color w:val="auto"/>
          <w:sz w:val="28"/>
        </w:rPr>
      </w:pPr>
    </w:p>
    <w:p>
      <w:pPr>
        <w:pStyle w:val="69"/>
        <w:spacing w:line="420" w:lineRule="exact"/>
        <w:ind w:right="-34" w:rightChars="-16"/>
        <w:jc w:val="center"/>
        <w:rPr>
          <w:rFonts w:ascii="黑体" w:hAnsi="新宋体" w:eastAsia="黑体"/>
          <w:color w:val="auto"/>
          <w:sz w:val="28"/>
        </w:rPr>
      </w:pPr>
      <w:r>
        <w:rPr>
          <w:rFonts w:hint="eastAsia" w:ascii="黑体" w:hAnsi="新宋体" w:eastAsia="黑体"/>
          <w:color w:val="auto"/>
          <w:sz w:val="28"/>
        </w:rPr>
        <w:t>问题的澄清</w:t>
      </w:r>
    </w:p>
    <w:p>
      <w:pPr>
        <w:autoSpaceDE w:val="0"/>
        <w:autoSpaceDN w:val="0"/>
        <w:adjustRightInd w:val="0"/>
        <w:spacing w:line="420" w:lineRule="exact"/>
        <w:ind w:right="-34" w:rightChars="-16" w:firstLine="3990" w:firstLineChars="1900"/>
        <w:jc w:val="left"/>
        <w:rPr>
          <w:rFonts w:ascii="宋体" w:hAnsi="宋体"/>
          <w:kern w:val="0"/>
        </w:rPr>
      </w:pPr>
      <w:r>
        <w:rPr>
          <w:rFonts w:hint="eastAsia" w:ascii="宋体" w:hAnsi="宋体"/>
          <w:kern w:val="0"/>
        </w:rPr>
        <w:t>编号：</w:t>
      </w:r>
    </w:p>
    <w:p>
      <w:pPr>
        <w:autoSpaceDE w:val="0"/>
        <w:autoSpaceDN w:val="0"/>
        <w:adjustRightInd w:val="0"/>
        <w:spacing w:line="420" w:lineRule="exact"/>
        <w:ind w:right="-34" w:rightChars="-16"/>
        <w:jc w:val="left"/>
        <w:rPr>
          <w:rFonts w:ascii="宋体" w:hAnsi="宋体"/>
          <w:kern w:val="0"/>
        </w:rPr>
      </w:pPr>
      <w:r>
        <w:rPr>
          <w:rFonts w:hint="eastAsia" w:ascii="宋体" w:hAnsi="宋体"/>
          <w:kern w:val="0"/>
        </w:rPr>
        <w:t>（项目名称）施工招标评标委员会：</w:t>
      </w:r>
    </w:p>
    <w:p>
      <w:pPr>
        <w:autoSpaceDE w:val="0"/>
        <w:autoSpaceDN w:val="0"/>
        <w:adjustRightInd w:val="0"/>
        <w:spacing w:line="420" w:lineRule="exact"/>
        <w:ind w:right="-34" w:rightChars="-16"/>
        <w:jc w:val="left"/>
        <w:rPr>
          <w:rFonts w:ascii="宋体" w:hAnsi="宋体"/>
          <w:kern w:val="0"/>
        </w:rPr>
      </w:pPr>
    </w:p>
    <w:p>
      <w:pPr>
        <w:autoSpaceDE w:val="0"/>
        <w:autoSpaceDN w:val="0"/>
        <w:adjustRightInd w:val="0"/>
        <w:spacing w:line="420" w:lineRule="exact"/>
        <w:ind w:right="-34" w:rightChars="-16" w:firstLine="420" w:firstLineChars="200"/>
        <w:jc w:val="left"/>
        <w:rPr>
          <w:rFonts w:ascii="宋体" w:hAnsi="宋体"/>
          <w:kern w:val="0"/>
        </w:rPr>
      </w:pPr>
      <w:r>
        <w:rPr>
          <w:rFonts w:hint="eastAsia" w:ascii="宋体" w:hAnsi="宋体"/>
          <w:kern w:val="0"/>
        </w:rPr>
        <w:t>问题澄清通知（编号：）已收悉，现澄清如下：</w:t>
      </w:r>
    </w:p>
    <w:p>
      <w:pPr>
        <w:autoSpaceDE w:val="0"/>
        <w:autoSpaceDN w:val="0"/>
        <w:adjustRightInd w:val="0"/>
        <w:spacing w:line="420" w:lineRule="exact"/>
        <w:ind w:right="-34" w:rightChars="-16"/>
        <w:jc w:val="left"/>
        <w:rPr>
          <w:rFonts w:ascii="宋体" w:hAnsi="宋体"/>
          <w:kern w:val="0"/>
        </w:rPr>
      </w:pPr>
      <w:r>
        <w:rPr>
          <w:rFonts w:ascii="宋体" w:hAnsi="宋体"/>
          <w:kern w:val="0"/>
        </w:rPr>
        <w:t>1.</w:t>
      </w:r>
    </w:p>
    <w:p>
      <w:pPr>
        <w:autoSpaceDE w:val="0"/>
        <w:autoSpaceDN w:val="0"/>
        <w:adjustRightInd w:val="0"/>
        <w:spacing w:line="420" w:lineRule="exact"/>
        <w:ind w:right="-34" w:rightChars="-16"/>
        <w:jc w:val="left"/>
        <w:rPr>
          <w:rFonts w:ascii="宋体" w:hAnsi="宋体"/>
          <w:kern w:val="0"/>
        </w:rPr>
      </w:pPr>
      <w:r>
        <w:rPr>
          <w:rFonts w:ascii="宋体" w:hAnsi="宋体"/>
          <w:kern w:val="0"/>
        </w:rPr>
        <w:t>2.</w:t>
      </w:r>
    </w:p>
    <w:p>
      <w:pPr>
        <w:autoSpaceDE w:val="0"/>
        <w:autoSpaceDN w:val="0"/>
        <w:adjustRightInd w:val="0"/>
        <w:spacing w:line="420" w:lineRule="exact"/>
        <w:ind w:right="-34" w:rightChars="-16" w:firstLine="3418" w:firstLineChars="1628"/>
        <w:jc w:val="left"/>
        <w:rPr>
          <w:rFonts w:ascii="宋体" w:hAnsi="宋体"/>
          <w:kern w:val="0"/>
        </w:rPr>
      </w:pPr>
      <w:r>
        <w:rPr>
          <w:rFonts w:hint="eastAsia" w:ascii="宋体" w:hAnsi="宋体"/>
          <w:kern w:val="0"/>
        </w:rPr>
        <w:t>投标人：（盖单位章）</w:t>
      </w:r>
    </w:p>
    <w:p>
      <w:pPr>
        <w:autoSpaceDE w:val="0"/>
        <w:autoSpaceDN w:val="0"/>
        <w:adjustRightInd w:val="0"/>
        <w:spacing w:line="420" w:lineRule="exact"/>
        <w:ind w:right="-34" w:rightChars="-16" w:firstLine="3418" w:firstLineChars="1628"/>
        <w:jc w:val="left"/>
        <w:rPr>
          <w:rFonts w:ascii="宋体" w:hAnsi="宋体"/>
          <w:kern w:val="0"/>
        </w:rPr>
      </w:pPr>
      <w:r>
        <w:rPr>
          <w:rFonts w:hint="eastAsia" w:ascii="宋体" w:hAnsi="宋体"/>
          <w:kern w:val="0"/>
        </w:rPr>
        <w:t>法定代表人或其委托代理人：（签字）</w:t>
      </w:r>
    </w:p>
    <w:p>
      <w:pPr>
        <w:autoSpaceDE w:val="0"/>
        <w:autoSpaceDN w:val="0"/>
        <w:adjustRightInd w:val="0"/>
        <w:spacing w:line="420" w:lineRule="exact"/>
        <w:ind w:right="-34" w:rightChars="-16" w:firstLine="3418" w:firstLineChars="1628"/>
        <w:jc w:val="left"/>
        <w:rPr>
          <w:rFonts w:ascii="宋体" w:hAnsi="宋体"/>
          <w:kern w:val="0"/>
        </w:rPr>
      </w:pPr>
    </w:p>
    <w:p>
      <w:pPr>
        <w:autoSpaceDE w:val="0"/>
        <w:autoSpaceDN w:val="0"/>
        <w:adjustRightInd w:val="0"/>
        <w:spacing w:line="420" w:lineRule="exact"/>
        <w:ind w:right="-34" w:rightChars="-16" w:firstLine="3418" w:firstLineChars="1628"/>
        <w:jc w:val="left"/>
        <w:rPr>
          <w:rFonts w:ascii="宋体" w:hAnsi="宋体"/>
          <w:kern w:val="0"/>
        </w:rPr>
      </w:pPr>
      <w:r>
        <w:rPr>
          <w:rFonts w:hint="eastAsia"/>
          <w:kern w:val="0"/>
        </w:rPr>
        <w:t xml:space="preserve">    年    月    日</w:t>
      </w:r>
      <w:bookmarkStart w:id="663" w:name="_Toc228881188"/>
      <w:bookmarkStart w:id="664" w:name="_Toc228591684"/>
      <w:bookmarkStart w:id="665" w:name="_Toc227492271"/>
      <w:bookmarkStart w:id="666" w:name="_Toc436038199"/>
      <w:bookmarkStart w:id="667" w:name="_Toc228337125"/>
      <w:bookmarkStart w:id="668" w:name="_Toc272772601"/>
      <w:bookmarkStart w:id="669" w:name="_Toc228589190"/>
      <w:bookmarkStart w:id="670" w:name="_Toc214433914"/>
      <w:bookmarkStart w:id="671" w:name="_Toc228591536"/>
      <w:bookmarkStart w:id="672" w:name="_Toc227657514"/>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bookmarkStart w:id="673" w:name="_Toc1680"/>
      <w:bookmarkStart w:id="674" w:name="_Toc6828"/>
      <w:r>
        <w:rPr>
          <w:rFonts w:hint="eastAsia" w:ascii="黑体" w:hAnsi="新宋体" w:eastAsia="黑体"/>
          <w:color w:val="auto"/>
          <w:sz w:val="32"/>
        </w:rPr>
        <w:t>附表四：中标通知书</w:t>
      </w:r>
      <w:bookmarkEnd w:id="663"/>
      <w:bookmarkEnd w:id="664"/>
      <w:bookmarkEnd w:id="665"/>
      <w:bookmarkEnd w:id="666"/>
      <w:bookmarkEnd w:id="667"/>
      <w:bookmarkEnd w:id="668"/>
      <w:bookmarkEnd w:id="669"/>
      <w:bookmarkEnd w:id="670"/>
      <w:bookmarkEnd w:id="671"/>
      <w:bookmarkEnd w:id="672"/>
      <w:bookmarkEnd w:id="673"/>
      <w:bookmarkEnd w:id="674"/>
    </w:p>
    <w:p>
      <w:pPr>
        <w:ind w:firstLine="2640" w:firstLineChars="600"/>
        <w:rPr>
          <w:rFonts w:ascii="楷体_GB2312" w:hAnsi="宋体" w:eastAsia="楷体_GB2312"/>
          <w:sz w:val="44"/>
          <w:szCs w:val="44"/>
        </w:rPr>
      </w:pPr>
      <w:r>
        <w:rPr>
          <w:rFonts w:hint="eastAsia" w:ascii="楷体_GB2312" w:hAnsi="宋体" w:eastAsia="楷体_GB2312"/>
          <w:sz w:val="44"/>
          <w:szCs w:val="44"/>
        </w:rPr>
        <w:t>中 标 通 知 书</w:t>
      </w:r>
    </w:p>
    <w:p>
      <w:pPr>
        <w:ind w:firstLine="960" w:firstLineChars="400"/>
        <w:rPr>
          <w:rFonts w:ascii="仿宋_GB2312" w:eastAsia="仿宋_GB2312"/>
          <w:sz w:val="30"/>
          <w:szCs w:val="30"/>
        </w:rPr>
      </w:pPr>
      <w:r>
        <w:rPr>
          <w:rFonts w:hint="eastAsia" w:ascii="宋体" w:hAnsi="宋体"/>
          <w:sz w:val="24"/>
        </w:rPr>
        <w:t>编号</w:t>
      </w:r>
      <w:r>
        <w:rPr>
          <w:rFonts w:hint="eastAsia" w:ascii="仿宋_GB2312" w:eastAsia="仿宋_GB2312"/>
          <w:sz w:val="30"/>
          <w:szCs w:val="30"/>
        </w:rPr>
        <w:t>：</w:t>
      </w:r>
    </w:p>
    <w:p>
      <w:pPr>
        <w:spacing w:line="500" w:lineRule="exact"/>
        <w:rPr>
          <w:rFonts w:ascii="宋体" w:hAnsi="宋体"/>
          <w:sz w:val="24"/>
        </w:rPr>
      </w:pPr>
    </w:p>
    <w:p>
      <w:pPr>
        <w:spacing w:line="500" w:lineRule="exact"/>
        <w:rPr>
          <w:rFonts w:ascii="宋体" w:hAnsi="宋体"/>
          <w:sz w:val="24"/>
        </w:rPr>
      </w:pPr>
    </w:p>
    <w:p>
      <w:pPr>
        <w:spacing w:line="500" w:lineRule="exact"/>
        <w:rPr>
          <w:rFonts w:ascii="宋体" w:hAnsi="宋体"/>
          <w:sz w:val="24"/>
          <w:u w:val="single"/>
        </w:rPr>
      </w:pPr>
      <w:r>
        <w:rPr>
          <w:rFonts w:hint="eastAsia" w:ascii="宋体" w:hAnsi="宋体"/>
          <w:sz w:val="24"/>
        </w:rPr>
        <w:t xml:space="preserve">     根据工程招标文件和你公司于年月日递交的投标文件，经评标委员会按照《中华人民共和国招标投标法》及招标文件确定的评标标准和方法，已完成评审、中标候选人公示等工作，确定你公司中标，中标内容及条件如下：</w:t>
      </w:r>
    </w:p>
    <w:p>
      <w:pPr>
        <w:spacing w:line="500" w:lineRule="exact"/>
        <w:ind w:firstLine="480" w:firstLineChars="200"/>
        <w:rPr>
          <w:rFonts w:ascii="宋体" w:hAnsi="宋体"/>
          <w:sz w:val="24"/>
        </w:rPr>
      </w:pPr>
      <w:r>
        <w:rPr>
          <w:rFonts w:hint="eastAsia" w:ascii="宋体" w:hAnsi="宋体"/>
          <w:sz w:val="24"/>
        </w:rPr>
        <w:t xml:space="preserve">中标价：元。其中，安全文明施工措施费元，    </w:t>
      </w:r>
    </w:p>
    <w:p>
      <w:pPr>
        <w:spacing w:line="500" w:lineRule="exact"/>
        <w:ind w:firstLine="480" w:firstLineChars="200"/>
        <w:rPr>
          <w:rFonts w:ascii="宋体" w:hAnsi="宋体"/>
          <w:sz w:val="24"/>
        </w:rPr>
      </w:pPr>
      <w:r>
        <w:rPr>
          <w:rFonts w:hint="eastAsia" w:ascii="宋体" w:hAnsi="宋体"/>
          <w:sz w:val="24"/>
        </w:rPr>
        <w:t>社会保障费元。</w:t>
      </w:r>
    </w:p>
    <w:p>
      <w:pPr>
        <w:spacing w:line="500" w:lineRule="exact"/>
        <w:ind w:firstLine="480" w:firstLineChars="200"/>
        <w:rPr>
          <w:rFonts w:ascii="宋体" w:hAnsi="宋体"/>
          <w:sz w:val="24"/>
        </w:rPr>
      </w:pPr>
      <w:r>
        <w:rPr>
          <w:rFonts w:hint="eastAsia" w:ascii="宋体" w:hAnsi="宋体"/>
          <w:sz w:val="24"/>
        </w:rPr>
        <w:t>中标工期：日历天。</w:t>
      </w:r>
    </w:p>
    <w:p>
      <w:pPr>
        <w:spacing w:line="500" w:lineRule="exact"/>
        <w:rPr>
          <w:rFonts w:ascii="宋体" w:hAnsi="宋体"/>
          <w:sz w:val="24"/>
        </w:rPr>
      </w:pPr>
      <w:r>
        <w:rPr>
          <w:rFonts w:hint="eastAsia" w:ascii="宋体" w:hAnsi="宋体"/>
          <w:sz w:val="24"/>
        </w:rPr>
        <w:t xml:space="preserve">    质量目标：。</w:t>
      </w:r>
    </w:p>
    <w:p>
      <w:pPr>
        <w:spacing w:line="500" w:lineRule="exact"/>
        <w:ind w:firstLine="480"/>
        <w:rPr>
          <w:rFonts w:ascii="宋体" w:hAnsi="宋体"/>
          <w:sz w:val="24"/>
        </w:rPr>
      </w:pPr>
      <w:r>
        <w:rPr>
          <w:rFonts w:hint="eastAsia" w:ascii="宋体" w:hAnsi="宋体"/>
          <w:sz w:val="24"/>
        </w:rPr>
        <w:t>项目负责人：，注册师。</w:t>
      </w:r>
    </w:p>
    <w:p>
      <w:pPr>
        <w:spacing w:line="500" w:lineRule="exact"/>
        <w:ind w:firstLine="480"/>
        <w:rPr>
          <w:rFonts w:ascii="宋体" w:hAnsi="宋体"/>
          <w:sz w:val="24"/>
        </w:rPr>
      </w:pPr>
      <w:r>
        <w:rPr>
          <w:rFonts w:hint="eastAsia" w:ascii="宋体" w:hAnsi="宋体"/>
          <w:sz w:val="24"/>
        </w:rPr>
        <w:t>技术负责人：，职称：。</w:t>
      </w:r>
    </w:p>
    <w:p>
      <w:pPr>
        <w:spacing w:line="500" w:lineRule="exact"/>
        <w:rPr>
          <w:rFonts w:ascii="宋体" w:hAnsi="宋体"/>
          <w:sz w:val="24"/>
          <w:u w:val="single"/>
        </w:rPr>
      </w:pPr>
      <w:r>
        <w:rPr>
          <w:rFonts w:hint="eastAsia" w:ascii="宋体" w:hAnsi="宋体"/>
          <w:sz w:val="24"/>
        </w:rPr>
        <w:t xml:space="preserve">    请收到本通知书后，及时到我单位签订建设工程</w:t>
      </w:r>
      <w:r>
        <w:rPr>
          <w:rFonts w:hint="eastAsia" w:ascii="宋体" w:hAnsi="宋体" w:cs="宋体"/>
          <w:sz w:val="24"/>
          <w:u w:val="single"/>
        </w:rPr>
        <w:t></w:t>
      </w:r>
      <w:r>
        <w:rPr>
          <w:rFonts w:hint="eastAsia" w:ascii="宋体" w:hAnsi="宋体"/>
          <w:sz w:val="24"/>
        </w:rPr>
        <w:t>合同，并在合同签订后7日内，到建设行政主管部门进行合同备案。</w:t>
      </w:r>
    </w:p>
    <w:p>
      <w:pPr>
        <w:spacing w:line="600" w:lineRule="exact"/>
        <w:ind w:firstLine="3645" w:firstLineChars="1519"/>
        <w:rPr>
          <w:rFonts w:ascii="宋体" w:hAnsi="宋体"/>
          <w:sz w:val="24"/>
        </w:rPr>
      </w:pPr>
      <w:r>
        <w:rPr>
          <w:rFonts w:hint="eastAsia" w:ascii="宋体" w:hAnsi="宋体"/>
          <w:sz w:val="24"/>
        </w:rPr>
        <w:t>招  标 人：（盖章）</w:t>
      </w:r>
    </w:p>
    <w:p>
      <w:pPr>
        <w:spacing w:line="600" w:lineRule="exact"/>
        <w:rPr>
          <w:rFonts w:ascii="宋体" w:hAnsi="宋体"/>
          <w:sz w:val="24"/>
        </w:rPr>
      </w:pPr>
      <w:r>
        <w:rPr>
          <w:rFonts w:hint="eastAsia" w:ascii="宋体" w:hAnsi="宋体"/>
          <w:sz w:val="24"/>
        </w:rPr>
        <w:t xml:space="preserve">                              法定代表人：（签字）</w:t>
      </w:r>
    </w:p>
    <w:p>
      <w:pPr>
        <w:spacing w:line="360" w:lineRule="exact"/>
        <w:rPr>
          <w:rFonts w:ascii="宋体" w:hAnsi="宋体"/>
          <w:sz w:val="24"/>
          <w:u w:val="single"/>
        </w:rPr>
      </w:pPr>
      <w:r>
        <w:rPr>
          <w:rFonts w:hint="eastAsia" w:ascii="宋体" w:hAnsi="宋体"/>
          <w:sz w:val="24"/>
        </w:rPr>
        <w:t xml:space="preserve">                              招标代理机构：（盖章）</w:t>
      </w:r>
    </w:p>
    <w:p>
      <w:pPr>
        <w:spacing w:line="600" w:lineRule="exact"/>
        <w:rPr>
          <w:rFonts w:ascii="宋体" w:hAnsi="宋体"/>
          <w:sz w:val="24"/>
        </w:rPr>
      </w:pPr>
      <w:r>
        <w:rPr>
          <w:rFonts w:hint="eastAsia" w:ascii="宋体" w:hAnsi="宋体"/>
          <w:sz w:val="24"/>
        </w:rPr>
        <w:t xml:space="preserve">                               法定代表人  ：（签字）</w:t>
      </w:r>
    </w:p>
    <w:p>
      <w:pPr>
        <w:spacing w:line="500" w:lineRule="exact"/>
        <w:rPr>
          <w:rFonts w:ascii="宋体" w:hAnsi="宋体"/>
          <w:sz w:val="24"/>
        </w:rPr>
      </w:pPr>
      <w:r>
        <w:rPr>
          <w:rFonts w:hint="eastAsia" w:ascii="宋体" w:hAnsi="宋体"/>
          <w:sz w:val="24"/>
        </w:rPr>
        <w:t xml:space="preserve">                                     日  期：       年     月    日</w:t>
      </w:r>
    </w:p>
    <w:p>
      <w:pPr>
        <w:pStyle w:val="69"/>
        <w:spacing w:line="420" w:lineRule="exact"/>
        <w:ind w:right="-34" w:rightChars="-16"/>
        <w:jc w:val="both"/>
        <w:outlineLvl w:val="0"/>
        <w:rPr>
          <w:rFonts w:ascii="黑体" w:hAnsi="新宋体" w:eastAsia="黑体"/>
          <w:color w:val="auto"/>
          <w:sz w:val="32"/>
        </w:rPr>
      </w:pPr>
      <w:bookmarkStart w:id="675" w:name="_Toc214433915"/>
      <w:bookmarkStart w:id="676" w:name="_Toc228337126"/>
      <w:bookmarkStart w:id="677" w:name="_Toc228881189"/>
      <w:bookmarkStart w:id="678" w:name="_Toc227657515"/>
      <w:bookmarkStart w:id="679" w:name="_Toc228591537"/>
      <w:bookmarkStart w:id="680" w:name="_Toc272772602"/>
      <w:bookmarkStart w:id="681" w:name="_Toc228591685"/>
      <w:bookmarkStart w:id="682" w:name="_Toc436038200"/>
      <w:bookmarkStart w:id="683" w:name="_Toc228589191"/>
      <w:bookmarkStart w:id="684" w:name="_Toc227492272"/>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p>
    <w:p>
      <w:pPr>
        <w:pStyle w:val="69"/>
        <w:spacing w:line="420" w:lineRule="exact"/>
        <w:ind w:right="-34" w:rightChars="-16"/>
        <w:jc w:val="both"/>
        <w:outlineLvl w:val="0"/>
        <w:rPr>
          <w:rFonts w:ascii="黑体" w:hAnsi="新宋体" w:eastAsia="黑体"/>
          <w:color w:val="auto"/>
          <w:sz w:val="32"/>
        </w:rPr>
      </w:pPr>
      <w:bookmarkStart w:id="685" w:name="_Toc26374"/>
      <w:bookmarkStart w:id="686" w:name="_Toc21094"/>
      <w:r>
        <w:rPr>
          <w:rFonts w:hint="eastAsia" w:ascii="黑体" w:hAnsi="新宋体" w:eastAsia="黑体"/>
          <w:color w:val="auto"/>
          <w:sz w:val="32"/>
        </w:rPr>
        <w:t>附表五：中标结果通知书</w:t>
      </w:r>
      <w:bookmarkEnd w:id="675"/>
      <w:bookmarkEnd w:id="676"/>
      <w:bookmarkEnd w:id="677"/>
      <w:bookmarkEnd w:id="678"/>
      <w:bookmarkEnd w:id="679"/>
      <w:bookmarkEnd w:id="680"/>
      <w:bookmarkEnd w:id="681"/>
      <w:bookmarkEnd w:id="682"/>
      <w:bookmarkEnd w:id="683"/>
      <w:bookmarkEnd w:id="684"/>
      <w:bookmarkEnd w:id="685"/>
      <w:bookmarkEnd w:id="686"/>
    </w:p>
    <w:p>
      <w:pPr>
        <w:autoSpaceDE w:val="0"/>
        <w:autoSpaceDN w:val="0"/>
        <w:adjustRightInd w:val="0"/>
        <w:spacing w:line="420" w:lineRule="exact"/>
        <w:ind w:right="-34" w:rightChars="-16"/>
        <w:jc w:val="left"/>
        <w:rPr>
          <w:rFonts w:ascii="宋体" w:hAnsi="宋体"/>
          <w:kern w:val="0"/>
          <w:sz w:val="24"/>
        </w:rPr>
      </w:pPr>
    </w:p>
    <w:p>
      <w:pPr>
        <w:autoSpaceDE w:val="0"/>
        <w:autoSpaceDN w:val="0"/>
        <w:adjustRightInd w:val="0"/>
        <w:spacing w:line="420" w:lineRule="exact"/>
        <w:ind w:right="-34" w:rightChars="-16"/>
        <w:jc w:val="center"/>
        <w:rPr>
          <w:rFonts w:ascii="黑体" w:hAnsi="新宋体" w:eastAsia="黑体"/>
          <w:kern w:val="0"/>
          <w:sz w:val="28"/>
        </w:rPr>
      </w:pPr>
      <w:r>
        <w:rPr>
          <w:rFonts w:hint="eastAsia" w:ascii="黑体" w:hAnsi="新宋体" w:eastAsia="黑体"/>
          <w:kern w:val="0"/>
          <w:sz w:val="28"/>
        </w:rPr>
        <w:t>中标结果通知书</w:t>
      </w:r>
    </w:p>
    <w:p>
      <w:pPr>
        <w:autoSpaceDE w:val="0"/>
        <w:autoSpaceDN w:val="0"/>
        <w:adjustRightInd w:val="0"/>
        <w:spacing w:line="420" w:lineRule="exact"/>
        <w:ind w:right="-34" w:rightChars="-16"/>
        <w:jc w:val="left"/>
        <w:rPr>
          <w:rFonts w:ascii="宋体" w:hAnsi="宋体"/>
          <w:kern w:val="0"/>
        </w:rPr>
      </w:pPr>
      <w:r>
        <w:rPr>
          <w:rFonts w:hint="eastAsia" w:ascii="宋体" w:hAnsi="宋体"/>
          <w:kern w:val="0"/>
        </w:rPr>
        <w:t>（未中标人名称）：</w:t>
      </w:r>
    </w:p>
    <w:p>
      <w:pPr>
        <w:autoSpaceDE w:val="0"/>
        <w:autoSpaceDN w:val="0"/>
        <w:adjustRightInd w:val="0"/>
        <w:spacing w:line="420" w:lineRule="exact"/>
        <w:ind w:right="-34" w:rightChars="-16" w:firstLine="420" w:firstLineChars="200"/>
        <w:jc w:val="left"/>
        <w:rPr>
          <w:rFonts w:ascii="宋体" w:hAnsi="宋体"/>
          <w:kern w:val="0"/>
        </w:rPr>
      </w:pPr>
      <w:r>
        <w:rPr>
          <w:rFonts w:hint="eastAsia" w:ascii="宋体" w:hAnsi="宋体"/>
          <w:kern w:val="0"/>
        </w:rPr>
        <w:t>我方已接受（中标人名称）于（投标日期）所递交的（项目名称）施工投标文件，确定（中标人名称）为中标人。</w:t>
      </w:r>
    </w:p>
    <w:p>
      <w:pPr>
        <w:autoSpaceDE w:val="0"/>
        <w:autoSpaceDN w:val="0"/>
        <w:adjustRightInd w:val="0"/>
        <w:spacing w:line="420" w:lineRule="exact"/>
        <w:ind w:right="-34" w:rightChars="-16" w:firstLine="420" w:firstLineChars="200"/>
        <w:jc w:val="left"/>
        <w:rPr>
          <w:rFonts w:ascii="宋体" w:hAnsi="宋体"/>
          <w:kern w:val="0"/>
        </w:rPr>
      </w:pPr>
      <w:r>
        <w:rPr>
          <w:rFonts w:hint="eastAsia" w:ascii="宋体" w:hAnsi="宋体"/>
          <w:kern w:val="0"/>
        </w:rPr>
        <w:t>感谢你单位对我们工作的大力支持！</w:t>
      </w:r>
    </w:p>
    <w:p>
      <w:pPr>
        <w:autoSpaceDE w:val="0"/>
        <w:autoSpaceDN w:val="0"/>
        <w:adjustRightInd w:val="0"/>
        <w:spacing w:line="420" w:lineRule="exact"/>
        <w:ind w:right="-34" w:rightChars="-16" w:firstLine="4678" w:firstLineChars="2228"/>
        <w:jc w:val="left"/>
        <w:rPr>
          <w:rFonts w:ascii="宋体" w:hAnsi="宋体"/>
          <w:kern w:val="0"/>
        </w:rPr>
      </w:pPr>
      <w:r>
        <w:rPr>
          <w:rFonts w:hint="eastAsia" w:ascii="宋体" w:hAnsi="宋体"/>
          <w:kern w:val="0"/>
        </w:rPr>
        <w:t>招标人：（盖单位章）</w:t>
      </w:r>
    </w:p>
    <w:p>
      <w:pPr>
        <w:autoSpaceDE w:val="0"/>
        <w:autoSpaceDN w:val="0"/>
        <w:adjustRightInd w:val="0"/>
        <w:spacing w:line="420" w:lineRule="exact"/>
        <w:ind w:right="-34" w:rightChars="-16" w:firstLine="4678" w:firstLineChars="2228"/>
        <w:jc w:val="left"/>
        <w:rPr>
          <w:rFonts w:ascii="宋体" w:hAnsi="宋体"/>
          <w:kern w:val="0"/>
        </w:rPr>
      </w:pPr>
      <w:r>
        <w:rPr>
          <w:rFonts w:hint="eastAsia" w:ascii="宋体" w:hAnsi="宋体"/>
          <w:kern w:val="0"/>
        </w:rPr>
        <w:t>法定代表人：（签字）</w:t>
      </w:r>
    </w:p>
    <w:p>
      <w:pPr>
        <w:autoSpaceDE w:val="0"/>
        <w:autoSpaceDN w:val="0"/>
        <w:adjustRightInd w:val="0"/>
        <w:spacing w:line="420" w:lineRule="exact"/>
        <w:ind w:right="-34" w:rightChars="-16" w:firstLine="4678" w:firstLineChars="2228"/>
        <w:jc w:val="left"/>
        <w:rPr>
          <w:rFonts w:ascii="宋体" w:hAnsi="宋体"/>
          <w:kern w:val="0"/>
        </w:rPr>
      </w:pPr>
      <w:r>
        <w:rPr>
          <w:rFonts w:hint="eastAsia" w:ascii="宋体" w:hAnsi="宋体"/>
          <w:kern w:val="0"/>
        </w:rPr>
        <w:t>年月日</w:t>
      </w: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firstLine="4678" w:firstLineChars="2228"/>
        <w:jc w:val="left"/>
        <w:rPr>
          <w:rFonts w:ascii="宋体" w:hAnsi="宋体"/>
          <w:kern w:val="0"/>
        </w:rPr>
      </w:pPr>
    </w:p>
    <w:p>
      <w:pPr>
        <w:autoSpaceDE w:val="0"/>
        <w:autoSpaceDN w:val="0"/>
        <w:adjustRightInd w:val="0"/>
        <w:spacing w:line="420" w:lineRule="exact"/>
        <w:ind w:right="-34" w:rightChars="-16"/>
        <w:jc w:val="left"/>
        <w:rPr>
          <w:rFonts w:ascii="宋体" w:hAnsi="宋体"/>
          <w:kern w:val="0"/>
        </w:rPr>
      </w:pPr>
    </w:p>
    <w:p>
      <w:pPr>
        <w:pStyle w:val="2"/>
        <w:ind w:left="63" w:right="63" w:firstLine="400"/>
      </w:pPr>
    </w:p>
    <w:p>
      <w:pPr>
        <w:autoSpaceDE w:val="0"/>
        <w:autoSpaceDN w:val="0"/>
        <w:adjustRightInd w:val="0"/>
        <w:spacing w:line="420" w:lineRule="exact"/>
        <w:ind w:right="-34" w:rightChars="-16" w:firstLine="4678" w:firstLineChars="2228"/>
        <w:jc w:val="left"/>
        <w:rPr>
          <w:rFonts w:ascii="宋体" w:hAnsi="宋体"/>
          <w:kern w:val="0"/>
        </w:rPr>
      </w:pPr>
    </w:p>
    <w:p>
      <w:pPr>
        <w:pStyle w:val="2"/>
        <w:ind w:left="63" w:right="63" w:firstLine="400"/>
      </w:pPr>
    </w:p>
    <w:p>
      <w:pPr>
        <w:pStyle w:val="44"/>
      </w:pPr>
    </w:p>
    <w:p>
      <w:pPr>
        <w:pStyle w:val="69"/>
        <w:spacing w:line="420" w:lineRule="exact"/>
        <w:ind w:right="-34" w:rightChars="-16"/>
        <w:jc w:val="both"/>
        <w:outlineLvl w:val="0"/>
        <w:rPr>
          <w:rFonts w:ascii="黑体" w:hAnsi="新宋体" w:eastAsia="黑体"/>
          <w:color w:val="auto"/>
          <w:sz w:val="32"/>
        </w:rPr>
      </w:pPr>
      <w:bookmarkStart w:id="687" w:name="_Toc228881190"/>
      <w:bookmarkStart w:id="688" w:name="_Toc5716"/>
      <w:bookmarkStart w:id="689" w:name="_Toc436038201"/>
      <w:bookmarkStart w:id="690" w:name="_Toc227492273"/>
      <w:bookmarkStart w:id="691" w:name="_Toc228591538"/>
      <w:bookmarkStart w:id="692" w:name="_Toc7032"/>
      <w:bookmarkStart w:id="693" w:name="_Toc214433916"/>
      <w:bookmarkStart w:id="694" w:name="_Toc228591686"/>
      <w:bookmarkStart w:id="695" w:name="_Toc228337127"/>
      <w:bookmarkStart w:id="696" w:name="_Toc272772603"/>
      <w:bookmarkStart w:id="697" w:name="_Toc227657516"/>
      <w:bookmarkStart w:id="698" w:name="_Toc228589192"/>
      <w:r>
        <w:rPr>
          <w:rFonts w:hint="eastAsia" w:ascii="黑体" w:hAnsi="新宋体" w:eastAsia="黑体"/>
          <w:color w:val="auto"/>
          <w:sz w:val="32"/>
        </w:rPr>
        <w:t>附表六：确认通知</w:t>
      </w:r>
      <w:bookmarkEnd w:id="687"/>
      <w:bookmarkEnd w:id="688"/>
      <w:bookmarkEnd w:id="689"/>
      <w:bookmarkEnd w:id="690"/>
      <w:bookmarkEnd w:id="691"/>
      <w:bookmarkEnd w:id="692"/>
      <w:bookmarkEnd w:id="693"/>
      <w:bookmarkEnd w:id="694"/>
      <w:bookmarkEnd w:id="695"/>
      <w:bookmarkEnd w:id="696"/>
      <w:bookmarkEnd w:id="697"/>
      <w:bookmarkEnd w:id="698"/>
    </w:p>
    <w:p>
      <w:pPr>
        <w:autoSpaceDE w:val="0"/>
        <w:autoSpaceDN w:val="0"/>
        <w:adjustRightInd w:val="0"/>
        <w:spacing w:line="420" w:lineRule="exact"/>
        <w:ind w:right="-34" w:rightChars="-16"/>
        <w:jc w:val="left"/>
        <w:rPr>
          <w:rFonts w:ascii="宋体" w:hAnsi="宋体"/>
          <w:kern w:val="0"/>
          <w:sz w:val="24"/>
        </w:rPr>
      </w:pPr>
    </w:p>
    <w:p>
      <w:pPr>
        <w:autoSpaceDE w:val="0"/>
        <w:autoSpaceDN w:val="0"/>
        <w:adjustRightInd w:val="0"/>
        <w:spacing w:line="420" w:lineRule="exact"/>
        <w:ind w:right="-34" w:rightChars="-16"/>
        <w:jc w:val="left"/>
        <w:rPr>
          <w:rFonts w:ascii="宋体" w:hAnsi="宋体"/>
          <w:kern w:val="0"/>
          <w:sz w:val="24"/>
        </w:rPr>
      </w:pPr>
    </w:p>
    <w:p>
      <w:pPr>
        <w:autoSpaceDE w:val="0"/>
        <w:autoSpaceDN w:val="0"/>
        <w:adjustRightInd w:val="0"/>
        <w:spacing w:line="420" w:lineRule="exact"/>
        <w:ind w:right="-34" w:rightChars="-16"/>
        <w:jc w:val="center"/>
        <w:rPr>
          <w:rFonts w:ascii="黑体" w:hAnsi="新宋体" w:eastAsia="黑体"/>
          <w:kern w:val="0"/>
          <w:sz w:val="28"/>
        </w:rPr>
      </w:pPr>
      <w:r>
        <w:rPr>
          <w:rFonts w:hint="eastAsia" w:ascii="黑体" w:hAnsi="新宋体" w:eastAsia="黑体"/>
          <w:kern w:val="0"/>
          <w:sz w:val="28"/>
        </w:rPr>
        <w:t>确认通知</w:t>
      </w:r>
    </w:p>
    <w:p>
      <w:pPr>
        <w:autoSpaceDE w:val="0"/>
        <w:autoSpaceDN w:val="0"/>
        <w:adjustRightInd w:val="0"/>
        <w:spacing w:line="420" w:lineRule="exact"/>
        <w:ind w:right="-34" w:rightChars="-16"/>
        <w:jc w:val="center"/>
        <w:rPr>
          <w:rFonts w:ascii="宋体" w:hAnsi="宋体"/>
          <w:kern w:val="0"/>
          <w:sz w:val="28"/>
        </w:rPr>
      </w:pPr>
    </w:p>
    <w:p>
      <w:pPr>
        <w:autoSpaceDE w:val="0"/>
        <w:autoSpaceDN w:val="0"/>
        <w:adjustRightInd w:val="0"/>
        <w:spacing w:line="420" w:lineRule="exact"/>
        <w:ind w:right="-34" w:rightChars="-16"/>
        <w:jc w:val="left"/>
        <w:rPr>
          <w:rFonts w:ascii="宋体" w:hAnsi="宋体"/>
          <w:kern w:val="0"/>
        </w:rPr>
      </w:pPr>
      <w:r>
        <w:rPr>
          <w:rFonts w:hint="eastAsia" w:ascii="宋体" w:hAnsi="宋体"/>
          <w:kern w:val="0"/>
        </w:rPr>
        <w:t>（招标人名称）：</w:t>
      </w:r>
    </w:p>
    <w:p>
      <w:pPr>
        <w:autoSpaceDE w:val="0"/>
        <w:autoSpaceDN w:val="0"/>
        <w:adjustRightInd w:val="0"/>
        <w:spacing w:line="420" w:lineRule="exact"/>
        <w:ind w:right="-34" w:rightChars="-16"/>
        <w:jc w:val="left"/>
        <w:rPr>
          <w:rFonts w:ascii="宋体" w:hAnsi="宋体"/>
          <w:kern w:val="0"/>
        </w:rPr>
      </w:pPr>
    </w:p>
    <w:p>
      <w:pPr>
        <w:autoSpaceDE w:val="0"/>
        <w:autoSpaceDN w:val="0"/>
        <w:adjustRightInd w:val="0"/>
        <w:spacing w:line="420" w:lineRule="exact"/>
        <w:ind w:right="-34" w:rightChars="-16" w:firstLine="420" w:firstLineChars="200"/>
        <w:jc w:val="left"/>
        <w:rPr>
          <w:rFonts w:ascii="宋体" w:hAnsi="宋体"/>
          <w:kern w:val="0"/>
        </w:rPr>
      </w:pPr>
      <w:r>
        <w:rPr>
          <w:rFonts w:hint="eastAsia" w:ascii="宋体" w:hAnsi="宋体"/>
          <w:kern w:val="0"/>
        </w:rPr>
        <w:t>我方已接到你方年月日发出的（项目名称）施工招标关于的通知，我方已于年月日收到。</w:t>
      </w:r>
    </w:p>
    <w:p>
      <w:pPr>
        <w:autoSpaceDE w:val="0"/>
        <w:autoSpaceDN w:val="0"/>
        <w:adjustRightInd w:val="0"/>
        <w:spacing w:line="420" w:lineRule="exact"/>
        <w:ind w:right="-34" w:rightChars="-16" w:firstLine="420" w:firstLineChars="200"/>
        <w:jc w:val="left"/>
        <w:rPr>
          <w:rFonts w:ascii="宋体" w:hAnsi="宋体"/>
          <w:kern w:val="0"/>
        </w:rPr>
      </w:pPr>
    </w:p>
    <w:p>
      <w:pPr>
        <w:autoSpaceDE w:val="0"/>
        <w:autoSpaceDN w:val="0"/>
        <w:adjustRightInd w:val="0"/>
        <w:spacing w:line="420" w:lineRule="exact"/>
        <w:ind w:right="-34" w:rightChars="-16" w:firstLine="420" w:firstLineChars="200"/>
        <w:jc w:val="left"/>
        <w:rPr>
          <w:rFonts w:ascii="宋体" w:hAnsi="宋体"/>
          <w:kern w:val="0"/>
        </w:rPr>
      </w:pPr>
      <w:r>
        <w:rPr>
          <w:rFonts w:hint="eastAsia" w:ascii="宋体" w:hAnsi="宋体"/>
          <w:kern w:val="0"/>
        </w:rPr>
        <w:t>特此确认。</w:t>
      </w:r>
    </w:p>
    <w:p>
      <w:pPr>
        <w:autoSpaceDE w:val="0"/>
        <w:autoSpaceDN w:val="0"/>
        <w:adjustRightInd w:val="0"/>
        <w:spacing w:line="420" w:lineRule="exact"/>
        <w:ind w:right="-34" w:rightChars="-16" w:firstLine="420" w:firstLineChars="200"/>
        <w:jc w:val="left"/>
        <w:rPr>
          <w:rFonts w:ascii="宋体" w:hAnsi="宋体"/>
          <w:kern w:val="0"/>
        </w:rPr>
      </w:pPr>
    </w:p>
    <w:p>
      <w:pPr>
        <w:autoSpaceDE w:val="0"/>
        <w:autoSpaceDN w:val="0"/>
        <w:adjustRightInd w:val="0"/>
        <w:spacing w:line="420" w:lineRule="exact"/>
        <w:ind w:right="-34" w:rightChars="-16" w:firstLine="420" w:firstLineChars="200"/>
        <w:jc w:val="left"/>
        <w:rPr>
          <w:rFonts w:ascii="宋体" w:hAnsi="宋体"/>
          <w:kern w:val="0"/>
        </w:rPr>
      </w:pPr>
    </w:p>
    <w:p>
      <w:pPr>
        <w:autoSpaceDE w:val="0"/>
        <w:autoSpaceDN w:val="0"/>
        <w:adjustRightInd w:val="0"/>
        <w:spacing w:line="420" w:lineRule="exact"/>
        <w:ind w:right="-34" w:rightChars="-16" w:firstLine="3570" w:firstLineChars="1700"/>
        <w:jc w:val="left"/>
        <w:rPr>
          <w:rFonts w:ascii="宋体" w:hAnsi="宋体"/>
          <w:kern w:val="0"/>
        </w:rPr>
      </w:pPr>
      <w:r>
        <w:rPr>
          <w:rFonts w:hint="eastAsia" w:ascii="宋体" w:hAnsi="宋体"/>
          <w:kern w:val="0"/>
        </w:rPr>
        <w:t>投标人：（盖单位章）</w:t>
      </w:r>
    </w:p>
    <w:p>
      <w:pPr>
        <w:autoSpaceDE w:val="0"/>
        <w:autoSpaceDN w:val="0"/>
        <w:adjustRightInd w:val="0"/>
        <w:spacing w:line="420" w:lineRule="exact"/>
        <w:ind w:right="-34" w:rightChars="-16" w:firstLine="3570" w:firstLineChars="1700"/>
        <w:jc w:val="left"/>
        <w:rPr>
          <w:rFonts w:ascii="宋体" w:hAnsi="宋体"/>
          <w:kern w:val="0"/>
        </w:rPr>
      </w:pPr>
      <w:r>
        <w:rPr>
          <w:rFonts w:hint="eastAsia" w:ascii="宋体" w:hAnsi="宋体"/>
          <w:kern w:val="0"/>
        </w:rPr>
        <w:t>年月日</w:t>
      </w:r>
    </w:p>
    <w:p>
      <w:pPr>
        <w:autoSpaceDE w:val="0"/>
        <w:autoSpaceDN w:val="0"/>
        <w:adjustRightInd w:val="0"/>
        <w:spacing w:line="420" w:lineRule="exact"/>
        <w:ind w:right="-34" w:rightChars="-16" w:firstLine="3570" w:firstLineChars="1700"/>
        <w:jc w:val="left"/>
        <w:rPr>
          <w:rFonts w:ascii="宋体" w:hAnsi="宋体"/>
          <w:kern w:val="0"/>
        </w:rPr>
      </w:pPr>
    </w:p>
    <w:p>
      <w:pPr>
        <w:autoSpaceDE w:val="0"/>
        <w:autoSpaceDN w:val="0"/>
        <w:adjustRightInd w:val="0"/>
        <w:spacing w:line="420" w:lineRule="exact"/>
        <w:ind w:right="-34" w:rightChars="-16" w:firstLine="3570" w:firstLineChars="1700"/>
        <w:jc w:val="left"/>
        <w:rPr>
          <w:rFonts w:ascii="宋体" w:hAnsi="宋体"/>
          <w:kern w:val="0"/>
        </w:rPr>
      </w:pPr>
    </w:p>
    <w:p>
      <w:pPr>
        <w:autoSpaceDE w:val="0"/>
        <w:autoSpaceDN w:val="0"/>
        <w:adjustRightInd w:val="0"/>
        <w:spacing w:line="420" w:lineRule="exact"/>
        <w:ind w:right="-34" w:rightChars="-16" w:firstLine="3570" w:firstLineChars="1700"/>
        <w:jc w:val="left"/>
        <w:rPr>
          <w:rFonts w:ascii="宋体" w:hAnsi="宋体"/>
          <w:kern w:val="0"/>
        </w:rPr>
      </w:pPr>
    </w:p>
    <w:p>
      <w:pPr>
        <w:autoSpaceDE w:val="0"/>
        <w:autoSpaceDN w:val="0"/>
        <w:adjustRightInd w:val="0"/>
        <w:spacing w:line="420" w:lineRule="exact"/>
        <w:ind w:right="-34" w:rightChars="-16" w:firstLine="3570" w:firstLineChars="1700"/>
        <w:jc w:val="left"/>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pStyle w:val="69"/>
        <w:rPr>
          <w:rFonts w:ascii="宋体" w:hAnsi="宋体"/>
          <w:kern w:val="0"/>
        </w:rPr>
      </w:pPr>
    </w:p>
    <w:p>
      <w:pPr>
        <w:autoSpaceDE w:val="0"/>
        <w:autoSpaceDN w:val="0"/>
        <w:adjustRightInd w:val="0"/>
        <w:spacing w:line="420" w:lineRule="exact"/>
        <w:ind w:right="-34" w:rightChars="-16" w:firstLine="3570" w:firstLineChars="1700"/>
        <w:jc w:val="left"/>
        <w:rPr>
          <w:rFonts w:ascii="宋体" w:hAnsi="宋体"/>
          <w:color w:val="0000FF"/>
          <w:kern w:val="0"/>
        </w:rPr>
      </w:pPr>
    </w:p>
    <w:p>
      <w:pPr>
        <w:rPr>
          <w:rFonts w:hint="eastAsia" w:ascii="宋体" w:hAnsi="宋体" w:eastAsia="宋体" w:cs="宋体"/>
          <w:color w:val="auto"/>
          <w:sz w:val="32"/>
          <w:szCs w:val="32"/>
        </w:rPr>
      </w:pPr>
      <w:r>
        <w:rPr>
          <w:rFonts w:hint="eastAsia" w:ascii="宋体" w:hAnsi="宋体" w:eastAsia="宋体" w:cs="宋体"/>
          <w:color w:val="auto"/>
          <w:sz w:val="28"/>
          <w:szCs w:val="28"/>
        </w:rPr>
        <w:t>附表七：备选投标方案编制要求</w:t>
      </w:r>
    </w:p>
    <w:p>
      <w:pPr>
        <w:spacing w:before="360" w:beforeLines="150" w:after="360" w:afterLines="150" w:line="48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备选投标方案编制要求</w:t>
      </w:r>
    </w:p>
    <w:p>
      <w:pPr>
        <w:spacing w:line="420" w:lineRule="exact"/>
        <w:ind w:firstLine="616" w:firstLineChars="257"/>
        <w:rPr>
          <w:rFonts w:hint="eastAsia" w:ascii="宋体" w:hAnsi="宋体" w:eastAsia="宋体" w:cs="宋体"/>
          <w:color w:val="auto"/>
          <w:sz w:val="24"/>
        </w:rPr>
      </w:pPr>
      <w:r>
        <w:rPr>
          <w:rFonts w:hint="eastAsia" w:ascii="宋体" w:hAnsi="宋体" w:eastAsia="宋体" w:cs="宋体"/>
          <w:color w:val="auto"/>
          <w:sz w:val="24"/>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pPr>
        <w:autoSpaceDE w:val="0"/>
        <w:autoSpaceDN w:val="0"/>
        <w:adjustRightInd w:val="0"/>
        <w:spacing w:line="420" w:lineRule="exact"/>
        <w:ind w:right="-34" w:rightChars="-16" w:firstLine="3570" w:firstLineChars="1700"/>
        <w:jc w:val="left"/>
        <w:rPr>
          <w:rFonts w:ascii="宋体" w:hAnsi="宋体"/>
          <w:color w:val="auto"/>
          <w:kern w:val="0"/>
        </w:rPr>
      </w:pPr>
      <w:r>
        <w:rPr>
          <w:rFonts w:hint="eastAsia" w:ascii="宋体" w:hAnsi="宋体" w:eastAsia="宋体" w:cs="宋体"/>
          <w:color w:val="auto"/>
        </w:rPr>
        <w:br w:type="page"/>
      </w:r>
    </w:p>
    <w:bookmarkEnd w:id="624"/>
    <w:bookmarkEnd w:id="625"/>
    <w:bookmarkEnd w:id="626"/>
    <w:bookmarkEnd w:id="627"/>
    <w:bookmarkEnd w:id="628"/>
    <w:bookmarkEnd w:id="629"/>
    <w:bookmarkEnd w:id="630"/>
    <w:bookmarkEnd w:id="631"/>
    <w:bookmarkEnd w:id="632"/>
    <w:bookmarkEnd w:id="633"/>
    <w:bookmarkEnd w:id="634"/>
    <w:bookmarkEnd w:id="635"/>
    <w:bookmarkEnd w:id="636"/>
    <w:p>
      <w:pPr>
        <w:autoSpaceDE w:val="0"/>
        <w:autoSpaceDN w:val="0"/>
        <w:adjustRightInd w:val="0"/>
        <w:snapToGrid w:val="0"/>
        <w:spacing w:line="360" w:lineRule="auto"/>
        <w:ind w:firstLine="1084" w:firstLineChars="300"/>
        <w:jc w:val="both"/>
        <w:outlineLvl w:val="0"/>
        <w:rPr>
          <w:rFonts w:ascii="宋体" w:hAnsi="宋体" w:cs="宋体"/>
          <w:b/>
          <w:kern w:val="0"/>
          <w:sz w:val="36"/>
        </w:rPr>
      </w:pPr>
      <w:bookmarkStart w:id="699" w:name="_Toc14472"/>
      <w:bookmarkStart w:id="700" w:name="_Toc26447452"/>
      <w:bookmarkStart w:id="701" w:name="_Toc20325"/>
      <w:bookmarkStart w:id="702" w:name="_Toc9371"/>
      <w:r>
        <w:rPr>
          <w:rFonts w:hint="eastAsia" w:ascii="宋体" w:hAnsi="宋体" w:cs="宋体"/>
          <w:b/>
          <w:kern w:val="0"/>
          <w:sz w:val="36"/>
        </w:rPr>
        <w:t>第三章 评标办法（合理低价评标法）</w:t>
      </w:r>
      <w:bookmarkEnd w:id="699"/>
    </w:p>
    <w:p>
      <w:pPr>
        <w:pStyle w:val="69"/>
        <w:snapToGrid w:val="0"/>
        <w:spacing w:line="360" w:lineRule="auto"/>
        <w:jc w:val="center"/>
        <w:outlineLvl w:val="1"/>
        <w:rPr>
          <w:rFonts w:hAnsi="宋体" w:cs="宋体"/>
          <w:b/>
          <w:bCs/>
          <w:color w:val="auto"/>
          <w:sz w:val="30"/>
          <w:szCs w:val="30"/>
        </w:rPr>
      </w:pPr>
      <w:bookmarkStart w:id="703" w:name="_Toc608"/>
      <w:bookmarkStart w:id="704" w:name="_Toc341721583"/>
      <w:bookmarkStart w:id="705" w:name="_Toc14911"/>
      <w:bookmarkStart w:id="706" w:name="_Toc21526"/>
      <w:bookmarkStart w:id="707" w:name="_Toc272772605"/>
      <w:r>
        <w:rPr>
          <w:rFonts w:hint="eastAsia" w:hAnsi="宋体" w:cs="宋体"/>
          <w:b/>
          <w:bCs/>
          <w:color w:val="auto"/>
          <w:sz w:val="30"/>
          <w:szCs w:val="30"/>
        </w:rPr>
        <w:t>评标办法前附表</w:t>
      </w:r>
      <w:bookmarkEnd w:id="703"/>
      <w:bookmarkEnd w:id="704"/>
      <w:bookmarkEnd w:id="705"/>
      <w:bookmarkEnd w:id="706"/>
      <w:bookmarkEnd w:id="707"/>
    </w:p>
    <w:tbl>
      <w:tblPr>
        <w:tblStyle w:val="46"/>
        <w:tblW w:w="9347"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752"/>
        <w:gridCol w:w="6"/>
        <w:gridCol w:w="1230"/>
        <w:gridCol w:w="639"/>
        <w:gridCol w:w="538"/>
        <w:gridCol w:w="692"/>
        <w:gridCol w:w="3329"/>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0" w:hRule="atLeast"/>
        </w:trPr>
        <w:tc>
          <w:tcPr>
            <w:tcW w:w="1545" w:type="dxa"/>
            <w:gridSpan w:val="2"/>
            <w:tcBorders>
              <w:top w:val="single" w:color="auto" w:sz="4" w:space="0"/>
              <w:left w:val="single" w:color="auto" w:sz="4" w:space="0"/>
              <w:bottom w:val="single" w:color="auto" w:sz="4" w:space="0"/>
              <w:right w:val="single" w:color="auto" w:sz="4" w:space="0"/>
            </w:tcBorders>
            <w:vAlign w:val="center"/>
          </w:tcPr>
          <w:p>
            <w:pPr>
              <w:pStyle w:val="69"/>
              <w:spacing w:line="340" w:lineRule="exact"/>
              <w:jc w:val="center"/>
              <w:rPr>
                <w:rFonts w:hAnsi="宋体" w:cs="宋体"/>
                <w:b/>
                <w:color w:val="auto"/>
                <w:sz w:val="21"/>
              </w:rPr>
            </w:pPr>
            <w:r>
              <w:rPr>
                <w:rFonts w:hint="eastAsia" w:hAnsi="宋体" w:cs="宋体"/>
                <w:b/>
                <w:color w:val="auto"/>
                <w:sz w:val="21"/>
              </w:rPr>
              <w:t>1.4</w:t>
            </w:r>
          </w:p>
        </w:tc>
        <w:tc>
          <w:tcPr>
            <w:tcW w:w="3105" w:type="dxa"/>
            <w:gridSpan w:val="5"/>
            <w:tcBorders>
              <w:top w:val="single" w:color="auto" w:sz="4" w:space="0"/>
              <w:left w:val="single" w:color="auto" w:sz="4" w:space="0"/>
              <w:bottom w:val="single" w:color="auto" w:sz="4" w:space="0"/>
              <w:right w:val="single" w:color="auto" w:sz="4" w:space="0"/>
            </w:tcBorders>
            <w:vAlign w:val="center"/>
          </w:tcPr>
          <w:p>
            <w:pPr>
              <w:pStyle w:val="69"/>
              <w:spacing w:line="340" w:lineRule="exact"/>
              <w:jc w:val="center"/>
              <w:rPr>
                <w:rFonts w:hAnsi="宋体" w:cs="宋体"/>
                <w:b/>
                <w:color w:val="auto"/>
                <w:sz w:val="21"/>
              </w:rPr>
            </w:pPr>
            <w:r>
              <w:rPr>
                <w:rFonts w:hint="eastAsia" w:hAnsi="宋体" w:cs="宋体"/>
                <w:b/>
                <w:color w:val="auto"/>
                <w:sz w:val="21"/>
              </w:rPr>
              <w:t>清标</w:t>
            </w:r>
          </w:p>
        </w:tc>
        <w:tc>
          <w:tcPr>
            <w:tcW w:w="4697" w:type="dxa"/>
            <w:gridSpan w:val="2"/>
            <w:tcBorders>
              <w:top w:val="single" w:color="auto" w:sz="4" w:space="0"/>
              <w:left w:val="single" w:color="auto" w:sz="4" w:space="0"/>
              <w:bottom w:val="single" w:color="auto" w:sz="4" w:space="0"/>
              <w:right w:val="single" w:color="auto" w:sz="4" w:space="0"/>
            </w:tcBorders>
            <w:vAlign w:val="center"/>
          </w:tcPr>
          <w:p>
            <w:pPr>
              <w:pStyle w:val="69"/>
              <w:spacing w:line="320" w:lineRule="exact"/>
              <w:jc w:val="both"/>
              <w:rPr>
                <w:rFonts w:hAnsi="宋体" w:cs="宋体"/>
                <w:b/>
                <w:color w:val="auto"/>
                <w:sz w:val="21"/>
                <w:szCs w:val="21"/>
              </w:rPr>
            </w:pPr>
            <w:r>
              <w:rPr>
                <w:rFonts w:hint="eastAsia" w:hAnsi="宋体" w:cs="宋体"/>
                <w:color w:val="auto"/>
                <w:sz w:val="21"/>
                <w:szCs w:val="21"/>
              </w:rPr>
              <w:t>评标委员会（清标工作小组）对投标人的投标文件进行初步评审和详细评审前，首先对投标人的投标内容进行基础数据分析与整理（即清标）。评标委员会对清标结果审议后认为有必要由投标人进行书面澄清、说明的，可要求投标人进行书面澄清、说明，投标人拒绝澄清、说明或澄清、说明未被评委会认可的，其投标文件按无效标处理。投标文件清标不合格、评标委员会要求投标人进行澄清、说明而投标人拒绝澄清、说明或其澄清、说明未被评委会（清标工作小组）认可的，评标委员会不再对其进行下一步的评审。</w:t>
            </w:r>
            <w:r>
              <w:rPr>
                <w:rFonts w:hint="eastAsia" w:hAnsi="宋体" w:cs="宋体"/>
                <w:b/>
                <w:color w:val="auto"/>
                <w:sz w:val="21"/>
                <w:szCs w:val="21"/>
              </w:rPr>
              <w:t>（清标内容见本章后附件）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45" w:type="dxa"/>
            <w:gridSpan w:val="2"/>
            <w:tcBorders>
              <w:top w:val="single" w:color="auto" w:sz="4" w:space="0"/>
              <w:left w:val="single" w:color="auto" w:sz="4" w:space="0"/>
              <w:bottom w:val="single" w:color="auto" w:sz="4" w:space="0"/>
              <w:right w:val="single" w:color="auto" w:sz="4" w:space="0"/>
            </w:tcBorders>
            <w:vAlign w:val="center"/>
          </w:tcPr>
          <w:p>
            <w:pPr>
              <w:pStyle w:val="69"/>
              <w:spacing w:line="380" w:lineRule="exact"/>
              <w:jc w:val="center"/>
              <w:rPr>
                <w:rFonts w:hAnsi="宋体" w:cs="宋体"/>
                <w:b/>
                <w:color w:val="auto"/>
                <w:sz w:val="21"/>
              </w:rPr>
            </w:pPr>
            <w:r>
              <w:rPr>
                <w:rFonts w:hint="eastAsia" w:hAnsi="宋体" w:cs="宋体"/>
                <w:b/>
                <w:color w:val="auto"/>
                <w:sz w:val="21"/>
              </w:rPr>
              <w:t>条款号</w:t>
            </w:r>
          </w:p>
        </w:tc>
        <w:tc>
          <w:tcPr>
            <w:tcW w:w="3105" w:type="dxa"/>
            <w:gridSpan w:val="5"/>
            <w:tcBorders>
              <w:top w:val="single" w:color="auto" w:sz="4" w:space="0"/>
              <w:left w:val="single" w:color="auto" w:sz="4" w:space="0"/>
              <w:bottom w:val="single" w:color="auto" w:sz="4" w:space="0"/>
              <w:right w:val="single" w:color="auto" w:sz="4" w:space="0"/>
            </w:tcBorders>
            <w:vAlign w:val="center"/>
          </w:tcPr>
          <w:p>
            <w:pPr>
              <w:pStyle w:val="69"/>
              <w:spacing w:line="380" w:lineRule="exact"/>
              <w:jc w:val="center"/>
              <w:rPr>
                <w:rFonts w:hAnsi="宋体" w:cs="宋体"/>
                <w:b/>
                <w:color w:val="auto"/>
                <w:sz w:val="21"/>
              </w:rPr>
            </w:pPr>
            <w:r>
              <w:rPr>
                <w:rFonts w:hint="eastAsia" w:hAnsi="宋体" w:cs="宋体"/>
                <w:b/>
                <w:color w:val="auto"/>
                <w:sz w:val="21"/>
              </w:rPr>
              <w:t>评审因素</w:t>
            </w:r>
          </w:p>
        </w:tc>
        <w:tc>
          <w:tcPr>
            <w:tcW w:w="4697" w:type="dxa"/>
            <w:gridSpan w:val="2"/>
            <w:tcBorders>
              <w:top w:val="single" w:color="auto" w:sz="4" w:space="0"/>
              <w:left w:val="single" w:color="auto" w:sz="4" w:space="0"/>
              <w:bottom w:val="single" w:color="auto" w:sz="4" w:space="0"/>
              <w:right w:val="single" w:color="auto" w:sz="4" w:space="0"/>
            </w:tcBorders>
            <w:vAlign w:val="center"/>
          </w:tcPr>
          <w:p>
            <w:pPr>
              <w:pStyle w:val="69"/>
              <w:spacing w:line="380" w:lineRule="exact"/>
              <w:jc w:val="center"/>
              <w:rPr>
                <w:rFonts w:hAnsi="宋体" w:cs="宋体"/>
                <w:b/>
                <w:color w:val="auto"/>
                <w:sz w:val="21"/>
              </w:rPr>
            </w:pPr>
            <w:r>
              <w:rPr>
                <w:rFonts w:hint="eastAsia" w:hAnsi="宋体" w:cs="宋体"/>
                <w:b/>
                <w:color w:val="auto"/>
                <w:sz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restart"/>
            <w:vAlign w:val="center"/>
          </w:tcPr>
          <w:p>
            <w:pPr>
              <w:pStyle w:val="69"/>
              <w:spacing w:line="380" w:lineRule="exact"/>
              <w:jc w:val="center"/>
              <w:rPr>
                <w:rFonts w:hAnsi="宋体" w:cs="宋体"/>
                <w:color w:val="auto"/>
                <w:sz w:val="21"/>
              </w:rPr>
            </w:pPr>
            <w:r>
              <w:rPr>
                <w:rFonts w:hint="eastAsia" w:hAnsi="宋体" w:cs="宋体"/>
                <w:color w:val="auto"/>
                <w:sz w:val="21"/>
              </w:rPr>
              <w:t>2.1.1</w:t>
            </w:r>
          </w:p>
        </w:tc>
        <w:tc>
          <w:tcPr>
            <w:tcW w:w="752" w:type="dxa"/>
            <w:vMerge w:val="restart"/>
            <w:vAlign w:val="center"/>
          </w:tcPr>
          <w:p>
            <w:pPr>
              <w:pStyle w:val="69"/>
              <w:spacing w:line="380" w:lineRule="exact"/>
              <w:jc w:val="center"/>
              <w:rPr>
                <w:rFonts w:hAnsi="宋体" w:cs="宋体"/>
                <w:color w:val="auto"/>
                <w:sz w:val="21"/>
              </w:rPr>
            </w:pPr>
            <w:r>
              <w:rPr>
                <w:rFonts w:hint="eastAsia" w:hAnsi="宋体" w:cs="宋体"/>
                <w:color w:val="auto"/>
                <w:sz w:val="21"/>
              </w:rPr>
              <w:t>形</w:t>
            </w:r>
          </w:p>
          <w:p>
            <w:pPr>
              <w:pStyle w:val="69"/>
              <w:spacing w:line="380" w:lineRule="exact"/>
              <w:jc w:val="center"/>
              <w:rPr>
                <w:rFonts w:hAnsi="宋体" w:cs="宋体"/>
                <w:color w:val="auto"/>
                <w:sz w:val="21"/>
              </w:rPr>
            </w:pPr>
            <w:r>
              <w:rPr>
                <w:rFonts w:hint="eastAsia" w:hAnsi="宋体" w:cs="宋体"/>
                <w:color w:val="auto"/>
                <w:sz w:val="21"/>
              </w:rPr>
              <w:t>式</w:t>
            </w:r>
          </w:p>
          <w:p>
            <w:pPr>
              <w:pStyle w:val="69"/>
              <w:spacing w:line="380" w:lineRule="exact"/>
              <w:jc w:val="center"/>
              <w:rPr>
                <w:rFonts w:hAnsi="宋体" w:cs="宋体"/>
                <w:color w:val="auto"/>
                <w:sz w:val="21"/>
              </w:rPr>
            </w:pPr>
            <w:r>
              <w:rPr>
                <w:rFonts w:hint="eastAsia" w:hAnsi="宋体" w:cs="宋体"/>
                <w:color w:val="auto"/>
                <w:sz w:val="21"/>
              </w:rPr>
              <w:t>评</w:t>
            </w:r>
          </w:p>
          <w:p>
            <w:pPr>
              <w:pStyle w:val="69"/>
              <w:spacing w:line="380" w:lineRule="exact"/>
              <w:jc w:val="center"/>
              <w:rPr>
                <w:rFonts w:hAnsi="宋体" w:cs="宋体"/>
                <w:color w:val="auto"/>
                <w:sz w:val="21"/>
              </w:rPr>
            </w:pPr>
            <w:r>
              <w:rPr>
                <w:rFonts w:hint="eastAsia" w:hAnsi="宋体" w:cs="宋体"/>
                <w:color w:val="auto"/>
                <w:sz w:val="21"/>
              </w:rPr>
              <w:t>审</w:t>
            </w:r>
          </w:p>
          <w:p>
            <w:pPr>
              <w:pStyle w:val="69"/>
              <w:spacing w:line="380" w:lineRule="exact"/>
              <w:jc w:val="center"/>
              <w:rPr>
                <w:rFonts w:hAnsi="宋体" w:cs="宋体"/>
                <w:color w:val="auto"/>
                <w:sz w:val="21"/>
              </w:rPr>
            </w:pPr>
            <w:r>
              <w:rPr>
                <w:rFonts w:hint="eastAsia" w:hAnsi="宋体" w:cs="宋体"/>
                <w:color w:val="auto"/>
                <w:sz w:val="21"/>
              </w:rPr>
              <w:t>标</w:t>
            </w:r>
          </w:p>
          <w:p>
            <w:pPr>
              <w:pStyle w:val="69"/>
              <w:spacing w:line="380" w:lineRule="exact"/>
              <w:jc w:val="center"/>
              <w:rPr>
                <w:rFonts w:hAnsi="宋体" w:cs="宋体"/>
                <w:color w:val="auto"/>
                <w:sz w:val="21"/>
              </w:rPr>
            </w:pPr>
            <w:r>
              <w:rPr>
                <w:rFonts w:hint="eastAsia" w:hAnsi="宋体" w:cs="宋体"/>
                <w:color w:val="auto"/>
                <w:sz w:val="21"/>
              </w:rPr>
              <w:t>准</w:t>
            </w: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投标人、法定代表人名称</w:t>
            </w:r>
          </w:p>
        </w:tc>
        <w:tc>
          <w:tcPr>
            <w:tcW w:w="4697" w:type="dxa"/>
            <w:gridSpan w:val="2"/>
            <w:vAlign w:val="center"/>
          </w:tcPr>
          <w:p>
            <w:pPr>
              <w:pStyle w:val="69"/>
              <w:spacing w:line="380" w:lineRule="exact"/>
              <w:jc w:val="center"/>
              <w:rPr>
                <w:rFonts w:hAnsi="宋体" w:cs="宋体"/>
                <w:color w:val="auto"/>
                <w:sz w:val="21"/>
              </w:rPr>
            </w:pPr>
            <w:r>
              <w:rPr>
                <w:rFonts w:hint="eastAsia" w:hAnsi="宋体" w:cs="宋体"/>
                <w:color w:val="auto"/>
                <w:sz w:val="21"/>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69"/>
              <w:spacing w:line="380" w:lineRule="exact"/>
              <w:jc w:val="center"/>
              <w:rPr>
                <w:rFonts w:hAnsi="宋体" w:cs="宋体"/>
                <w:color w:val="auto"/>
                <w:sz w:val="21"/>
              </w:rPr>
            </w:pPr>
          </w:p>
        </w:tc>
        <w:tc>
          <w:tcPr>
            <w:tcW w:w="752" w:type="dxa"/>
            <w:vMerge w:val="continue"/>
            <w:vAlign w:val="center"/>
          </w:tcPr>
          <w:p>
            <w:pPr>
              <w:pStyle w:val="69"/>
              <w:spacing w:line="380" w:lineRule="exact"/>
              <w:jc w:val="center"/>
              <w:rPr>
                <w:rFonts w:hAnsi="宋体" w:cs="宋体"/>
                <w:color w:val="auto"/>
                <w:sz w:val="21"/>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投标函及投标函附录</w:t>
            </w:r>
          </w:p>
        </w:tc>
        <w:tc>
          <w:tcPr>
            <w:tcW w:w="4697" w:type="dxa"/>
            <w:gridSpan w:val="2"/>
            <w:vAlign w:val="center"/>
          </w:tcPr>
          <w:p>
            <w:pPr>
              <w:pStyle w:val="69"/>
              <w:spacing w:line="380" w:lineRule="exact"/>
              <w:jc w:val="center"/>
              <w:rPr>
                <w:rFonts w:hAnsi="宋体" w:cs="宋体"/>
                <w:color w:val="auto"/>
                <w:sz w:val="21"/>
              </w:rPr>
            </w:pPr>
            <w:r>
              <w:rPr>
                <w:rFonts w:hint="eastAsia" w:hAnsi="宋体" w:cs="宋体"/>
                <w:color w:val="auto"/>
                <w:sz w:val="21"/>
              </w:rPr>
              <w:t>按招标文件格式要求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69"/>
              <w:spacing w:line="380" w:lineRule="exact"/>
              <w:jc w:val="center"/>
              <w:rPr>
                <w:rFonts w:hAnsi="宋体" w:cs="宋体"/>
                <w:color w:val="auto"/>
                <w:sz w:val="21"/>
              </w:rPr>
            </w:pPr>
          </w:p>
        </w:tc>
        <w:tc>
          <w:tcPr>
            <w:tcW w:w="752" w:type="dxa"/>
            <w:vMerge w:val="continue"/>
            <w:vAlign w:val="center"/>
          </w:tcPr>
          <w:p>
            <w:pPr>
              <w:pStyle w:val="69"/>
              <w:spacing w:line="380" w:lineRule="exact"/>
              <w:jc w:val="center"/>
              <w:rPr>
                <w:rFonts w:hAnsi="宋体" w:cs="宋体"/>
                <w:color w:val="auto"/>
                <w:sz w:val="21"/>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投标文件格式</w:t>
            </w:r>
          </w:p>
        </w:tc>
        <w:tc>
          <w:tcPr>
            <w:tcW w:w="4697" w:type="dxa"/>
            <w:gridSpan w:val="2"/>
            <w:vAlign w:val="center"/>
          </w:tcPr>
          <w:p>
            <w:pPr>
              <w:pStyle w:val="69"/>
              <w:spacing w:line="380" w:lineRule="exact"/>
              <w:jc w:val="center"/>
              <w:rPr>
                <w:rFonts w:hAnsi="宋体" w:cs="宋体"/>
                <w:color w:val="auto"/>
                <w:sz w:val="21"/>
              </w:rPr>
            </w:pPr>
            <w:r>
              <w:rPr>
                <w:rFonts w:hint="eastAsia" w:hAnsi="宋体" w:cs="宋体"/>
                <w:color w:val="auto"/>
                <w:sz w:val="21"/>
              </w:rPr>
              <w:t>符合第八章“投标文件格式”的要求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69"/>
              <w:spacing w:line="380" w:lineRule="exact"/>
              <w:jc w:val="center"/>
              <w:rPr>
                <w:rFonts w:hAnsi="宋体" w:cs="宋体"/>
                <w:color w:val="auto"/>
                <w:sz w:val="21"/>
              </w:rPr>
            </w:pPr>
          </w:p>
        </w:tc>
        <w:tc>
          <w:tcPr>
            <w:tcW w:w="752" w:type="dxa"/>
            <w:vMerge w:val="continue"/>
            <w:vAlign w:val="center"/>
          </w:tcPr>
          <w:p>
            <w:pPr>
              <w:pStyle w:val="69"/>
              <w:spacing w:line="380" w:lineRule="exact"/>
              <w:jc w:val="center"/>
              <w:rPr>
                <w:rFonts w:hAnsi="宋体" w:cs="宋体"/>
                <w:color w:val="auto"/>
                <w:sz w:val="21"/>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联合体投标</w:t>
            </w:r>
          </w:p>
        </w:tc>
        <w:tc>
          <w:tcPr>
            <w:tcW w:w="4697" w:type="dxa"/>
            <w:gridSpan w:val="2"/>
            <w:vAlign w:val="center"/>
          </w:tcPr>
          <w:p>
            <w:pPr>
              <w:pStyle w:val="69"/>
              <w:spacing w:line="380" w:lineRule="exact"/>
              <w:jc w:val="center"/>
              <w:rPr>
                <w:rFonts w:hAnsi="宋体" w:cs="宋体"/>
                <w:color w:val="auto"/>
                <w:sz w:val="21"/>
              </w:rPr>
            </w:pPr>
            <w:r>
              <w:rPr>
                <w:rFonts w:hint="eastAsia" w:hAnsi="宋体" w:cs="宋体"/>
                <w:color w:val="auto"/>
                <w:sz w:val="21"/>
              </w:rPr>
              <w:t>提交联合体协议书，并明确联合体牵头人（如有）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69"/>
              <w:spacing w:line="380" w:lineRule="exact"/>
              <w:jc w:val="center"/>
              <w:rPr>
                <w:rFonts w:hAnsi="宋体" w:cs="宋体"/>
                <w:color w:val="auto"/>
                <w:sz w:val="21"/>
              </w:rPr>
            </w:pPr>
          </w:p>
        </w:tc>
        <w:tc>
          <w:tcPr>
            <w:tcW w:w="752" w:type="dxa"/>
            <w:vMerge w:val="continue"/>
            <w:vAlign w:val="center"/>
          </w:tcPr>
          <w:p>
            <w:pPr>
              <w:pStyle w:val="69"/>
              <w:spacing w:line="380" w:lineRule="exact"/>
              <w:jc w:val="center"/>
              <w:rPr>
                <w:rFonts w:hAnsi="宋体" w:cs="宋体"/>
                <w:color w:val="auto"/>
                <w:sz w:val="21"/>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报价唯一</w:t>
            </w:r>
          </w:p>
        </w:tc>
        <w:tc>
          <w:tcPr>
            <w:tcW w:w="4697" w:type="dxa"/>
            <w:gridSpan w:val="2"/>
          </w:tcPr>
          <w:p>
            <w:pPr>
              <w:pStyle w:val="69"/>
              <w:spacing w:line="320" w:lineRule="exact"/>
              <w:jc w:val="both"/>
              <w:rPr>
                <w:rFonts w:hAnsi="宋体" w:cs="宋体"/>
                <w:color w:val="auto"/>
                <w:sz w:val="21"/>
              </w:rPr>
            </w:pPr>
            <w:r>
              <w:rPr>
                <w:rFonts w:hint="eastAsia" w:hAnsi="宋体" w:cs="宋体"/>
                <w:color w:val="auto"/>
                <w:sz w:val="21"/>
              </w:rPr>
              <w:t>只能有一个有效报价，且不可竞争性费用、安全文明施工措施费足额计取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restart"/>
            <w:vAlign w:val="center"/>
          </w:tcPr>
          <w:p>
            <w:pPr>
              <w:pStyle w:val="182"/>
              <w:spacing w:line="380" w:lineRule="exact"/>
              <w:jc w:val="center"/>
              <w:rPr>
                <w:rFonts w:ascii="宋体" w:hAnsi="宋体" w:cs="宋体"/>
              </w:rPr>
            </w:pPr>
            <w:r>
              <w:rPr>
                <w:rFonts w:hint="eastAsia" w:ascii="宋体" w:hAnsi="宋体" w:cs="宋体"/>
              </w:rPr>
              <w:t>2.1.2</w:t>
            </w:r>
          </w:p>
        </w:tc>
        <w:tc>
          <w:tcPr>
            <w:tcW w:w="752" w:type="dxa"/>
            <w:vMerge w:val="restart"/>
            <w:vAlign w:val="center"/>
          </w:tcPr>
          <w:p>
            <w:pPr>
              <w:pStyle w:val="182"/>
              <w:spacing w:line="380" w:lineRule="exact"/>
              <w:jc w:val="center"/>
              <w:rPr>
                <w:rFonts w:ascii="宋体" w:hAnsi="宋体" w:cs="宋体"/>
              </w:rPr>
            </w:pPr>
            <w:r>
              <w:rPr>
                <w:rFonts w:hint="eastAsia" w:ascii="宋体" w:hAnsi="宋体" w:cs="宋体"/>
              </w:rPr>
              <w:t>资</w:t>
            </w:r>
          </w:p>
          <w:p>
            <w:pPr>
              <w:pStyle w:val="182"/>
              <w:spacing w:line="380" w:lineRule="exact"/>
              <w:jc w:val="center"/>
              <w:rPr>
                <w:rFonts w:ascii="宋体" w:hAnsi="宋体" w:cs="宋体"/>
              </w:rPr>
            </w:pPr>
            <w:r>
              <w:rPr>
                <w:rFonts w:hint="eastAsia" w:ascii="宋体" w:hAnsi="宋体" w:cs="宋体"/>
              </w:rPr>
              <w:t>格</w:t>
            </w:r>
          </w:p>
          <w:p>
            <w:pPr>
              <w:pStyle w:val="182"/>
              <w:spacing w:line="380" w:lineRule="exact"/>
              <w:jc w:val="center"/>
              <w:rPr>
                <w:rFonts w:ascii="宋体" w:hAnsi="宋体" w:cs="宋体"/>
              </w:rPr>
            </w:pPr>
            <w:r>
              <w:rPr>
                <w:rFonts w:hint="eastAsia" w:ascii="宋体" w:hAnsi="宋体" w:cs="宋体"/>
              </w:rPr>
              <w:t>评</w:t>
            </w:r>
          </w:p>
          <w:p>
            <w:pPr>
              <w:pStyle w:val="182"/>
              <w:spacing w:line="380" w:lineRule="exact"/>
              <w:jc w:val="center"/>
              <w:rPr>
                <w:rFonts w:ascii="宋体" w:hAnsi="宋体" w:cs="宋体"/>
              </w:rPr>
            </w:pPr>
            <w:r>
              <w:rPr>
                <w:rFonts w:hint="eastAsia" w:ascii="宋体" w:hAnsi="宋体" w:cs="宋体"/>
              </w:rPr>
              <w:t>审</w:t>
            </w:r>
          </w:p>
          <w:p>
            <w:pPr>
              <w:pStyle w:val="182"/>
              <w:spacing w:line="380" w:lineRule="exact"/>
              <w:jc w:val="center"/>
              <w:rPr>
                <w:rFonts w:ascii="宋体" w:hAnsi="宋体" w:cs="宋体"/>
              </w:rPr>
            </w:pPr>
            <w:r>
              <w:rPr>
                <w:rFonts w:hint="eastAsia" w:ascii="宋体" w:hAnsi="宋体" w:cs="宋体"/>
              </w:rPr>
              <w:t>标</w:t>
            </w:r>
          </w:p>
          <w:p>
            <w:pPr>
              <w:pStyle w:val="182"/>
              <w:spacing w:line="380" w:lineRule="exact"/>
              <w:jc w:val="center"/>
              <w:rPr>
                <w:rFonts w:ascii="宋体" w:hAnsi="宋体" w:cs="宋体"/>
              </w:rPr>
            </w:pPr>
            <w:r>
              <w:rPr>
                <w:rFonts w:hint="eastAsia" w:ascii="宋体" w:hAnsi="宋体" w:cs="宋体"/>
              </w:rPr>
              <w:t>准</w:t>
            </w: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营业执照</w:t>
            </w:r>
          </w:p>
        </w:tc>
        <w:tc>
          <w:tcPr>
            <w:tcW w:w="4697" w:type="dxa"/>
            <w:gridSpan w:val="2"/>
            <w:vAlign w:val="center"/>
          </w:tcPr>
          <w:p>
            <w:pPr>
              <w:pStyle w:val="69"/>
              <w:spacing w:line="380" w:lineRule="exact"/>
              <w:jc w:val="center"/>
              <w:rPr>
                <w:rFonts w:hAnsi="宋体" w:cs="宋体"/>
                <w:color w:val="auto"/>
                <w:sz w:val="21"/>
              </w:rPr>
            </w:pPr>
            <w:r>
              <w:rPr>
                <w:rFonts w:hint="eastAsia" w:hAnsi="宋体" w:cs="宋体"/>
                <w:color w:val="auto"/>
                <w:sz w:val="21"/>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安全生产许可证</w:t>
            </w:r>
          </w:p>
        </w:tc>
        <w:tc>
          <w:tcPr>
            <w:tcW w:w="4697" w:type="dxa"/>
            <w:gridSpan w:val="2"/>
            <w:vAlign w:val="center"/>
          </w:tcPr>
          <w:p>
            <w:pPr>
              <w:pStyle w:val="69"/>
              <w:spacing w:line="380" w:lineRule="exact"/>
              <w:jc w:val="center"/>
              <w:rPr>
                <w:rFonts w:hAnsi="宋体" w:cs="宋体"/>
                <w:color w:val="auto"/>
                <w:sz w:val="21"/>
              </w:rPr>
            </w:pPr>
            <w:r>
              <w:rPr>
                <w:rFonts w:hint="eastAsia" w:hAnsi="宋体" w:cs="宋体"/>
                <w:color w:val="auto"/>
                <w:sz w:val="21"/>
              </w:rPr>
              <w:t>具备有效的安全生产许可证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资质等级</w:t>
            </w:r>
          </w:p>
        </w:tc>
        <w:tc>
          <w:tcPr>
            <w:tcW w:w="4697" w:type="dxa"/>
            <w:gridSpan w:val="2"/>
            <w:vAlign w:val="center"/>
          </w:tcPr>
          <w:p>
            <w:pPr>
              <w:spacing w:line="380" w:lineRule="exact"/>
              <w:jc w:val="center"/>
              <w:rPr>
                <w:rFonts w:ascii="宋体" w:hAnsi="宋体" w:cs="宋体"/>
                <w:kern w:val="0"/>
              </w:rPr>
            </w:pPr>
            <w:r>
              <w:rPr>
                <w:rFonts w:hint="eastAsia" w:ascii="宋体" w:hAnsi="宋体" w:cs="宋体"/>
                <w:kern w:val="0"/>
              </w:rPr>
              <w:t>符合第二章 “投标人须知”第1.4.1项规定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信誉</w:t>
            </w:r>
          </w:p>
        </w:tc>
        <w:tc>
          <w:tcPr>
            <w:tcW w:w="4697" w:type="dxa"/>
            <w:gridSpan w:val="2"/>
            <w:vAlign w:val="center"/>
          </w:tcPr>
          <w:p>
            <w:pPr>
              <w:spacing w:line="380" w:lineRule="exact"/>
              <w:jc w:val="center"/>
              <w:rPr>
                <w:rFonts w:ascii="宋体" w:hAnsi="宋体" w:cs="宋体"/>
                <w:kern w:val="0"/>
              </w:rPr>
            </w:pPr>
            <w:r>
              <w:rPr>
                <w:rFonts w:hint="eastAsia" w:ascii="宋体" w:hAnsi="宋体" w:cs="宋体"/>
                <w:kern w:val="0"/>
              </w:rPr>
              <w:t>符合第二章 “投标人须知”第1.4.1项规定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项目经理要求</w:t>
            </w:r>
          </w:p>
        </w:tc>
        <w:tc>
          <w:tcPr>
            <w:tcW w:w="4697" w:type="dxa"/>
            <w:gridSpan w:val="2"/>
            <w:vAlign w:val="center"/>
          </w:tcPr>
          <w:p>
            <w:pPr>
              <w:spacing w:line="380" w:lineRule="exact"/>
              <w:jc w:val="center"/>
              <w:rPr>
                <w:rFonts w:ascii="宋体" w:hAnsi="宋体" w:cs="宋体"/>
                <w:kern w:val="0"/>
              </w:rPr>
            </w:pPr>
            <w:r>
              <w:rPr>
                <w:rFonts w:hint="eastAsia" w:ascii="宋体" w:hAnsi="宋体" w:cs="宋体"/>
                <w:kern w:val="0"/>
              </w:rPr>
              <w:t>符合第二章 “投标人须知”第1.4.1项规定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380" w:lineRule="exact"/>
              <w:jc w:val="center"/>
              <w:rPr>
                <w:rFonts w:hAnsi="宋体" w:cs="宋体"/>
                <w:color w:val="auto"/>
                <w:sz w:val="21"/>
              </w:rPr>
            </w:pPr>
            <w:r>
              <w:rPr>
                <w:rFonts w:hint="eastAsia" w:hAnsi="宋体" w:cs="宋体"/>
                <w:color w:val="auto"/>
                <w:sz w:val="21"/>
              </w:rPr>
              <w:t>其他要求</w:t>
            </w:r>
          </w:p>
        </w:tc>
        <w:tc>
          <w:tcPr>
            <w:tcW w:w="4697" w:type="dxa"/>
            <w:gridSpan w:val="2"/>
            <w:vAlign w:val="center"/>
          </w:tcPr>
          <w:p>
            <w:pPr>
              <w:spacing w:line="380" w:lineRule="exact"/>
              <w:jc w:val="center"/>
              <w:rPr>
                <w:rFonts w:ascii="宋体" w:hAnsi="宋体" w:cs="宋体"/>
                <w:kern w:val="0"/>
              </w:rPr>
            </w:pPr>
            <w:r>
              <w:rPr>
                <w:rFonts w:hint="eastAsia" w:ascii="宋体" w:hAnsi="宋体" w:cs="宋体"/>
                <w:kern w:val="0"/>
              </w:rPr>
              <w:t>符合第二章 “投标人须知”第1.4.1项规定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93" w:type="dxa"/>
            <w:vMerge w:val="restart"/>
            <w:vAlign w:val="center"/>
          </w:tcPr>
          <w:p>
            <w:pPr>
              <w:pStyle w:val="182"/>
              <w:spacing w:line="380" w:lineRule="exact"/>
              <w:jc w:val="center"/>
              <w:rPr>
                <w:rFonts w:ascii="宋体" w:hAnsi="宋体" w:cs="宋体"/>
              </w:rPr>
            </w:pPr>
            <w:r>
              <w:rPr>
                <w:rFonts w:hint="eastAsia" w:ascii="宋体" w:hAnsi="宋体" w:cs="宋体"/>
              </w:rPr>
              <w:t>2.1.3</w:t>
            </w:r>
          </w:p>
        </w:tc>
        <w:tc>
          <w:tcPr>
            <w:tcW w:w="752" w:type="dxa"/>
            <w:vMerge w:val="restart"/>
            <w:vAlign w:val="center"/>
          </w:tcPr>
          <w:p>
            <w:pPr>
              <w:pStyle w:val="182"/>
              <w:spacing w:line="380" w:lineRule="exact"/>
              <w:jc w:val="center"/>
              <w:rPr>
                <w:rFonts w:ascii="宋体" w:hAnsi="宋体" w:cs="宋体"/>
              </w:rPr>
            </w:pPr>
            <w:r>
              <w:rPr>
                <w:rFonts w:hint="eastAsia" w:ascii="宋体" w:hAnsi="宋体" w:cs="宋体"/>
              </w:rPr>
              <w:t>响</w:t>
            </w:r>
          </w:p>
          <w:p>
            <w:pPr>
              <w:pStyle w:val="182"/>
              <w:spacing w:line="380" w:lineRule="exact"/>
              <w:jc w:val="center"/>
              <w:rPr>
                <w:rFonts w:ascii="宋体" w:hAnsi="宋体" w:cs="宋体"/>
              </w:rPr>
            </w:pPr>
            <w:r>
              <w:rPr>
                <w:rFonts w:hint="eastAsia" w:ascii="宋体" w:hAnsi="宋体" w:cs="宋体"/>
              </w:rPr>
              <w:t>应</w:t>
            </w:r>
          </w:p>
          <w:p>
            <w:pPr>
              <w:pStyle w:val="182"/>
              <w:spacing w:line="380" w:lineRule="exact"/>
              <w:jc w:val="center"/>
              <w:rPr>
                <w:rFonts w:ascii="宋体" w:hAnsi="宋体" w:cs="宋体"/>
              </w:rPr>
            </w:pPr>
            <w:r>
              <w:rPr>
                <w:rFonts w:hint="eastAsia" w:ascii="宋体" w:hAnsi="宋体" w:cs="宋体"/>
              </w:rPr>
              <w:t>性</w:t>
            </w:r>
          </w:p>
          <w:p>
            <w:pPr>
              <w:pStyle w:val="182"/>
              <w:spacing w:line="380" w:lineRule="exact"/>
              <w:jc w:val="center"/>
              <w:rPr>
                <w:rFonts w:ascii="宋体" w:hAnsi="宋体" w:cs="宋体"/>
              </w:rPr>
            </w:pPr>
            <w:r>
              <w:rPr>
                <w:rFonts w:hint="eastAsia" w:ascii="宋体" w:hAnsi="宋体" w:cs="宋体"/>
              </w:rPr>
              <w:t>评</w:t>
            </w:r>
          </w:p>
          <w:p>
            <w:pPr>
              <w:pStyle w:val="182"/>
              <w:spacing w:line="380" w:lineRule="exact"/>
              <w:jc w:val="center"/>
              <w:rPr>
                <w:rFonts w:ascii="宋体" w:hAnsi="宋体" w:cs="宋体"/>
              </w:rPr>
            </w:pPr>
            <w:r>
              <w:rPr>
                <w:rFonts w:hint="eastAsia" w:ascii="宋体" w:hAnsi="宋体" w:cs="宋体"/>
              </w:rPr>
              <w:t>审</w:t>
            </w:r>
          </w:p>
          <w:p>
            <w:pPr>
              <w:pStyle w:val="182"/>
              <w:spacing w:line="380" w:lineRule="exact"/>
              <w:jc w:val="center"/>
              <w:rPr>
                <w:rFonts w:ascii="宋体" w:hAnsi="宋体" w:cs="宋体"/>
              </w:rPr>
            </w:pPr>
            <w:r>
              <w:rPr>
                <w:rFonts w:hint="eastAsia" w:ascii="宋体" w:hAnsi="宋体" w:cs="宋体"/>
              </w:rPr>
              <w:t>标</w:t>
            </w:r>
          </w:p>
          <w:p>
            <w:pPr>
              <w:pStyle w:val="182"/>
              <w:spacing w:line="380" w:lineRule="exact"/>
              <w:jc w:val="center"/>
              <w:rPr>
                <w:rFonts w:ascii="宋体" w:hAnsi="宋体" w:cs="宋体"/>
              </w:rPr>
            </w:pPr>
            <w:r>
              <w:rPr>
                <w:rFonts w:hint="eastAsia" w:ascii="宋体" w:hAnsi="宋体" w:cs="宋体"/>
              </w:rPr>
              <w:t>准</w:t>
            </w:r>
          </w:p>
        </w:tc>
        <w:tc>
          <w:tcPr>
            <w:tcW w:w="3105" w:type="dxa"/>
            <w:gridSpan w:val="5"/>
            <w:vAlign w:val="center"/>
          </w:tcPr>
          <w:p>
            <w:pPr>
              <w:pStyle w:val="69"/>
              <w:spacing w:line="400" w:lineRule="exact"/>
              <w:jc w:val="center"/>
              <w:rPr>
                <w:rFonts w:hAnsi="宋体" w:cs="宋体"/>
                <w:color w:val="auto"/>
                <w:sz w:val="21"/>
              </w:rPr>
            </w:pPr>
            <w:r>
              <w:rPr>
                <w:rFonts w:hint="eastAsia" w:hAnsi="宋体" w:cs="宋体"/>
                <w:color w:val="auto"/>
                <w:sz w:val="21"/>
              </w:rPr>
              <w:t>投标内容</w:t>
            </w:r>
          </w:p>
        </w:tc>
        <w:tc>
          <w:tcPr>
            <w:tcW w:w="4697" w:type="dxa"/>
            <w:gridSpan w:val="2"/>
            <w:vAlign w:val="center"/>
          </w:tcPr>
          <w:p>
            <w:pPr>
              <w:spacing w:line="400" w:lineRule="exact"/>
              <w:jc w:val="center"/>
              <w:rPr>
                <w:rFonts w:ascii="宋体" w:hAnsi="宋体" w:cs="宋体"/>
              </w:rPr>
            </w:pPr>
            <w:r>
              <w:rPr>
                <w:rFonts w:hint="eastAsia" w:ascii="宋体" w:hAnsi="宋体" w:cs="宋体"/>
                <w:kern w:val="0"/>
              </w:rPr>
              <w:t>符合第二章 “投标人须知”第1.3.1项规定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400" w:lineRule="exact"/>
              <w:jc w:val="center"/>
              <w:rPr>
                <w:rFonts w:hAnsi="宋体" w:cs="宋体"/>
                <w:color w:val="auto"/>
                <w:sz w:val="21"/>
              </w:rPr>
            </w:pPr>
            <w:r>
              <w:rPr>
                <w:rFonts w:hint="eastAsia" w:hAnsi="宋体" w:cs="宋体"/>
                <w:color w:val="auto"/>
                <w:sz w:val="21"/>
              </w:rPr>
              <w:t>工期</w:t>
            </w:r>
          </w:p>
        </w:tc>
        <w:tc>
          <w:tcPr>
            <w:tcW w:w="4697" w:type="dxa"/>
            <w:gridSpan w:val="2"/>
            <w:vAlign w:val="center"/>
          </w:tcPr>
          <w:p>
            <w:pPr>
              <w:spacing w:line="400" w:lineRule="exact"/>
              <w:jc w:val="center"/>
              <w:rPr>
                <w:rFonts w:ascii="宋体" w:hAnsi="宋体" w:cs="宋体"/>
                <w:kern w:val="0"/>
              </w:rPr>
            </w:pPr>
            <w:r>
              <w:rPr>
                <w:rFonts w:hint="eastAsia" w:ascii="宋体" w:hAnsi="宋体" w:cs="宋体"/>
                <w:kern w:val="0"/>
              </w:rPr>
              <w:t>符合第二章 “投标人须知”第1.3.2项规定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400" w:lineRule="exact"/>
              <w:jc w:val="center"/>
              <w:rPr>
                <w:rFonts w:hAnsi="宋体" w:cs="宋体"/>
                <w:color w:val="auto"/>
                <w:sz w:val="21"/>
              </w:rPr>
            </w:pPr>
            <w:r>
              <w:rPr>
                <w:rFonts w:hint="eastAsia" w:hAnsi="宋体" w:cs="宋体"/>
                <w:color w:val="auto"/>
                <w:sz w:val="21"/>
              </w:rPr>
              <w:t>工程质量</w:t>
            </w:r>
          </w:p>
        </w:tc>
        <w:tc>
          <w:tcPr>
            <w:tcW w:w="4697" w:type="dxa"/>
            <w:gridSpan w:val="2"/>
            <w:vAlign w:val="center"/>
          </w:tcPr>
          <w:p>
            <w:pPr>
              <w:spacing w:line="400" w:lineRule="exact"/>
              <w:jc w:val="center"/>
              <w:rPr>
                <w:rFonts w:ascii="宋体" w:hAnsi="宋体" w:cs="宋体"/>
              </w:rPr>
            </w:pPr>
            <w:r>
              <w:rPr>
                <w:rFonts w:hint="eastAsia" w:ascii="宋体" w:hAnsi="宋体" w:cs="宋体"/>
                <w:kern w:val="0"/>
              </w:rPr>
              <w:t>符合第二章 “投标人须知”第1.3.3项规定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400" w:lineRule="exact"/>
              <w:jc w:val="center"/>
              <w:rPr>
                <w:rFonts w:hAnsi="宋体" w:cs="宋体"/>
                <w:color w:val="auto"/>
                <w:sz w:val="21"/>
              </w:rPr>
            </w:pPr>
            <w:r>
              <w:rPr>
                <w:rFonts w:hint="eastAsia" w:hAnsi="宋体" w:cs="宋体"/>
                <w:color w:val="auto"/>
                <w:sz w:val="21"/>
              </w:rPr>
              <w:t>投标有效期</w:t>
            </w:r>
          </w:p>
        </w:tc>
        <w:tc>
          <w:tcPr>
            <w:tcW w:w="4697" w:type="dxa"/>
            <w:gridSpan w:val="2"/>
            <w:vAlign w:val="center"/>
          </w:tcPr>
          <w:p>
            <w:pPr>
              <w:spacing w:line="400" w:lineRule="exact"/>
              <w:jc w:val="center"/>
              <w:rPr>
                <w:rFonts w:ascii="宋体" w:hAnsi="宋体" w:cs="宋体"/>
              </w:rPr>
            </w:pPr>
            <w:r>
              <w:rPr>
                <w:rFonts w:hint="eastAsia" w:ascii="宋体" w:hAnsi="宋体" w:cs="宋体"/>
                <w:kern w:val="0"/>
              </w:rPr>
              <w:t>符合第二章 “投标人须知”第3.3.1项规定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400" w:lineRule="exact"/>
              <w:jc w:val="center"/>
              <w:rPr>
                <w:rFonts w:hAnsi="宋体" w:cs="宋体"/>
                <w:color w:val="auto"/>
                <w:sz w:val="21"/>
              </w:rPr>
            </w:pPr>
            <w:r>
              <w:rPr>
                <w:rFonts w:hint="eastAsia" w:hAnsi="宋体" w:cs="宋体"/>
                <w:color w:val="auto"/>
                <w:sz w:val="21"/>
              </w:rPr>
              <w:t>投标保证金</w:t>
            </w:r>
          </w:p>
        </w:tc>
        <w:tc>
          <w:tcPr>
            <w:tcW w:w="4697" w:type="dxa"/>
            <w:gridSpan w:val="2"/>
            <w:vAlign w:val="center"/>
          </w:tcPr>
          <w:p>
            <w:pPr>
              <w:spacing w:line="400" w:lineRule="exact"/>
              <w:jc w:val="center"/>
              <w:rPr>
                <w:rFonts w:ascii="宋体" w:hAnsi="宋体" w:cs="宋体"/>
              </w:rPr>
            </w:pPr>
            <w:r>
              <w:rPr>
                <w:rFonts w:hint="eastAsia" w:ascii="宋体" w:hAnsi="宋体" w:cs="宋体"/>
                <w:kern w:val="0"/>
              </w:rPr>
              <w:t>符合第二章 “投标人须知”第3.4.1项规定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400" w:lineRule="exact"/>
              <w:jc w:val="center"/>
              <w:rPr>
                <w:rFonts w:hAnsi="宋体" w:cs="宋体"/>
                <w:color w:val="auto"/>
                <w:sz w:val="21"/>
              </w:rPr>
            </w:pPr>
            <w:r>
              <w:rPr>
                <w:rFonts w:hint="eastAsia" w:hAnsi="宋体" w:cs="宋体"/>
                <w:color w:val="auto"/>
                <w:sz w:val="21"/>
              </w:rPr>
              <w:t>权利义务</w:t>
            </w:r>
          </w:p>
        </w:tc>
        <w:tc>
          <w:tcPr>
            <w:tcW w:w="4697" w:type="dxa"/>
            <w:gridSpan w:val="2"/>
            <w:vAlign w:val="center"/>
          </w:tcPr>
          <w:p>
            <w:pPr>
              <w:spacing w:line="400" w:lineRule="exact"/>
              <w:jc w:val="center"/>
              <w:rPr>
                <w:rFonts w:ascii="宋体" w:hAnsi="宋体" w:cs="宋体"/>
              </w:rPr>
            </w:pPr>
            <w:r>
              <w:rPr>
                <w:rFonts w:hint="eastAsia" w:ascii="宋体" w:hAnsi="宋体" w:cs="宋体"/>
                <w:kern w:val="0"/>
              </w:rPr>
              <w:t>符合第四章“合同条款及格式”规定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793" w:type="dxa"/>
            <w:vMerge w:val="continue"/>
            <w:vAlign w:val="center"/>
          </w:tcPr>
          <w:p>
            <w:pPr>
              <w:pStyle w:val="182"/>
              <w:spacing w:line="380" w:lineRule="exact"/>
              <w:jc w:val="center"/>
              <w:rPr>
                <w:rFonts w:ascii="宋体" w:hAnsi="宋体" w:cs="宋体"/>
              </w:rPr>
            </w:pPr>
          </w:p>
        </w:tc>
        <w:tc>
          <w:tcPr>
            <w:tcW w:w="752" w:type="dxa"/>
            <w:vMerge w:val="continue"/>
            <w:vAlign w:val="center"/>
          </w:tcPr>
          <w:p>
            <w:pPr>
              <w:pStyle w:val="182"/>
              <w:spacing w:line="380" w:lineRule="exact"/>
              <w:jc w:val="center"/>
              <w:rPr>
                <w:rFonts w:ascii="宋体" w:hAnsi="宋体" w:cs="宋体"/>
              </w:rPr>
            </w:pPr>
          </w:p>
        </w:tc>
        <w:tc>
          <w:tcPr>
            <w:tcW w:w="3105" w:type="dxa"/>
            <w:gridSpan w:val="5"/>
            <w:vAlign w:val="center"/>
          </w:tcPr>
          <w:p>
            <w:pPr>
              <w:pStyle w:val="69"/>
              <w:spacing w:line="400" w:lineRule="exact"/>
              <w:jc w:val="center"/>
              <w:rPr>
                <w:rFonts w:hAnsi="宋体" w:cs="宋体"/>
                <w:color w:val="auto"/>
                <w:sz w:val="21"/>
              </w:rPr>
            </w:pPr>
            <w:r>
              <w:rPr>
                <w:rFonts w:hint="eastAsia" w:hAnsi="宋体" w:cs="宋体"/>
                <w:color w:val="auto"/>
                <w:sz w:val="21"/>
              </w:rPr>
              <w:t>技术标准和要求</w:t>
            </w:r>
          </w:p>
        </w:tc>
        <w:tc>
          <w:tcPr>
            <w:tcW w:w="4697" w:type="dxa"/>
            <w:gridSpan w:val="2"/>
            <w:vAlign w:val="center"/>
          </w:tcPr>
          <w:p>
            <w:pPr>
              <w:pStyle w:val="69"/>
              <w:spacing w:line="400" w:lineRule="exact"/>
              <w:jc w:val="center"/>
              <w:rPr>
                <w:rFonts w:hAnsi="宋体" w:cs="宋体"/>
                <w:color w:val="auto"/>
                <w:sz w:val="21"/>
              </w:rPr>
            </w:pPr>
            <w:r>
              <w:rPr>
                <w:rFonts w:hint="eastAsia" w:hAnsi="宋体" w:cs="宋体"/>
                <w:color w:val="auto"/>
                <w:sz w:val="21"/>
              </w:rPr>
              <w:t>符合第七章“技术标准和要求”规定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551" w:type="dxa"/>
            <w:gridSpan w:val="3"/>
            <w:vAlign w:val="center"/>
          </w:tcPr>
          <w:p>
            <w:pPr>
              <w:pStyle w:val="69"/>
              <w:spacing w:line="340" w:lineRule="exact"/>
              <w:jc w:val="center"/>
              <w:rPr>
                <w:rFonts w:hAnsi="宋体" w:cs="宋体"/>
                <w:b/>
                <w:color w:val="auto"/>
                <w:sz w:val="21"/>
              </w:rPr>
            </w:pPr>
            <w:r>
              <w:rPr>
                <w:rFonts w:hint="eastAsia" w:hAnsi="宋体" w:cs="宋体"/>
                <w:b/>
                <w:color w:val="auto"/>
                <w:sz w:val="21"/>
              </w:rPr>
              <w:t>条款号</w:t>
            </w:r>
          </w:p>
        </w:tc>
        <w:tc>
          <w:tcPr>
            <w:tcW w:w="6428" w:type="dxa"/>
            <w:gridSpan w:val="5"/>
            <w:vAlign w:val="center"/>
          </w:tcPr>
          <w:p>
            <w:pPr>
              <w:pStyle w:val="69"/>
              <w:spacing w:line="340" w:lineRule="exact"/>
              <w:jc w:val="center"/>
              <w:rPr>
                <w:rFonts w:hAnsi="宋体" w:cs="宋体"/>
                <w:b/>
                <w:color w:val="auto"/>
                <w:sz w:val="21"/>
              </w:rPr>
            </w:pPr>
            <w:r>
              <w:rPr>
                <w:rFonts w:hint="eastAsia" w:hAnsi="宋体" w:cs="宋体"/>
                <w:b/>
                <w:color w:val="auto"/>
                <w:sz w:val="21"/>
              </w:rPr>
              <w:t>量化因素</w:t>
            </w:r>
          </w:p>
        </w:tc>
        <w:tc>
          <w:tcPr>
            <w:tcW w:w="1368" w:type="dxa"/>
            <w:vAlign w:val="center"/>
          </w:tcPr>
          <w:p>
            <w:pPr>
              <w:pStyle w:val="69"/>
              <w:spacing w:line="340" w:lineRule="exact"/>
              <w:jc w:val="center"/>
              <w:rPr>
                <w:rFonts w:hAnsi="宋体" w:cs="宋体"/>
                <w:b/>
                <w:color w:val="auto"/>
                <w:sz w:val="21"/>
              </w:rPr>
            </w:pPr>
            <w:r>
              <w:rPr>
                <w:rFonts w:hint="eastAsia" w:hAnsi="宋体" w:cs="宋体"/>
                <w:b/>
                <w:color w:val="auto"/>
                <w:sz w:val="21"/>
              </w:rPr>
              <w:t>量化标准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trPr>
        <w:tc>
          <w:tcPr>
            <w:tcW w:w="793" w:type="dxa"/>
            <w:vMerge w:val="restart"/>
            <w:vAlign w:val="center"/>
          </w:tcPr>
          <w:p>
            <w:pPr>
              <w:pStyle w:val="69"/>
              <w:spacing w:line="340" w:lineRule="exact"/>
              <w:jc w:val="center"/>
              <w:rPr>
                <w:rFonts w:hAnsi="宋体" w:cs="宋体"/>
                <w:color w:val="auto"/>
                <w:sz w:val="21"/>
              </w:rPr>
            </w:pPr>
            <w:r>
              <w:rPr>
                <w:rFonts w:hint="eastAsia" w:hAnsi="宋体" w:cs="宋体"/>
                <w:color w:val="auto"/>
                <w:sz w:val="21"/>
              </w:rPr>
              <w:t>2.2.1</w:t>
            </w:r>
          </w:p>
          <w:p>
            <w:pPr>
              <w:pStyle w:val="69"/>
              <w:spacing w:line="340" w:lineRule="exact"/>
              <w:jc w:val="center"/>
              <w:rPr>
                <w:rFonts w:hAnsi="宋体" w:cs="宋体"/>
                <w:b/>
                <w:color w:val="auto"/>
                <w:sz w:val="21"/>
              </w:rPr>
            </w:pPr>
            <w:r>
              <w:rPr>
                <w:rFonts w:hint="eastAsia" w:hAnsi="宋体" w:cs="宋体"/>
                <w:color w:val="auto"/>
                <w:sz w:val="21"/>
              </w:rPr>
              <w:t>（2）</w:t>
            </w:r>
          </w:p>
        </w:tc>
        <w:tc>
          <w:tcPr>
            <w:tcW w:w="758" w:type="dxa"/>
            <w:gridSpan w:val="2"/>
            <w:vMerge w:val="restart"/>
            <w:vAlign w:val="center"/>
          </w:tcPr>
          <w:p>
            <w:pPr>
              <w:pStyle w:val="69"/>
              <w:spacing w:line="340" w:lineRule="exact"/>
              <w:jc w:val="center"/>
              <w:rPr>
                <w:rFonts w:hAnsi="宋体" w:cs="宋体"/>
                <w:color w:val="auto"/>
                <w:sz w:val="21"/>
                <w:highlight w:val="none"/>
              </w:rPr>
            </w:pPr>
            <w:r>
              <w:rPr>
                <w:rFonts w:hint="eastAsia" w:hAnsi="宋体" w:cs="宋体"/>
                <w:color w:val="auto"/>
                <w:sz w:val="21"/>
                <w:highlight w:val="none"/>
              </w:rPr>
              <w:t>综合标评审标准</w:t>
            </w:r>
          </w:p>
          <w:p>
            <w:pPr>
              <w:pStyle w:val="69"/>
              <w:spacing w:line="340" w:lineRule="exact"/>
              <w:jc w:val="center"/>
              <w:rPr>
                <w:rFonts w:hAnsi="宋体" w:cs="宋体"/>
                <w:b/>
                <w:color w:val="auto"/>
                <w:sz w:val="21"/>
                <w:highlight w:val="none"/>
              </w:rPr>
            </w:pPr>
            <w:r>
              <w:rPr>
                <w:rFonts w:hint="eastAsia" w:hAnsi="宋体" w:cs="宋体"/>
                <w:color w:val="auto"/>
                <w:sz w:val="21"/>
                <w:highlight w:val="none"/>
              </w:rPr>
              <w:t>(20)分</w:t>
            </w:r>
          </w:p>
        </w:tc>
        <w:tc>
          <w:tcPr>
            <w:tcW w:w="1230" w:type="dxa"/>
            <w:vAlign w:val="center"/>
          </w:tcPr>
          <w:p>
            <w:pPr>
              <w:spacing w:line="240" w:lineRule="auto"/>
              <w:jc w:val="center"/>
              <w:rPr>
                <w:rFonts w:hint="eastAsia" w:ascii="宋体" w:hAnsi="宋体" w:eastAsia="宋体" w:cs="宋体"/>
                <w:b/>
                <w:szCs w:val="21"/>
                <w:highlight w:val="none"/>
                <w:lang w:val="en-US" w:eastAsia="zh-CN"/>
              </w:rPr>
            </w:pPr>
            <w:r>
              <w:rPr>
                <w:rFonts w:hint="eastAsia" w:ascii="宋体" w:hAnsi="宋体" w:eastAsia="宋体" w:cs="宋体"/>
                <w:szCs w:val="21"/>
                <w:lang w:val="en-US" w:eastAsia="zh-CN"/>
              </w:rPr>
              <w:t>业绩</w:t>
            </w:r>
          </w:p>
        </w:tc>
        <w:tc>
          <w:tcPr>
            <w:tcW w:w="5198" w:type="dxa"/>
            <w:gridSpan w:val="4"/>
            <w:vAlign w:val="center"/>
          </w:tcPr>
          <w:p>
            <w:pPr>
              <w:spacing w:line="240" w:lineRule="auto"/>
              <w:rPr>
                <w:rFonts w:hint="eastAsia" w:ascii="宋体" w:hAnsi="宋体" w:eastAsia="宋体" w:cs="宋体"/>
                <w:color w:val="000000"/>
              </w:rPr>
            </w:pPr>
            <w:r>
              <w:rPr>
                <w:rFonts w:hint="eastAsia" w:ascii="宋体" w:hAnsi="宋体" w:eastAsia="宋体" w:cs="宋体"/>
                <w:color w:val="000000"/>
              </w:rPr>
              <w:t>投标人20</w:t>
            </w:r>
            <w:r>
              <w:rPr>
                <w:rFonts w:hint="eastAsia" w:ascii="宋体" w:hAnsi="宋体" w:cs="宋体"/>
                <w:color w:val="000000"/>
                <w:lang w:val="en-US" w:eastAsia="zh-CN"/>
              </w:rPr>
              <w:t>21</w:t>
            </w:r>
            <w:r>
              <w:rPr>
                <w:rFonts w:hint="eastAsia" w:ascii="宋体" w:hAnsi="宋体" w:eastAsia="宋体" w:cs="宋体"/>
                <w:color w:val="000000"/>
              </w:rPr>
              <w:t>年1月1日以来具有已完成类似项目业绩，</w:t>
            </w:r>
            <w:r>
              <w:rPr>
                <w:rFonts w:hint="eastAsia" w:ascii="宋体" w:hAnsi="宋体" w:eastAsia="宋体" w:cs="宋体"/>
                <w:color w:val="000000"/>
                <w:lang w:val="en-US" w:eastAsia="zh-CN"/>
              </w:rPr>
              <w:t>有的</w:t>
            </w:r>
            <w:r>
              <w:rPr>
                <w:rFonts w:hint="eastAsia" w:ascii="宋体" w:hAnsi="宋体" w:eastAsia="宋体" w:cs="宋体"/>
                <w:color w:val="000000"/>
              </w:rPr>
              <w:t>得</w:t>
            </w:r>
            <w:r>
              <w:rPr>
                <w:rFonts w:hint="eastAsia" w:ascii="宋体" w:hAnsi="宋体" w:cs="宋体"/>
                <w:color w:val="000000"/>
                <w:lang w:val="en-US" w:eastAsia="zh-CN"/>
              </w:rPr>
              <w:t>5</w:t>
            </w:r>
            <w:r>
              <w:rPr>
                <w:rFonts w:hint="eastAsia" w:ascii="宋体" w:hAnsi="宋体" w:eastAsia="宋体" w:cs="宋体"/>
                <w:color w:val="000000"/>
              </w:rPr>
              <w:t>分</w:t>
            </w:r>
            <w:r>
              <w:rPr>
                <w:rFonts w:hint="eastAsia" w:ascii="宋体" w:hAnsi="宋体" w:eastAsia="宋体" w:cs="宋体"/>
                <w:color w:val="000000"/>
                <w:lang w:eastAsia="zh-CN"/>
              </w:rPr>
              <w:t>，</w:t>
            </w:r>
            <w:r>
              <w:rPr>
                <w:rFonts w:hint="eastAsia" w:ascii="宋体" w:hAnsi="宋体" w:eastAsia="宋体" w:cs="宋体"/>
                <w:color w:val="000000"/>
                <w:lang w:val="en-US" w:eastAsia="zh-CN"/>
              </w:rPr>
              <w:t>否则不得分</w:t>
            </w:r>
            <w:r>
              <w:rPr>
                <w:rFonts w:hint="eastAsia" w:ascii="宋体" w:hAnsi="宋体" w:eastAsia="宋体" w:cs="宋体"/>
                <w:color w:val="000000"/>
              </w:rPr>
              <w:t>。（以施工合同为准）。</w:t>
            </w:r>
          </w:p>
        </w:tc>
        <w:tc>
          <w:tcPr>
            <w:tcW w:w="1368" w:type="dxa"/>
            <w:vAlign w:val="center"/>
          </w:tcPr>
          <w:p>
            <w:pPr>
              <w:pStyle w:val="69"/>
              <w:spacing w:line="340" w:lineRule="exact"/>
              <w:jc w:val="center"/>
              <w:rPr>
                <w:rFonts w:hAnsi="宋体" w:cs="宋体"/>
                <w:b/>
                <w:color w:val="auto"/>
                <w:sz w:val="21"/>
                <w:szCs w:val="21"/>
              </w:rPr>
            </w:pPr>
            <w:r>
              <w:rPr>
                <w:rFonts w:hint="eastAsia" w:ascii="宋体" w:hAnsi="宋体" w:eastAsia="宋体" w:cs="宋体"/>
                <w:color w:val="auto"/>
                <w:sz w:val="21"/>
              </w:rPr>
              <w:t>0～</w:t>
            </w:r>
            <w:r>
              <w:rPr>
                <w:rFonts w:hint="eastAsia" w:hAnsi="宋体" w:cs="宋体"/>
                <w:color w:val="auto"/>
                <w:sz w:val="21"/>
                <w:lang w:val="en-US" w:eastAsia="zh-CN"/>
              </w:rPr>
              <w:t>5</w:t>
            </w:r>
            <w:r>
              <w:rPr>
                <w:rFonts w:hint="eastAsia" w:ascii="宋体" w:hAnsi="宋体" w:eastAsia="宋体" w:cs="宋体"/>
                <w:color w:val="auto"/>
                <w:sz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9" w:hRule="atLeast"/>
        </w:trPr>
        <w:tc>
          <w:tcPr>
            <w:tcW w:w="793" w:type="dxa"/>
            <w:vMerge w:val="continue"/>
            <w:vAlign w:val="center"/>
          </w:tcPr>
          <w:p>
            <w:pPr>
              <w:pStyle w:val="69"/>
              <w:spacing w:line="340" w:lineRule="exact"/>
              <w:jc w:val="center"/>
              <w:rPr>
                <w:rFonts w:hint="eastAsia" w:hAnsi="宋体" w:cs="宋体"/>
                <w:color w:val="auto"/>
                <w:sz w:val="21"/>
              </w:rPr>
            </w:pPr>
          </w:p>
        </w:tc>
        <w:tc>
          <w:tcPr>
            <w:tcW w:w="758" w:type="dxa"/>
            <w:gridSpan w:val="2"/>
            <w:vMerge w:val="continue"/>
            <w:vAlign w:val="center"/>
          </w:tcPr>
          <w:p>
            <w:pPr>
              <w:pStyle w:val="69"/>
              <w:spacing w:line="340" w:lineRule="exact"/>
              <w:jc w:val="center"/>
              <w:rPr>
                <w:rFonts w:hint="eastAsia" w:hAnsi="宋体" w:cs="宋体"/>
                <w:color w:val="auto"/>
                <w:sz w:val="21"/>
                <w:highlight w:val="none"/>
              </w:rPr>
            </w:pPr>
          </w:p>
        </w:tc>
        <w:tc>
          <w:tcPr>
            <w:tcW w:w="1230" w:type="dxa"/>
            <w:vAlign w:val="center"/>
          </w:tcPr>
          <w:p>
            <w:pPr>
              <w:spacing w:line="240" w:lineRule="auto"/>
              <w:jc w:val="center"/>
              <w:rPr>
                <w:rFonts w:hint="default" w:ascii="宋体" w:hAnsi="宋体" w:eastAsia="宋体" w:cs="宋体"/>
                <w:szCs w:val="21"/>
                <w:lang w:val="en-US" w:eastAsia="zh-CN"/>
              </w:rPr>
            </w:pPr>
            <w:r>
              <w:rPr>
                <w:rFonts w:hint="eastAsia" w:ascii="宋体" w:hAnsi="宋体" w:cs="宋体"/>
                <w:szCs w:val="21"/>
                <w:lang w:val="en-US" w:eastAsia="zh-CN"/>
              </w:rPr>
              <w:t>信用等级</w:t>
            </w:r>
          </w:p>
        </w:tc>
        <w:tc>
          <w:tcPr>
            <w:tcW w:w="5198" w:type="dxa"/>
            <w:gridSpan w:val="4"/>
            <w:vAlign w:val="center"/>
          </w:tcPr>
          <w:p>
            <w:pPr>
              <w:spacing w:line="240" w:lineRule="auto"/>
              <w:rPr>
                <w:rFonts w:hint="eastAsia" w:ascii="宋体" w:hAnsi="宋体" w:eastAsia="宋体" w:cs="宋体"/>
                <w:color w:val="000000"/>
              </w:rPr>
            </w:pPr>
            <w:r>
              <w:rPr>
                <w:rFonts w:hint="eastAsia" w:ascii="宋体" w:hAnsi="宋体" w:cs="宋体"/>
                <w:color w:val="auto"/>
                <w:szCs w:val="21"/>
              </w:rPr>
              <w:t>投标企业具有AAA信用等级证书的得</w:t>
            </w:r>
            <w:r>
              <w:rPr>
                <w:rFonts w:hint="eastAsia" w:ascii="宋体" w:hAnsi="宋体" w:cs="宋体"/>
                <w:color w:val="auto"/>
                <w:szCs w:val="21"/>
                <w:lang w:val="en-US" w:eastAsia="zh-CN"/>
              </w:rPr>
              <w:t>5</w:t>
            </w:r>
            <w:r>
              <w:rPr>
                <w:rFonts w:hint="eastAsia" w:ascii="宋体" w:hAnsi="宋体" w:cs="宋体"/>
                <w:color w:val="auto"/>
                <w:szCs w:val="21"/>
              </w:rPr>
              <w:t>分，AA信用等级证书的得</w:t>
            </w:r>
            <w:r>
              <w:rPr>
                <w:rFonts w:hint="eastAsia" w:ascii="宋体" w:hAnsi="宋体" w:cs="宋体"/>
                <w:color w:val="auto"/>
                <w:szCs w:val="21"/>
                <w:lang w:val="en-US" w:eastAsia="zh-CN"/>
              </w:rPr>
              <w:t>3</w:t>
            </w:r>
            <w:r>
              <w:rPr>
                <w:rFonts w:hint="eastAsia" w:ascii="宋体" w:hAnsi="宋体" w:cs="宋体"/>
                <w:color w:val="auto"/>
                <w:szCs w:val="21"/>
              </w:rPr>
              <w:t>分，其他或没有则不得分。（以颁发的证书为准）</w:t>
            </w:r>
          </w:p>
        </w:tc>
        <w:tc>
          <w:tcPr>
            <w:tcW w:w="1368" w:type="dxa"/>
            <w:vAlign w:val="center"/>
          </w:tcPr>
          <w:p>
            <w:pPr>
              <w:pStyle w:val="69"/>
              <w:spacing w:line="340" w:lineRule="exact"/>
              <w:jc w:val="center"/>
              <w:rPr>
                <w:rFonts w:hint="eastAsia" w:ascii="宋体" w:hAnsi="宋体" w:eastAsia="宋体" w:cs="宋体"/>
                <w:color w:val="auto"/>
                <w:sz w:val="21"/>
              </w:rPr>
            </w:pPr>
            <w:r>
              <w:rPr>
                <w:rFonts w:hint="eastAsia" w:ascii="宋体" w:hAnsi="宋体" w:eastAsia="宋体" w:cs="宋体"/>
                <w:color w:val="auto"/>
                <w:sz w:val="21"/>
              </w:rPr>
              <w:t>0～</w:t>
            </w:r>
            <w:r>
              <w:rPr>
                <w:rFonts w:hint="eastAsia" w:hAnsi="宋体" w:cs="宋体"/>
                <w:color w:val="auto"/>
                <w:sz w:val="21"/>
                <w:lang w:val="en-US" w:eastAsia="zh-CN"/>
              </w:rPr>
              <w:t>5</w:t>
            </w:r>
            <w:r>
              <w:rPr>
                <w:rFonts w:hint="eastAsia" w:ascii="宋体" w:hAnsi="宋体" w:eastAsia="宋体" w:cs="宋体"/>
                <w:color w:val="auto"/>
                <w:sz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793" w:type="dxa"/>
            <w:vMerge w:val="continue"/>
            <w:vAlign w:val="center"/>
          </w:tcPr>
          <w:p>
            <w:pPr>
              <w:pStyle w:val="69"/>
              <w:spacing w:line="340" w:lineRule="exact"/>
              <w:jc w:val="center"/>
              <w:rPr>
                <w:rFonts w:hint="eastAsia" w:hAnsi="宋体" w:cs="宋体"/>
                <w:color w:val="auto"/>
                <w:sz w:val="21"/>
              </w:rPr>
            </w:pPr>
          </w:p>
        </w:tc>
        <w:tc>
          <w:tcPr>
            <w:tcW w:w="758" w:type="dxa"/>
            <w:gridSpan w:val="2"/>
            <w:vMerge w:val="continue"/>
            <w:vAlign w:val="center"/>
          </w:tcPr>
          <w:p>
            <w:pPr>
              <w:pStyle w:val="69"/>
              <w:spacing w:line="340" w:lineRule="exact"/>
              <w:jc w:val="center"/>
              <w:rPr>
                <w:rFonts w:hint="eastAsia" w:hAnsi="宋体" w:cs="宋体"/>
                <w:color w:val="auto"/>
                <w:sz w:val="21"/>
                <w:highlight w:val="none"/>
              </w:rPr>
            </w:pPr>
          </w:p>
        </w:tc>
        <w:tc>
          <w:tcPr>
            <w:tcW w:w="1230" w:type="dxa"/>
            <w:vAlign w:val="center"/>
          </w:tcPr>
          <w:p>
            <w:pPr>
              <w:jc w:val="center"/>
              <w:rPr>
                <w:rFonts w:hint="eastAsia" w:ascii="宋体" w:hAnsi="宋体" w:cs="宋体"/>
                <w:bCs/>
                <w:szCs w:val="21"/>
              </w:rPr>
            </w:pPr>
            <w:r>
              <w:rPr>
                <w:rFonts w:hint="eastAsia" w:ascii="宋体" w:hAnsi="宋体" w:cs="宋体"/>
                <w:bCs/>
                <w:szCs w:val="21"/>
              </w:rPr>
              <w:t>优惠</w:t>
            </w:r>
          </w:p>
          <w:p>
            <w:pPr>
              <w:jc w:val="center"/>
              <w:rPr>
                <w:rFonts w:hint="eastAsia" w:ascii="宋体" w:hAnsi="宋体" w:eastAsia="宋体" w:cs="宋体"/>
                <w:szCs w:val="21"/>
                <w:lang w:val="en-US" w:eastAsia="zh-CN"/>
              </w:rPr>
            </w:pPr>
            <w:r>
              <w:rPr>
                <w:rFonts w:hint="eastAsia" w:ascii="宋体" w:hAnsi="宋体" w:cs="宋体"/>
                <w:bCs/>
                <w:szCs w:val="21"/>
              </w:rPr>
              <w:t>承诺</w:t>
            </w:r>
          </w:p>
        </w:tc>
        <w:tc>
          <w:tcPr>
            <w:tcW w:w="5198" w:type="dxa"/>
            <w:gridSpan w:val="4"/>
            <w:vAlign w:val="center"/>
          </w:tcPr>
          <w:p>
            <w:pPr>
              <w:jc w:val="left"/>
              <w:rPr>
                <w:rFonts w:hint="eastAsia" w:ascii="宋体" w:hAnsi="宋体" w:eastAsia="宋体" w:cs="宋体"/>
                <w:color w:val="000000"/>
              </w:rPr>
            </w:pPr>
            <w:r>
              <w:rPr>
                <w:rFonts w:hint="eastAsia" w:ascii="宋体" w:hAnsi="宋体" w:cs="宋体"/>
                <w:bCs/>
                <w:szCs w:val="21"/>
              </w:rPr>
              <w:t>优惠承诺应是书面的符合工程实际情况，确保依法依规，优惠合理，详实可行。</w:t>
            </w:r>
          </w:p>
        </w:tc>
        <w:tc>
          <w:tcPr>
            <w:tcW w:w="1368" w:type="dxa"/>
            <w:vAlign w:val="center"/>
          </w:tcPr>
          <w:p>
            <w:pPr>
              <w:pStyle w:val="69"/>
              <w:spacing w:line="340" w:lineRule="exact"/>
              <w:jc w:val="center"/>
              <w:rPr>
                <w:rFonts w:hint="eastAsia" w:ascii="宋体" w:hAnsi="宋体" w:eastAsia="宋体" w:cs="宋体"/>
                <w:color w:val="auto"/>
                <w:sz w:val="21"/>
              </w:rPr>
            </w:pPr>
            <w:r>
              <w:rPr>
                <w:rFonts w:hint="eastAsia" w:ascii="宋体" w:hAnsi="宋体" w:eastAsia="宋体" w:cs="宋体"/>
                <w:color w:val="auto"/>
                <w:sz w:val="21"/>
              </w:rPr>
              <w:t>0～</w:t>
            </w:r>
            <w:r>
              <w:rPr>
                <w:rFonts w:hint="eastAsia" w:hAnsi="宋体" w:eastAsia="宋体" w:cs="宋体"/>
                <w:color w:val="auto"/>
                <w:sz w:val="21"/>
                <w:lang w:val="en-US" w:eastAsia="zh-CN"/>
              </w:rPr>
              <w:t>4</w:t>
            </w:r>
            <w:r>
              <w:rPr>
                <w:rFonts w:hint="eastAsia" w:ascii="宋体" w:hAnsi="宋体" w:eastAsia="宋体" w:cs="宋体"/>
                <w:color w:val="auto"/>
                <w:sz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trPr>
        <w:tc>
          <w:tcPr>
            <w:tcW w:w="793" w:type="dxa"/>
            <w:vMerge w:val="continue"/>
            <w:vAlign w:val="center"/>
          </w:tcPr>
          <w:p>
            <w:pPr>
              <w:pStyle w:val="69"/>
              <w:spacing w:line="340" w:lineRule="exact"/>
              <w:jc w:val="center"/>
              <w:rPr>
                <w:rFonts w:hint="eastAsia" w:hAnsi="宋体" w:cs="宋体"/>
                <w:color w:val="auto"/>
                <w:sz w:val="21"/>
              </w:rPr>
            </w:pPr>
          </w:p>
        </w:tc>
        <w:tc>
          <w:tcPr>
            <w:tcW w:w="758" w:type="dxa"/>
            <w:gridSpan w:val="2"/>
            <w:vMerge w:val="continue"/>
            <w:vAlign w:val="center"/>
          </w:tcPr>
          <w:p>
            <w:pPr>
              <w:pStyle w:val="69"/>
              <w:spacing w:line="340" w:lineRule="exact"/>
              <w:jc w:val="center"/>
              <w:rPr>
                <w:rFonts w:hint="eastAsia" w:hAnsi="宋体" w:cs="宋体"/>
                <w:color w:val="auto"/>
                <w:sz w:val="21"/>
                <w:highlight w:val="none"/>
              </w:rPr>
            </w:pPr>
          </w:p>
        </w:tc>
        <w:tc>
          <w:tcPr>
            <w:tcW w:w="1230" w:type="dxa"/>
            <w:vAlign w:val="center"/>
          </w:tcPr>
          <w:p>
            <w:pPr>
              <w:jc w:val="center"/>
              <w:rPr>
                <w:rFonts w:hint="eastAsia" w:ascii="宋体" w:hAnsi="宋体" w:eastAsia="宋体" w:cs="宋体"/>
                <w:szCs w:val="21"/>
                <w:lang w:val="en-US" w:eastAsia="zh-CN"/>
              </w:rPr>
            </w:pPr>
            <w:r>
              <w:rPr>
                <w:rFonts w:hint="eastAsia" w:ascii="宋体" w:hAnsi="宋体" w:cs="宋体"/>
                <w:bCs/>
                <w:szCs w:val="21"/>
              </w:rPr>
              <w:t>履职尽责承诺</w:t>
            </w:r>
          </w:p>
        </w:tc>
        <w:tc>
          <w:tcPr>
            <w:tcW w:w="5198" w:type="dxa"/>
            <w:gridSpan w:val="4"/>
            <w:vAlign w:val="center"/>
          </w:tcPr>
          <w:p>
            <w:pPr>
              <w:jc w:val="left"/>
              <w:rPr>
                <w:rFonts w:hint="eastAsia" w:ascii="宋体" w:hAnsi="宋体" w:cs="宋体"/>
                <w:bCs/>
                <w:szCs w:val="21"/>
              </w:rPr>
            </w:pPr>
            <w:r>
              <w:rPr>
                <w:rFonts w:hint="eastAsia" w:ascii="宋体" w:hAnsi="宋体" w:cs="宋体"/>
                <w:bCs/>
                <w:szCs w:val="21"/>
                <w:lang w:eastAsia="zh-CN"/>
              </w:rPr>
              <w:t>投</w:t>
            </w:r>
            <w:r>
              <w:rPr>
                <w:rFonts w:hint="eastAsia" w:ascii="宋体" w:hAnsi="宋体" w:cs="宋体"/>
                <w:bCs/>
                <w:color w:val="000000"/>
                <w:szCs w:val="21"/>
                <w:highlight w:val="none"/>
              </w:rPr>
              <w:t>标人对项目建设过程中有关工期、质量、技术标准和要求、履约保证等方面</w:t>
            </w:r>
            <w:r>
              <w:rPr>
                <w:rFonts w:hint="eastAsia" w:ascii="宋体" w:hAnsi="宋体" w:cs="宋体"/>
                <w:bCs/>
                <w:szCs w:val="21"/>
              </w:rPr>
              <w:t>具有全面、详实、可行、合法有效的书面保证技术措施落实到位的承诺和落实不到位的处理承诺。</w:t>
            </w:r>
          </w:p>
        </w:tc>
        <w:tc>
          <w:tcPr>
            <w:tcW w:w="1368" w:type="dxa"/>
            <w:vAlign w:val="center"/>
          </w:tcPr>
          <w:p>
            <w:pPr>
              <w:pStyle w:val="69"/>
              <w:spacing w:line="340" w:lineRule="exact"/>
              <w:jc w:val="center"/>
              <w:rPr>
                <w:rFonts w:hint="eastAsia" w:hAnsi="宋体" w:cs="宋体"/>
                <w:sz w:val="21"/>
                <w:szCs w:val="21"/>
              </w:rPr>
            </w:pPr>
            <w:r>
              <w:rPr>
                <w:rFonts w:hint="eastAsia" w:ascii="宋体" w:hAnsi="宋体" w:eastAsia="宋体" w:cs="宋体"/>
                <w:color w:val="auto"/>
                <w:sz w:val="21"/>
              </w:rPr>
              <w:t>0～</w:t>
            </w:r>
            <w:r>
              <w:rPr>
                <w:rFonts w:hint="eastAsia" w:hAnsi="宋体" w:eastAsia="宋体" w:cs="宋体"/>
                <w:color w:val="auto"/>
                <w:sz w:val="21"/>
                <w:lang w:val="en-US" w:eastAsia="zh-CN"/>
              </w:rPr>
              <w:t>4</w:t>
            </w:r>
            <w:r>
              <w:rPr>
                <w:rFonts w:hint="eastAsia" w:ascii="宋体" w:hAnsi="宋体" w:eastAsia="宋体" w:cs="宋体"/>
                <w:color w:val="auto"/>
                <w:sz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9" w:hRule="atLeast"/>
        </w:trPr>
        <w:tc>
          <w:tcPr>
            <w:tcW w:w="793" w:type="dxa"/>
            <w:vMerge w:val="continue"/>
            <w:vAlign w:val="center"/>
          </w:tcPr>
          <w:p>
            <w:pPr>
              <w:pStyle w:val="69"/>
              <w:spacing w:line="340" w:lineRule="exact"/>
              <w:jc w:val="center"/>
              <w:rPr>
                <w:rFonts w:hint="eastAsia" w:hAnsi="宋体" w:cs="宋体"/>
                <w:color w:val="auto"/>
                <w:sz w:val="21"/>
              </w:rPr>
            </w:pPr>
          </w:p>
        </w:tc>
        <w:tc>
          <w:tcPr>
            <w:tcW w:w="758" w:type="dxa"/>
            <w:gridSpan w:val="2"/>
            <w:vMerge w:val="continue"/>
            <w:vAlign w:val="center"/>
          </w:tcPr>
          <w:p>
            <w:pPr>
              <w:pStyle w:val="69"/>
              <w:spacing w:line="340" w:lineRule="exact"/>
              <w:jc w:val="center"/>
              <w:rPr>
                <w:rFonts w:hint="eastAsia" w:hAnsi="宋体" w:cs="宋体"/>
                <w:color w:val="auto"/>
                <w:sz w:val="21"/>
                <w:highlight w:val="none"/>
              </w:rPr>
            </w:pPr>
          </w:p>
        </w:tc>
        <w:tc>
          <w:tcPr>
            <w:tcW w:w="1230" w:type="dxa"/>
            <w:vAlign w:val="center"/>
          </w:tcPr>
          <w:p>
            <w:pPr>
              <w:jc w:val="center"/>
              <w:rPr>
                <w:rFonts w:hint="eastAsia" w:ascii="宋体" w:hAnsi="宋体" w:eastAsia="宋体" w:cs="宋体"/>
                <w:szCs w:val="21"/>
                <w:lang w:val="en-US" w:eastAsia="zh-CN"/>
              </w:rPr>
            </w:pPr>
            <w:r>
              <w:rPr>
                <w:rFonts w:hint="eastAsia" w:ascii="宋体" w:hAnsi="宋体" w:cs="宋体"/>
                <w:bCs/>
                <w:szCs w:val="21"/>
              </w:rPr>
              <w:t>招标人意见</w:t>
            </w:r>
          </w:p>
        </w:tc>
        <w:tc>
          <w:tcPr>
            <w:tcW w:w="5198" w:type="dxa"/>
            <w:gridSpan w:val="4"/>
            <w:vAlign w:val="center"/>
          </w:tcPr>
          <w:p>
            <w:pPr>
              <w:rPr>
                <w:rFonts w:hint="eastAsia" w:ascii="宋体" w:hAnsi="宋体" w:cs="宋体"/>
                <w:szCs w:val="21"/>
              </w:rPr>
            </w:pPr>
            <w:r>
              <w:rPr>
                <w:rFonts w:hint="eastAsia" w:ascii="宋体" w:hAnsi="宋体" w:cs="宋体"/>
                <w:bCs/>
                <w:szCs w:val="21"/>
              </w:rPr>
              <w:t>招标人代表依据项目基本情况结合投标人递交投标文件编制情况对各投标企业进行打分。</w:t>
            </w:r>
          </w:p>
        </w:tc>
        <w:tc>
          <w:tcPr>
            <w:tcW w:w="1368" w:type="dxa"/>
            <w:vAlign w:val="center"/>
          </w:tcPr>
          <w:p>
            <w:pPr>
              <w:autoSpaceDE w:val="0"/>
              <w:autoSpaceDN w:val="0"/>
              <w:adjustRightInd w:val="0"/>
              <w:spacing w:line="340" w:lineRule="exact"/>
              <w:jc w:val="center"/>
              <w:rPr>
                <w:rFonts w:hint="eastAsia" w:hAnsi="宋体" w:cs="宋体"/>
                <w:sz w:val="21"/>
                <w:szCs w:val="21"/>
              </w:rPr>
            </w:pPr>
            <w:r>
              <w:rPr>
                <w:rFonts w:hint="eastAsia" w:ascii="宋体" w:hAnsi="宋体" w:cs="宋体"/>
                <w:kern w:val="0"/>
                <w:szCs w:val="21"/>
              </w:rPr>
              <w:t>0</w:t>
            </w:r>
            <w:r>
              <w:rPr>
                <w:rFonts w:hint="eastAsia" w:ascii="宋体" w:hAnsi="宋体" w:cs="宋体"/>
                <w:spacing w:val="-4"/>
                <w:szCs w:val="21"/>
              </w:rPr>
              <w:t>～</w:t>
            </w:r>
            <w:r>
              <w:rPr>
                <w:rFonts w:hint="eastAsia" w:ascii="宋体" w:hAnsi="宋体" w:cs="宋体"/>
                <w:kern w:val="0"/>
                <w:szCs w:val="21"/>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9" w:hRule="exact"/>
        </w:trPr>
        <w:tc>
          <w:tcPr>
            <w:tcW w:w="9347" w:type="dxa"/>
            <w:gridSpan w:val="9"/>
            <w:vAlign w:val="center"/>
          </w:tcPr>
          <w:p>
            <w:pPr>
              <w:pStyle w:val="69"/>
              <w:spacing w:line="360" w:lineRule="auto"/>
              <w:ind w:firstLine="420" w:firstLineChars="200"/>
              <w:rPr>
                <w:rFonts w:hAnsi="宋体" w:cs="宋体"/>
                <w:bCs/>
                <w:color w:val="auto"/>
                <w:sz w:val="21"/>
                <w:szCs w:val="21"/>
                <w:lang w:val="en-US" w:eastAsia="zh-CN"/>
              </w:rPr>
            </w:pPr>
            <w:r>
              <w:rPr>
                <w:rFonts w:hint="eastAsia" w:hAnsi="宋体" w:cs="宋体"/>
                <w:bCs/>
                <w:color w:val="auto"/>
                <w:sz w:val="21"/>
                <w:szCs w:val="21"/>
              </w:rPr>
              <w:t>注：</w:t>
            </w:r>
            <w:r>
              <w:rPr>
                <w:rFonts w:hAnsi="宋体" w:cs="宋体"/>
                <w:bCs/>
                <w:color w:val="auto"/>
                <w:sz w:val="21"/>
                <w:szCs w:val="21"/>
                <w:lang w:val="en-US" w:eastAsia="zh-CN"/>
              </w:rPr>
              <w:t>1、投标企业的业绩和荣誉，在投标</w:t>
            </w:r>
            <w:r>
              <w:rPr>
                <w:rFonts w:hint="eastAsia" w:hAnsi="宋体" w:cs="宋体"/>
                <w:bCs/>
                <w:color w:val="auto"/>
                <w:sz w:val="21"/>
                <w:szCs w:val="21"/>
                <w:lang w:val="en-US" w:eastAsia="zh-CN"/>
              </w:rPr>
              <w:t>文件中须附复印件，开、评标前在诚信库中提交证明材料扫描件，</w:t>
            </w:r>
            <w:r>
              <w:rPr>
                <w:rFonts w:hAnsi="宋体" w:cs="宋体"/>
                <w:bCs/>
                <w:color w:val="auto"/>
                <w:sz w:val="21"/>
                <w:szCs w:val="21"/>
                <w:lang w:val="en-US" w:eastAsia="zh-CN"/>
              </w:rPr>
              <w:t>两者必须一致，否则按无证处理；（</w:t>
            </w:r>
            <w:r>
              <w:rPr>
                <w:rFonts w:hint="eastAsia" w:hAnsi="宋体" w:cs="宋体"/>
                <w:bCs/>
                <w:color w:val="auto"/>
                <w:sz w:val="21"/>
                <w:szCs w:val="21"/>
                <w:lang w:val="en-US" w:eastAsia="zh-CN"/>
              </w:rPr>
              <w:t>证明荣誉以建设行政主管部门或其授权组织颁发的证书和下达的文件</w:t>
            </w:r>
            <w:r>
              <w:rPr>
                <w:rFonts w:hAnsi="宋体" w:cs="宋体"/>
                <w:bCs/>
                <w:color w:val="auto"/>
                <w:sz w:val="21"/>
                <w:szCs w:val="21"/>
                <w:lang w:val="en-US" w:eastAsia="zh-CN"/>
              </w:rPr>
              <w:t>为准、涉及职称证书的以政府或政府人事部门</w:t>
            </w:r>
            <w:r>
              <w:rPr>
                <w:rFonts w:hint="eastAsia" w:hAnsi="宋体" w:cs="宋体"/>
                <w:bCs/>
                <w:color w:val="auto"/>
                <w:sz w:val="21"/>
                <w:szCs w:val="21"/>
                <w:lang w:val="en-US" w:eastAsia="zh-CN"/>
              </w:rPr>
              <w:t>授权的组织</w:t>
            </w:r>
            <w:r>
              <w:rPr>
                <w:rFonts w:hAnsi="宋体" w:cs="宋体"/>
                <w:bCs/>
                <w:color w:val="auto"/>
                <w:sz w:val="21"/>
                <w:szCs w:val="21"/>
                <w:lang w:val="en-US" w:eastAsia="zh-CN"/>
              </w:rPr>
              <w:t>颁发的为准。</w:t>
            </w:r>
            <w:r>
              <w:rPr>
                <w:rFonts w:hint="eastAsia" w:hAnsi="宋体" w:cs="宋体"/>
                <w:bCs/>
                <w:color w:val="auto"/>
                <w:sz w:val="21"/>
                <w:szCs w:val="21"/>
                <w:lang w:val="en-US" w:eastAsia="zh-CN"/>
              </w:rPr>
              <w:t>所有证明荣誉业绩以发证日期为准，只计最高分，不累计。）</w:t>
            </w:r>
          </w:p>
          <w:p>
            <w:pPr>
              <w:pStyle w:val="69"/>
              <w:spacing w:line="360" w:lineRule="auto"/>
              <w:ind w:firstLine="420" w:firstLineChars="200"/>
              <w:rPr>
                <w:rFonts w:hAnsi="宋体" w:cs="宋体"/>
                <w:bCs/>
                <w:color w:val="auto"/>
                <w:sz w:val="21"/>
                <w:szCs w:val="21"/>
                <w:lang w:val="en-US" w:eastAsia="zh-CN"/>
              </w:rPr>
            </w:pPr>
            <w:r>
              <w:rPr>
                <w:rFonts w:hAnsi="宋体" w:cs="宋体"/>
                <w:bCs/>
                <w:color w:val="auto"/>
                <w:sz w:val="21"/>
                <w:szCs w:val="21"/>
                <w:lang w:val="en-US" w:eastAsia="zh-CN"/>
              </w:rPr>
              <w:t>2、投标企业在招投标活动中提供的资质证件、获奖证书等应真实、有效，并对其真实性进行承诺，承诺书加盖公司公章作为投标文件的组成部分，若不据实承诺，弄虚作假，一经查实，将取消中标资格并报</w:t>
            </w:r>
            <w:r>
              <w:rPr>
                <w:rFonts w:hint="eastAsia" w:hAnsi="宋体" w:cs="宋体"/>
                <w:bCs/>
                <w:color w:val="auto"/>
                <w:sz w:val="21"/>
                <w:szCs w:val="21"/>
                <w:lang w:val="en-US" w:eastAsia="zh-CN"/>
              </w:rPr>
              <w:t>建设行政</w:t>
            </w:r>
            <w:r>
              <w:rPr>
                <w:rFonts w:hAnsi="宋体" w:cs="宋体"/>
                <w:bCs/>
                <w:color w:val="auto"/>
                <w:sz w:val="21"/>
                <w:szCs w:val="21"/>
                <w:lang w:val="en-US" w:eastAsia="zh-CN"/>
              </w:rPr>
              <w:t>主管部门给予不良行为记录等处理。</w:t>
            </w:r>
          </w:p>
          <w:p>
            <w:pPr>
              <w:pStyle w:val="69"/>
              <w:spacing w:line="360" w:lineRule="auto"/>
              <w:ind w:firstLine="420" w:firstLineChars="200"/>
              <w:rPr>
                <w:rFonts w:hAnsi="宋体" w:cs="宋体"/>
                <w:bCs/>
                <w:color w:val="auto"/>
                <w:sz w:val="21"/>
                <w:szCs w:val="21"/>
              </w:rPr>
            </w:pPr>
            <w:r>
              <w:rPr>
                <w:rFonts w:hint="eastAsia" w:hAnsi="宋体" w:cs="宋体"/>
                <w:bCs/>
                <w:color w:val="auto"/>
                <w:sz w:val="21"/>
                <w:szCs w:val="21"/>
                <w:lang w:val="en-US" w:eastAsia="zh-CN"/>
              </w:rPr>
              <w:t>3</w:t>
            </w:r>
            <w:r>
              <w:rPr>
                <w:rFonts w:hAnsi="宋体" w:cs="宋体"/>
                <w:bCs/>
                <w:color w:val="auto"/>
                <w:sz w:val="21"/>
                <w:szCs w:val="21"/>
                <w:lang w:val="en-US" w:eastAsia="zh-CN"/>
              </w:rPr>
              <w:t>、对通过了初步评审的投标人，按综合标得分由高到低进行排序，选出前</w:t>
            </w:r>
            <w:r>
              <w:rPr>
                <w:rFonts w:hint="eastAsia" w:hAnsi="宋体" w:cs="宋体"/>
                <w:bCs/>
                <w:color w:val="auto"/>
                <w:sz w:val="21"/>
                <w:szCs w:val="21"/>
                <w:lang w:val="en-US" w:eastAsia="zh-CN"/>
              </w:rPr>
              <w:t xml:space="preserve"> 5 </w:t>
            </w:r>
            <w:r>
              <w:rPr>
                <w:rFonts w:hAnsi="宋体" w:cs="宋体"/>
                <w:bCs/>
                <w:color w:val="auto"/>
                <w:sz w:val="21"/>
                <w:szCs w:val="21"/>
                <w:lang w:val="en-US" w:eastAsia="zh-CN"/>
              </w:rPr>
              <w:t>家企业进入技术标评审（得分相同时以投标报价低的排在前面，报价再相同时，现场抽签确定），如进入综合标排序的投标人不足</w:t>
            </w:r>
            <w:r>
              <w:rPr>
                <w:rFonts w:hint="eastAsia" w:hAnsi="宋体" w:cs="宋体"/>
                <w:bCs/>
                <w:color w:val="auto"/>
                <w:sz w:val="21"/>
                <w:szCs w:val="21"/>
                <w:lang w:val="en-US" w:eastAsia="zh-CN"/>
              </w:rPr>
              <w:t>5</w:t>
            </w:r>
            <w:r>
              <w:rPr>
                <w:rFonts w:hAnsi="宋体" w:cs="宋体"/>
                <w:bCs/>
                <w:color w:val="auto"/>
                <w:sz w:val="21"/>
                <w:szCs w:val="21"/>
                <w:lang w:val="en-US" w:eastAsia="zh-CN"/>
              </w:rPr>
              <w:t>家，则所有初步评审合格的投标人全部进入技术标评审</w:t>
            </w:r>
            <w:r>
              <w:rPr>
                <w:rFonts w:hint="eastAsia" w:hAnsi="宋体" w:cs="宋体"/>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9" w:hRule="atLeast"/>
        </w:trPr>
        <w:tc>
          <w:tcPr>
            <w:tcW w:w="1551" w:type="dxa"/>
            <w:gridSpan w:val="3"/>
            <w:vAlign w:val="center"/>
          </w:tcPr>
          <w:p>
            <w:pPr>
              <w:pStyle w:val="69"/>
              <w:spacing w:line="340" w:lineRule="exact"/>
              <w:jc w:val="center"/>
              <w:rPr>
                <w:rFonts w:hAnsi="宋体" w:cs="宋体"/>
                <w:b/>
                <w:color w:val="auto"/>
                <w:sz w:val="21"/>
              </w:rPr>
            </w:pPr>
            <w:r>
              <w:rPr>
                <w:rFonts w:hint="eastAsia" w:hAnsi="宋体" w:cs="宋体"/>
                <w:b/>
                <w:color w:val="auto"/>
                <w:sz w:val="21"/>
              </w:rPr>
              <w:t>条款号</w:t>
            </w:r>
          </w:p>
        </w:tc>
        <w:tc>
          <w:tcPr>
            <w:tcW w:w="2407" w:type="dxa"/>
            <w:gridSpan w:val="3"/>
            <w:vAlign w:val="center"/>
          </w:tcPr>
          <w:p>
            <w:pPr>
              <w:pStyle w:val="69"/>
              <w:spacing w:line="340" w:lineRule="exact"/>
              <w:jc w:val="center"/>
              <w:rPr>
                <w:rFonts w:hAnsi="宋体" w:cs="宋体"/>
                <w:b/>
                <w:color w:val="auto"/>
                <w:sz w:val="21"/>
              </w:rPr>
            </w:pPr>
            <w:r>
              <w:rPr>
                <w:rFonts w:hint="eastAsia" w:hAnsi="宋体" w:cs="宋体"/>
                <w:b/>
                <w:color w:val="auto"/>
                <w:sz w:val="21"/>
              </w:rPr>
              <w:t>条款内容</w:t>
            </w:r>
          </w:p>
        </w:tc>
        <w:tc>
          <w:tcPr>
            <w:tcW w:w="5389" w:type="dxa"/>
            <w:gridSpan w:val="3"/>
            <w:vAlign w:val="center"/>
          </w:tcPr>
          <w:p>
            <w:pPr>
              <w:pStyle w:val="69"/>
              <w:spacing w:line="340" w:lineRule="exact"/>
              <w:jc w:val="center"/>
              <w:rPr>
                <w:rFonts w:hAnsi="宋体" w:cs="宋体"/>
                <w:b/>
                <w:color w:val="auto"/>
                <w:sz w:val="21"/>
              </w:rPr>
            </w:pPr>
            <w:r>
              <w:rPr>
                <w:rFonts w:hint="eastAsia" w:hAnsi="宋体" w:cs="宋体"/>
                <w:b/>
                <w:color w:val="auto"/>
                <w:sz w:val="21"/>
              </w:rPr>
              <w:t>只有通过综合标评审的投标人方可进入技术标的评审。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restart"/>
            <w:vAlign w:val="center"/>
          </w:tcPr>
          <w:p>
            <w:pPr>
              <w:pStyle w:val="69"/>
              <w:spacing w:line="340" w:lineRule="exact"/>
              <w:jc w:val="center"/>
              <w:rPr>
                <w:rFonts w:hAnsi="宋体" w:cs="宋体"/>
                <w:color w:val="auto"/>
                <w:sz w:val="21"/>
              </w:rPr>
            </w:pPr>
            <w:r>
              <w:rPr>
                <w:rFonts w:hint="eastAsia" w:hAnsi="宋体" w:cs="宋体"/>
                <w:color w:val="auto"/>
                <w:sz w:val="21"/>
              </w:rPr>
              <w:t>2.2.1</w:t>
            </w:r>
          </w:p>
          <w:p>
            <w:pPr>
              <w:pStyle w:val="69"/>
              <w:spacing w:line="340" w:lineRule="exact"/>
              <w:jc w:val="center"/>
              <w:rPr>
                <w:rFonts w:hAnsi="宋体" w:cs="宋体"/>
                <w:color w:val="auto"/>
                <w:sz w:val="21"/>
              </w:rPr>
            </w:pPr>
            <w:r>
              <w:rPr>
                <w:rFonts w:hint="eastAsia" w:hAnsi="宋体" w:cs="宋体"/>
                <w:color w:val="auto"/>
                <w:sz w:val="21"/>
              </w:rPr>
              <w:t>（3）</w:t>
            </w:r>
          </w:p>
        </w:tc>
        <w:tc>
          <w:tcPr>
            <w:tcW w:w="758" w:type="dxa"/>
            <w:gridSpan w:val="2"/>
            <w:vMerge w:val="restart"/>
            <w:vAlign w:val="center"/>
          </w:tcPr>
          <w:p>
            <w:pPr>
              <w:pStyle w:val="69"/>
              <w:spacing w:line="340" w:lineRule="exact"/>
              <w:jc w:val="center"/>
              <w:rPr>
                <w:rFonts w:hAnsi="宋体" w:cs="宋体"/>
                <w:color w:val="auto"/>
                <w:sz w:val="21"/>
              </w:rPr>
            </w:pPr>
            <w:r>
              <w:rPr>
                <w:rFonts w:hint="eastAsia" w:hAnsi="宋体" w:cs="宋体"/>
                <w:color w:val="auto"/>
                <w:sz w:val="21"/>
              </w:rPr>
              <w:t>技</w:t>
            </w:r>
          </w:p>
          <w:p>
            <w:pPr>
              <w:pStyle w:val="69"/>
              <w:spacing w:line="340" w:lineRule="exact"/>
              <w:jc w:val="center"/>
              <w:rPr>
                <w:rFonts w:hAnsi="宋体" w:cs="宋体"/>
                <w:color w:val="auto"/>
                <w:sz w:val="21"/>
              </w:rPr>
            </w:pPr>
            <w:r>
              <w:rPr>
                <w:rFonts w:hint="eastAsia" w:hAnsi="宋体" w:cs="宋体"/>
                <w:color w:val="auto"/>
                <w:sz w:val="21"/>
              </w:rPr>
              <w:t>术</w:t>
            </w:r>
          </w:p>
          <w:p>
            <w:pPr>
              <w:pStyle w:val="69"/>
              <w:spacing w:line="340" w:lineRule="exact"/>
              <w:jc w:val="center"/>
              <w:rPr>
                <w:rFonts w:hAnsi="宋体" w:cs="宋体"/>
                <w:color w:val="auto"/>
                <w:sz w:val="21"/>
              </w:rPr>
            </w:pPr>
            <w:r>
              <w:rPr>
                <w:rFonts w:hint="eastAsia" w:hAnsi="宋体" w:cs="宋体"/>
                <w:color w:val="auto"/>
                <w:sz w:val="21"/>
              </w:rPr>
              <w:t>标</w:t>
            </w:r>
          </w:p>
          <w:p>
            <w:pPr>
              <w:pStyle w:val="69"/>
              <w:spacing w:line="340" w:lineRule="exact"/>
              <w:jc w:val="center"/>
              <w:rPr>
                <w:rFonts w:hAnsi="宋体" w:cs="宋体"/>
                <w:color w:val="auto"/>
                <w:sz w:val="21"/>
              </w:rPr>
            </w:pPr>
            <w:r>
              <w:rPr>
                <w:rFonts w:hint="eastAsia" w:hAnsi="宋体" w:cs="宋体"/>
                <w:color w:val="auto"/>
                <w:sz w:val="21"/>
              </w:rPr>
              <w:t>评</w:t>
            </w:r>
          </w:p>
          <w:p>
            <w:pPr>
              <w:pStyle w:val="69"/>
              <w:spacing w:line="340" w:lineRule="exact"/>
              <w:jc w:val="center"/>
              <w:rPr>
                <w:rFonts w:hAnsi="宋体" w:cs="宋体"/>
                <w:color w:val="auto"/>
                <w:sz w:val="21"/>
              </w:rPr>
            </w:pPr>
            <w:r>
              <w:rPr>
                <w:rFonts w:hint="eastAsia" w:hAnsi="宋体" w:cs="宋体"/>
                <w:color w:val="auto"/>
                <w:sz w:val="21"/>
              </w:rPr>
              <w:t>审</w:t>
            </w:r>
          </w:p>
          <w:p>
            <w:pPr>
              <w:pStyle w:val="69"/>
              <w:spacing w:line="340" w:lineRule="exact"/>
              <w:jc w:val="center"/>
              <w:rPr>
                <w:rFonts w:hAnsi="宋体" w:cs="宋体"/>
                <w:color w:val="auto"/>
                <w:sz w:val="21"/>
              </w:rPr>
            </w:pPr>
            <w:r>
              <w:rPr>
                <w:rFonts w:hint="eastAsia" w:hAnsi="宋体" w:cs="宋体"/>
                <w:color w:val="auto"/>
                <w:sz w:val="21"/>
              </w:rPr>
              <w:t>标</w:t>
            </w:r>
          </w:p>
          <w:p>
            <w:pPr>
              <w:pStyle w:val="69"/>
              <w:spacing w:line="340" w:lineRule="exact"/>
              <w:rPr>
                <w:rFonts w:hAnsi="宋体" w:cs="宋体"/>
                <w:color w:val="auto"/>
                <w:sz w:val="21"/>
              </w:rPr>
            </w:pPr>
            <w:r>
              <w:rPr>
                <w:rFonts w:hint="eastAsia" w:hAnsi="宋体" w:cs="宋体"/>
                <w:color w:val="auto"/>
                <w:sz w:val="21"/>
              </w:rPr>
              <w:t>准</w:t>
            </w:r>
          </w:p>
        </w:tc>
        <w:tc>
          <w:tcPr>
            <w:tcW w:w="7796" w:type="dxa"/>
            <w:gridSpan w:val="6"/>
            <w:vAlign w:val="center"/>
          </w:tcPr>
          <w:p>
            <w:pPr>
              <w:pStyle w:val="69"/>
              <w:spacing w:line="320" w:lineRule="exact"/>
              <w:jc w:val="both"/>
              <w:rPr>
                <w:rFonts w:hAnsi="宋体" w:cs="宋体"/>
                <w:color w:val="auto"/>
                <w:sz w:val="21"/>
              </w:rPr>
            </w:pPr>
            <w:r>
              <w:rPr>
                <w:rFonts w:hint="eastAsia" w:hAnsi="宋体" w:cs="宋体"/>
                <w:color w:val="auto"/>
                <w:sz w:val="21"/>
              </w:rPr>
              <w:t>施工方案和技术措施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质量管理体系与措施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安全管理体系与措施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环境保护管理体系与措施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工程进度计划与措施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拟投入资源配备计划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施工进度表或施工网络图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施工总平面布置图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在节能减排、绿色施工、工艺创新方面针对本工程有具体措施或企业自有创新技术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新工艺、新技术、新设备、新材料的采用程度，其在确保质量、降低成本、缩短工期、减轻劳动强度、提高工效等方面的作用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continue"/>
            <w:vAlign w:val="center"/>
          </w:tcPr>
          <w:p>
            <w:pPr>
              <w:pStyle w:val="69"/>
              <w:spacing w:line="340" w:lineRule="exact"/>
              <w:jc w:val="center"/>
              <w:rPr>
                <w:rFonts w:hAnsi="宋体" w:cs="宋体"/>
                <w:b/>
                <w:color w:val="auto"/>
                <w:sz w:val="21"/>
              </w:rPr>
            </w:pPr>
          </w:p>
        </w:tc>
        <w:tc>
          <w:tcPr>
            <w:tcW w:w="758" w:type="dxa"/>
            <w:gridSpan w:val="2"/>
            <w:vMerge w:val="continue"/>
            <w:vAlign w:val="center"/>
          </w:tcPr>
          <w:p>
            <w:pPr>
              <w:pStyle w:val="69"/>
              <w:spacing w:line="340" w:lineRule="exact"/>
              <w:rPr>
                <w:rFonts w:hAnsi="宋体" w:cs="宋体"/>
                <w:b/>
                <w:color w:val="auto"/>
                <w:sz w:val="21"/>
              </w:rPr>
            </w:pPr>
          </w:p>
        </w:tc>
        <w:tc>
          <w:tcPr>
            <w:tcW w:w="7796" w:type="dxa"/>
            <w:gridSpan w:val="6"/>
            <w:vAlign w:val="center"/>
          </w:tcPr>
          <w:p>
            <w:pPr>
              <w:spacing w:line="320" w:lineRule="exact"/>
              <w:rPr>
                <w:rFonts w:ascii="宋体" w:hAnsi="宋体" w:cs="宋体"/>
              </w:rPr>
            </w:pPr>
            <w:r>
              <w:rPr>
                <w:rFonts w:hint="eastAsia" w:ascii="宋体" w:hAnsi="宋体" w:cs="宋体"/>
              </w:rPr>
              <w:t>企业具备信息化管理平台，能够使工程管理者对现场实施监控和数据处理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9347" w:type="dxa"/>
            <w:gridSpan w:val="9"/>
            <w:vAlign w:val="center"/>
          </w:tcPr>
          <w:p>
            <w:pPr>
              <w:spacing w:line="360" w:lineRule="auto"/>
              <w:rPr>
                <w:rFonts w:ascii="宋体" w:hAnsi="宋体" w:cs="宋体"/>
              </w:rPr>
            </w:pPr>
            <w:r>
              <w:rPr>
                <w:rFonts w:hint="eastAsia" w:ascii="宋体" w:hAnsi="宋体" w:cs="宋体"/>
                <w:szCs w:val="21"/>
              </w:rPr>
              <w:t>注：技术标评审采取合格制，评委应根据投标文件中技术标部分进行评审。施工组织设计内容明显与工程实际不符的视为该项不合格，不合格项目超过2项（不含2项）以上时即技术标不合格。技术标不合格的不再进入商务标评审。单个评审因素确定为不合格的，评委应由注明理由和依据，并由评标委员会讨论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793" w:type="dxa"/>
            <w:vMerge w:val="restart"/>
            <w:tcBorders>
              <w:top w:val="single" w:color="auto" w:sz="4" w:space="0"/>
            </w:tcBorders>
            <w:vAlign w:val="center"/>
          </w:tcPr>
          <w:p>
            <w:pPr>
              <w:pStyle w:val="69"/>
              <w:spacing w:line="340" w:lineRule="exact"/>
              <w:jc w:val="center"/>
              <w:rPr>
                <w:rFonts w:hAnsi="宋体" w:cs="宋体"/>
                <w:color w:val="auto"/>
                <w:sz w:val="21"/>
              </w:rPr>
            </w:pPr>
          </w:p>
          <w:p>
            <w:pPr>
              <w:pStyle w:val="69"/>
              <w:spacing w:line="340" w:lineRule="exact"/>
              <w:jc w:val="center"/>
              <w:rPr>
                <w:rFonts w:hAnsi="宋体" w:cs="宋体"/>
                <w:color w:val="auto"/>
                <w:sz w:val="21"/>
              </w:rPr>
            </w:pPr>
            <w:r>
              <w:rPr>
                <w:rFonts w:hint="eastAsia" w:hAnsi="宋体" w:cs="宋体"/>
                <w:color w:val="auto"/>
                <w:sz w:val="21"/>
              </w:rPr>
              <w:t>2.2.1</w:t>
            </w:r>
          </w:p>
          <w:p>
            <w:pPr>
              <w:pStyle w:val="69"/>
              <w:spacing w:line="340" w:lineRule="exact"/>
              <w:jc w:val="center"/>
              <w:rPr>
                <w:rFonts w:hAnsi="宋体" w:cs="宋体"/>
                <w:color w:val="auto"/>
                <w:sz w:val="21"/>
              </w:rPr>
            </w:pPr>
            <w:r>
              <w:rPr>
                <w:rFonts w:hint="eastAsia" w:hAnsi="宋体" w:cs="宋体"/>
                <w:color w:val="auto"/>
                <w:sz w:val="21"/>
              </w:rPr>
              <w:t>（4）</w:t>
            </w:r>
          </w:p>
          <w:p>
            <w:pPr>
              <w:pStyle w:val="69"/>
              <w:spacing w:line="340" w:lineRule="exact"/>
              <w:jc w:val="center"/>
              <w:rPr>
                <w:rFonts w:hAnsi="宋体" w:cs="宋体"/>
                <w:color w:val="auto"/>
                <w:sz w:val="21"/>
              </w:rPr>
            </w:pPr>
          </w:p>
        </w:tc>
        <w:tc>
          <w:tcPr>
            <w:tcW w:w="752" w:type="dxa"/>
            <w:vMerge w:val="restart"/>
            <w:tcBorders>
              <w:top w:val="single" w:color="auto" w:sz="4" w:space="0"/>
            </w:tcBorders>
            <w:vAlign w:val="center"/>
          </w:tcPr>
          <w:p>
            <w:pPr>
              <w:pStyle w:val="69"/>
              <w:spacing w:line="340" w:lineRule="exact"/>
              <w:jc w:val="center"/>
              <w:rPr>
                <w:rFonts w:hAnsi="宋体" w:cs="宋体"/>
                <w:color w:val="auto"/>
                <w:sz w:val="21"/>
              </w:rPr>
            </w:pPr>
          </w:p>
          <w:p>
            <w:pPr>
              <w:pStyle w:val="69"/>
              <w:spacing w:line="340" w:lineRule="exact"/>
              <w:jc w:val="center"/>
              <w:rPr>
                <w:rFonts w:hAnsi="宋体" w:cs="宋体"/>
                <w:color w:val="auto"/>
                <w:sz w:val="21"/>
              </w:rPr>
            </w:pPr>
            <w:r>
              <w:rPr>
                <w:rFonts w:hint="eastAsia" w:hAnsi="宋体" w:cs="宋体"/>
                <w:color w:val="auto"/>
                <w:sz w:val="21"/>
              </w:rPr>
              <w:t>商务标</w:t>
            </w:r>
          </w:p>
          <w:p>
            <w:pPr>
              <w:pStyle w:val="69"/>
              <w:spacing w:line="340" w:lineRule="exact"/>
              <w:jc w:val="center"/>
              <w:rPr>
                <w:rFonts w:hAnsi="宋体" w:cs="宋体"/>
                <w:color w:val="auto"/>
                <w:sz w:val="21"/>
              </w:rPr>
            </w:pPr>
            <w:r>
              <w:rPr>
                <w:rFonts w:hint="eastAsia" w:hAnsi="宋体" w:cs="宋体"/>
                <w:color w:val="auto"/>
                <w:sz w:val="21"/>
              </w:rPr>
              <w:t>评审标准</w:t>
            </w:r>
          </w:p>
        </w:tc>
        <w:tc>
          <w:tcPr>
            <w:tcW w:w="1875" w:type="dxa"/>
            <w:gridSpan w:val="3"/>
            <w:tcBorders>
              <w:top w:val="single" w:color="auto" w:sz="4" w:space="0"/>
            </w:tcBorders>
            <w:vAlign w:val="center"/>
          </w:tcPr>
          <w:p>
            <w:pPr>
              <w:jc w:val="center"/>
              <w:rPr>
                <w:rFonts w:ascii="宋体" w:hAnsi="宋体" w:cs="宋体"/>
                <w:b/>
                <w:szCs w:val="21"/>
              </w:rPr>
            </w:pPr>
            <w:r>
              <w:rPr>
                <w:rFonts w:hint="eastAsia" w:ascii="宋体" w:hAnsi="宋体" w:cs="宋体"/>
                <w:b/>
                <w:szCs w:val="21"/>
              </w:rPr>
              <w:t>商务标评审</w:t>
            </w:r>
          </w:p>
        </w:tc>
        <w:tc>
          <w:tcPr>
            <w:tcW w:w="5927" w:type="dxa"/>
            <w:gridSpan w:val="4"/>
            <w:tcBorders>
              <w:top w:val="single" w:color="auto" w:sz="4" w:space="0"/>
            </w:tcBorders>
            <w:vAlign w:val="center"/>
          </w:tcPr>
          <w:p>
            <w:pPr>
              <w:jc w:val="center"/>
              <w:rPr>
                <w:rFonts w:ascii="宋体" w:hAnsi="宋体" w:cs="宋体"/>
                <w:b/>
                <w:szCs w:val="21"/>
              </w:rPr>
            </w:pPr>
            <w:r>
              <w:rPr>
                <w:rFonts w:hint="eastAsia" w:ascii="宋体" w:hAnsi="宋体" w:cs="宋体"/>
                <w:b/>
                <w:szCs w:val="21"/>
              </w:rPr>
              <w:t>只有通过技术标评审的投标人方可进入商务标的评审。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3" w:hRule="atLeast"/>
        </w:trPr>
        <w:tc>
          <w:tcPr>
            <w:tcW w:w="793" w:type="dxa"/>
            <w:vMerge w:val="continue"/>
            <w:tcBorders>
              <w:top w:val="single" w:color="auto" w:sz="4" w:space="0"/>
            </w:tcBorders>
            <w:vAlign w:val="center"/>
          </w:tcPr>
          <w:p>
            <w:pPr>
              <w:pStyle w:val="69"/>
              <w:spacing w:line="340" w:lineRule="exact"/>
              <w:jc w:val="center"/>
              <w:rPr>
                <w:rFonts w:hAnsi="宋体" w:cs="宋体"/>
                <w:color w:val="auto"/>
                <w:sz w:val="21"/>
              </w:rPr>
            </w:pPr>
          </w:p>
        </w:tc>
        <w:tc>
          <w:tcPr>
            <w:tcW w:w="752" w:type="dxa"/>
            <w:vMerge w:val="continue"/>
            <w:tcBorders>
              <w:top w:val="single" w:color="auto" w:sz="4" w:space="0"/>
            </w:tcBorders>
            <w:vAlign w:val="center"/>
          </w:tcPr>
          <w:p>
            <w:pPr>
              <w:pStyle w:val="69"/>
              <w:spacing w:line="340" w:lineRule="exact"/>
              <w:jc w:val="center"/>
              <w:rPr>
                <w:rFonts w:hAnsi="宋体" w:cs="宋体"/>
                <w:color w:val="auto"/>
                <w:sz w:val="21"/>
              </w:rPr>
            </w:pPr>
          </w:p>
        </w:tc>
        <w:tc>
          <w:tcPr>
            <w:tcW w:w="1875" w:type="dxa"/>
            <w:gridSpan w:val="3"/>
            <w:vAlign w:val="center"/>
          </w:tcPr>
          <w:p>
            <w:pPr>
              <w:jc w:val="center"/>
              <w:rPr>
                <w:rFonts w:ascii="宋体" w:hAnsi="宋体" w:cs="宋体"/>
                <w:szCs w:val="21"/>
              </w:rPr>
            </w:pPr>
            <w:r>
              <w:rPr>
                <w:rFonts w:hint="eastAsia" w:ascii="宋体" w:hAnsi="宋体" w:cs="宋体"/>
                <w:szCs w:val="21"/>
              </w:rPr>
              <w:t>投标报价评审</w:t>
            </w:r>
          </w:p>
        </w:tc>
        <w:tc>
          <w:tcPr>
            <w:tcW w:w="5927" w:type="dxa"/>
            <w:gridSpan w:val="4"/>
            <w:tcBorders>
              <w:top w:val="single" w:color="auto" w:sz="4" w:space="0"/>
            </w:tcBorders>
            <w:vAlign w:val="center"/>
          </w:tcPr>
          <w:p>
            <w:pPr>
              <w:spacing w:line="360" w:lineRule="auto"/>
              <w:rPr>
                <w:rFonts w:hint="eastAsia" w:ascii="宋体" w:hAnsi="宋体" w:cs="宋体"/>
                <w:szCs w:val="21"/>
                <w:lang w:eastAsia="zh-CN"/>
              </w:rPr>
            </w:pPr>
            <w:r>
              <w:rPr>
                <w:rFonts w:hint="eastAsia" w:ascii="宋体" w:hAnsi="宋体" w:cs="宋体"/>
                <w:szCs w:val="21"/>
                <w:lang w:val="en-US" w:eastAsia="zh-CN"/>
              </w:rPr>
              <w:t>1、</w:t>
            </w:r>
            <w:r>
              <w:rPr>
                <w:rFonts w:hint="eastAsia" w:ascii="宋体" w:hAnsi="宋体" w:cs="宋体"/>
                <w:szCs w:val="21"/>
              </w:rPr>
              <w:t xml:space="preserve">本项目设招标控制价，投标人投标报价高于招标控制价时，其投标作无效标处理。参与评审的总报价为各有效投标人投标总报价剔除不可竞争费用后的价格 </w:t>
            </w:r>
            <w:r>
              <w:rPr>
                <w:rFonts w:hint="eastAsia" w:ascii="宋体" w:hAnsi="宋体" w:cs="宋体"/>
                <w:szCs w:val="21"/>
                <w:lang w:eastAsia="zh-CN"/>
              </w:rPr>
              <w:t>。</w:t>
            </w:r>
          </w:p>
          <w:p>
            <w:pPr>
              <w:spacing w:line="360" w:lineRule="auto"/>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 xml:space="preserve">评标委员会发现投标人的报价明显低于其他投标报价，可能低于成本价的，由评标委员会启动成本评审程序，并对投标人进行质询，投标人不进行澄清，说明或其澄清、说明不被评标委员会认可的，认定该投标人以低于成本报价竞标，其投标将作为无效标处理。 </w:t>
            </w:r>
          </w:p>
          <w:p>
            <w:pPr>
              <w:spacing w:line="360" w:lineRule="auto"/>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 xml:space="preserve">评标基准价计算方法：评标基准价＝招标控制价×K+投标总报价×（1－K） </w:t>
            </w:r>
          </w:p>
          <w:p>
            <w:pPr>
              <w:spacing w:line="360" w:lineRule="auto"/>
              <w:rPr>
                <w:rFonts w:hint="eastAsia" w:ascii="宋体" w:hAnsi="宋体" w:cs="宋体"/>
                <w:szCs w:val="21"/>
              </w:rPr>
            </w:pPr>
            <w:r>
              <w:rPr>
                <w:rFonts w:hint="eastAsia" w:ascii="宋体" w:hAnsi="宋体" w:cs="宋体"/>
                <w:szCs w:val="21"/>
              </w:rPr>
              <w:t xml:space="preserve">其中：参与评标基准值计算的招标控制价为不含不可竞争费用的招标控制价，投标总报价为各投标人有效投标总报价（不含不可竞争费，下同），去掉一个最高和一个最低报价后的算术平均值。当有效投标少于5家时（不含5家），则以所有有效投标总报价的算术平均值作为投标总报价。 K为招标控制价权重系数K为0、0.1、0.2、0.3、0.4、0.5，在开标现场随机抽取。 </w:t>
            </w:r>
          </w:p>
          <w:p>
            <w:pPr>
              <w:spacing w:line="36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凡有效投标人的投标报价在评标基准价的106%（含106%）～88%（含88%）范围内视为合理报价，否则视为投标报价不合理，即商务标不合格。</w:t>
            </w:r>
          </w:p>
          <w:p>
            <w:pPr>
              <w:spacing w:line="360" w:lineRule="auto"/>
              <w:rPr>
                <w:rFonts w:ascii="宋体" w:hAnsi="宋体" w:cs="宋体"/>
                <w:szCs w:val="21"/>
              </w:rPr>
            </w:pPr>
            <w:r>
              <w:rPr>
                <w:rFonts w:hint="eastAsia" w:ascii="宋体" w:hAnsi="宋体" w:cs="宋体"/>
                <w:szCs w:val="21"/>
              </w:rPr>
              <w:t>注：该项认定为不合格的不再进入下一环节评审。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5" w:hRule="atLeast"/>
        </w:trPr>
        <w:tc>
          <w:tcPr>
            <w:tcW w:w="793" w:type="dxa"/>
            <w:vMerge w:val="continue"/>
            <w:vAlign w:val="center"/>
          </w:tcPr>
          <w:p>
            <w:pPr>
              <w:pStyle w:val="69"/>
              <w:spacing w:line="340" w:lineRule="exact"/>
              <w:jc w:val="center"/>
              <w:rPr>
                <w:rFonts w:hAnsi="宋体" w:cs="宋体"/>
                <w:color w:val="auto"/>
                <w:sz w:val="21"/>
              </w:rPr>
            </w:pPr>
          </w:p>
        </w:tc>
        <w:tc>
          <w:tcPr>
            <w:tcW w:w="752" w:type="dxa"/>
            <w:vMerge w:val="continue"/>
            <w:vAlign w:val="center"/>
          </w:tcPr>
          <w:p>
            <w:pPr>
              <w:pStyle w:val="69"/>
              <w:spacing w:line="340" w:lineRule="exact"/>
              <w:jc w:val="center"/>
              <w:rPr>
                <w:rFonts w:hAnsi="宋体" w:cs="宋体"/>
                <w:color w:val="auto"/>
                <w:sz w:val="21"/>
              </w:rPr>
            </w:pPr>
          </w:p>
        </w:tc>
        <w:tc>
          <w:tcPr>
            <w:tcW w:w="1875" w:type="dxa"/>
            <w:gridSpan w:val="3"/>
            <w:vAlign w:val="center"/>
          </w:tcPr>
          <w:p>
            <w:pPr>
              <w:jc w:val="center"/>
              <w:rPr>
                <w:rFonts w:ascii="宋体" w:hAnsi="宋体" w:cs="宋体"/>
                <w:szCs w:val="21"/>
              </w:rPr>
            </w:pPr>
            <w:r>
              <w:rPr>
                <w:rFonts w:hint="eastAsia" w:ascii="宋体" w:hAnsi="宋体" w:cs="宋体"/>
                <w:szCs w:val="21"/>
              </w:rPr>
              <w:t>措施项目费评审</w:t>
            </w:r>
          </w:p>
        </w:tc>
        <w:tc>
          <w:tcPr>
            <w:tcW w:w="5927" w:type="dxa"/>
            <w:gridSpan w:val="4"/>
            <w:vAlign w:val="center"/>
          </w:tcPr>
          <w:p>
            <w:pPr>
              <w:spacing w:line="360" w:lineRule="exact"/>
              <w:rPr>
                <w:rFonts w:ascii="宋体" w:hAnsi="宋体" w:cs="宋体"/>
                <w:szCs w:val="21"/>
              </w:rPr>
            </w:pPr>
            <w:r>
              <w:rPr>
                <w:rFonts w:hint="eastAsia" w:ascii="宋体" w:hAnsi="宋体" w:cs="宋体"/>
                <w:szCs w:val="21"/>
                <w:lang w:val="en-US" w:eastAsia="zh-CN"/>
              </w:rPr>
              <w:t>1、</w:t>
            </w:r>
            <w:r>
              <w:rPr>
                <w:rFonts w:ascii="宋体" w:hAnsi="宋体" w:cs="宋体"/>
                <w:szCs w:val="21"/>
              </w:rPr>
              <w:t xml:space="preserve">评标基准价:为通过投标报价评审的各有效投标企业措施费报价大于等于五家时去掉一个最高和一个最低报价后的算术平均值作为评标基准值；有效措施费报价小于五家时，以所有有效措施费报价的算术平均值作为评标基准值。若投标人的措施费报价高于招标控制价措施费或低于招标控制价措施费的60%（含60%），不参与评标基准值的计算，若所有投标人的措施费均高于招标控制价或低于招标控制价措施费的60%，则以招标控制价措施费的60%作为评标基准值； </w:t>
            </w:r>
          </w:p>
          <w:p>
            <w:pPr>
              <w:spacing w:line="360" w:lineRule="exact"/>
              <w:rPr>
                <w:rFonts w:ascii="宋体" w:hAnsi="宋体" w:cs="宋体"/>
                <w:szCs w:val="21"/>
              </w:rPr>
            </w:pPr>
            <w:r>
              <w:rPr>
                <w:rFonts w:ascii="宋体" w:hAnsi="宋体" w:cs="宋体"/>
                <w:szCs w:val="21"/>
              </w:rPr>
              <w:t xml:space="preserve">2、各有效投标人的措施项目费在评标基准价106%（含106%）--80%（含80%）范围内的视为措施项目费报价合理，否则视为措施项目费报价不合理，即商务标不合格，不再参与分部分项工程量清单报价及材料报价的评审。 </w:t>
            </w:r>
          </w:p>
          <w:p>
            <w:pPr>
              <w:spacing w:line="360" w:lineRule="exact"/>
              <w:rPr>
                <w:rFonts w:ascii="宋体" w:hAnsi="宋体" w:cs="宋体"/>
                <w:szCs w:val="21"/>
              </w:rPr>
            </w:pPr>
            <w:r>
              <w:rPr>
                <w:rFonts w:ascii="宋体" w:hAnsi="宋体" w:cs="宋体"/>
                <w:szCs w:val="21"/>
              </w:rPr>
              <w:t>3、该项目所述措施项目费均不包括安全文明措施费。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0" w:hRule="atLeast"/>
        </w:trPr>
        <w:tc>
          <w:tcPr>
            <w:tcW w:w="793" w:type="dxa"/>
            <w:vMerge w:val="continue"/>
            <w:vAlign w:val="center"/>
          </w:tcPr>
          <w:p>
            <w:pPr>
              <w:pStyle w:val="69"/>
              <w:spacing w:line="340" w:lineRule="exact"/>
              <w:jc w:val="center"/>
              <w:rPr>
                <w:rFonts w:hAnsi="宋体" w:cs="宋体"/>
                <w:color w:val="auto"/>
                <w:sz w:val="21"/>
              </w:rPr>
            </w:pPr>
          </w:p>
        </w:tc>
        <w:tc>
          <w:tcPr>
            <w:tcW w:w="752" w:type="dxa"/>
            <w:vMerge w:val="continue"/>
            <w:vAlign w:val="center"/>
          </w:tcPr>
          <w:p>
            <w:pPr>
              <w:pStyle w:val="69"/>
              <w:spacing w:line="340" w:lineRule="exact"/>
              <w:jc w:val="center"/>
              <w:rPr>
                <w:rFonts w:hAnsi="宋体" w:cs="宋体"/>
                <w:color w:val="auto"/>
                <w:sz w:val="21"/>
              </w:rPr>
            </w:pPr>
          </w:p>
        </w:tc>
        <w:tc>
          <w:tcPr>
            <w:tcW w:w="1875" w:type="dxa"/>
            <w:gridSpan w:val="3"/>
            <w:vAlign w:val="center"/>
          </w:tcPr>
          <w:p>
            <w:pPr>
              <w:jc w:val="center"/>
              <w:rPr>
                <w:rFonts w:ascii="宋体" w:hAnsi="宋体" w:cs="宋体"/>
                <w:szCs w:val="21"/>
              </w:rPr>
            </w:pPr>
            <w:r>
              <w:rPr>
                <w:rFonts w:hint="eastAsia" w:ascii="宋体" w:hAnsi="宋体" w:cs="宋体"/>
                <w:szCs w:val="21"/>
              </w:rPr>
              <w:t>分部分项工程量清单项目</w:t>
            </w:r>
          </w:p>
          <w:p>
            <w:pPr>
              <w:jc w:val="center"/>
              <w:rPr>
                <w:rFonts w:ascii="宋体" w:hAnsi="宋体" w:cs="宋体"/>
                <w:szCs w:val="21"/>
              </w:rPr>
            </w:pPr>
            <w:r>
              <w:rPr>
                <w:rFonts w:hint="eastAsia" w:ascii="宋体" w:hAnsi="宋体" w:cs="宋体"/>
                <w:szCs w:val="21"/>
              </w:rPr>
              <w:t>综合单价评审</w:t>
            </w:r>
          </w:p>
        </w:tc>
        <w:tc>
          <w:tcPr>
            <w:tcW w:w="5927" w:type="dxa"/>
            <w:gridSpan w:val="4"/>
            <w:vAlign w:val="center"/>
          </w:tcPr>
          <w:p>
            <w:pPr>
              <w:spacing w:line="360" w:lineRule="exact"/>
              <w:jc w:val="left"/>
              <w:rPr>
                <w:rFonts w:ascii="宋体" w:hAnsi="宋体" w:cs="宋体"/>
                <w:szCs w:val="21"/>
              </w:rPr>
            </w:pPr>
            <w:r>
              <w:rPr>
                <w:rFonts w:hint="eastAsia" w:ascii="宋体" w:hAnsi="宋体" w:cs="宋体"/>
                <w:szCs w:val="21"/>
                <w:lang w:val="en-US" w:eastAsia="zh-CN"/>
              </w:rPr>
              <w:t>1、</w:t>
            </w:r>
            <w:r>
              <w:rPr>
                <w:rFonts w:ascii="宋体" w:hAnsi="宋体" w:cs="宋体"/>
                <w:szCs w:val="21"/>
              </w:rPr>
              <w:t xml:space="preserve">评标基准价为所有有效投标报价中对应的清单项目综合单价去掉一个最高和一个最低的算术平均值作为该分项基准价(有效投标人大于等于五家时去掉一个最高和一个最低报价后的算术平均值作为评标基准值；有效投标人小于五家时，以所有有效投标报价中对应的清单项目综合单价的算术平均值作为评标基准值)。 </w:t>
            </w:r>
          </w:p>
          <w:p>
            <w:pPr>
              <w:spacing w:line="360" w:lineRule="exact"/>
              <w:jc w:val="left"/>
              <w:rPr>
                <w:rFonts w:ascii="宋体" w:hAnsi="宋体" w:cs="宋体"/>
                <w:szCs w:val="21"/>
              </w:rPr>
            </w:pPr>
            <w:r>
              <w:rPr>
                <w:rFonts w:hint="eastAsia" w:ascii="宋体" w:hAnsi="宋体" w:cs="宋体"/>
                <w:szCs w:val="21"/>
                <w:lang w:val="en-US" w:eastAsia="zh-CN"/>
              </w:rPr>
              <w:t>2、</w:t>
            </w:r>
            <w:r>
              <w:rPr>
                <w:rFonts w:ascii="宋体" w:hAnsi="宋体" w:cs="宋体"/>
                <w:szCs w:val="21"/>
              </w:rPr>
              <w:t>清单项目≥15项时，评委要从工程量清单中随机抽取15项清单项目进行评审；清单项目＜15项时，评委要对所有清单项目进行评审。</w:t>
            </w:r>
          </w:p>
          <w:p>
            <w:pPr>
              <w:spacing w:line="360" w:lineRule="exact"/>
              <w:jc w:val="left"/>
              <w:rPr>
                <w:rFonts w:ascii="宋体" w:hAnsi="宋体" w:cs="宋体"/>
                <w:szCs w:val="21"/>
              </w:rPr>
            </w:pPr>
            <w:r>
              <w:rPr>
                <w:rFonts w:ascii="宋体" w:hAnsi="宋体" w:cs="宋体"/>
                <w:szCs w:val="21"/>
              </w:rPr>
              <w:t>3、凡分部分项工程量清单单项报价在评标基准价106%（含106%）～88%（含88%）范围内的视为单项合理，否则视为单项报价不合理。当不合理单项报价大于等于抽取项数的50%时（计算项数为小数的进1取整），评标委员会可判定分部分项工程量清单单项报价不合理，不再进入下一环节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5" w:hRule="atLeast"/>
        </w:trPr>
        <w:tc>
          <w:tcPr>
            <w:tcW w:w="793" w:type="dxa"/>
            <w:vMerge w:val="continue"/>
            <w:vAlign w:val="center"/>
          </w:tcPr>
          <w:p>
            <w:pPr>
              <w:pStyle w:val="182"/>
              <w:spacing w:line="340" w:lineRule="exact"/>
              <w:jc w:val="center"/>
              <w:rPr>
                <w:rFonts w:ascii="宋体" w:hAnsi="宋体" w:cs="宋体"/>
              </w:rPr>
            </w:pPr>
          </w:p>
        </w:tc>
        <w:tc>
          <w:tcPr>
            <w:tcW w:w="752" w:type="dxa"/>
            <w:vMerge w:val="continue"/>
            <w:vAlign w:val="center"/>
          </w:tcPr>
          <w:p>
            <w:pPr>
              <w:pStyle w:val="182"/>
              <w:spacing w:line="340" w:lineRule="exact"/>
              <w:jc w:val="center"/>
              <w:rPr>
                <w:rFonts w:ascii="宋体" w:hAnsi="宋体" w:cs="宋体"/>
              </w:rPr>
            </w:pPr>
          </w:p>
        </w:tc>
        <w:tc>
          <w:tcPr>
            <w:tcW w:w="1875" w:type="dxa"/>
            <w:gridSpan w:val="3"/>
            <w:vAlign w:val="center"/>
          </w:tcPr>
          <w:p>
            <w:pPr>
              <w:jc w:val="center"/>
              <w:rPr>
                <w:rFonts w:ascii="宋体" w:hAnsi="宋体" w:cs="宋体"/>
                <w:szCs w:val="21"/>
              </w:rPr>
            </w:pPr>
            <w:r>
              <w:rPr>
                <w:rFonts w:hint="eastAsia" w:ascii="宋体" w:hAnsi="宋体" w:cs="宋体"/>
                <w:szCs w:val="21"/>
              </w:rPr>
              <w:t>主要材料单价（除税价）评审标准</w:t>
            </w:r>
          </w:p>
        </w:tc>
        <w:tc>
          <w:tcPr>
            <w:tcW w:w="5927" w:type="dxa"/>
            <w:gridSpan w:val="4"/>
            <w:vAlign w:val="center"/>
          </w:tcPr>
          <w:p>
            <w:pPr>
              <w:spacing w:line="360" w:lineRule="exact"/>
              <w:jc w:val="left"/>
              <w:rPr>
                <w:rFonts w:ascii="宋体" w:hAnsi="宋体" w:cs="宋体"/>
                <w:szCs w:val="21"/>
              </w:rPr>
            </w:pPr>
            <w:r>
              <w:rPr>
                <w:rFonts w:hint="eastAsia" w:ascii="宋体" w:hAnsi="宋体" w:cs="宋体"/>
                <w:szCs w:val="21"/>
                <w:lang w:val="en-US" w:eastAsia="zh-CN"/>
              </w:rPr>
              <w:t>1、</w:t>
            </w:r>
            <w:r>
              <w:rPr>
                <w:rFonts w:ascii="宋体" w:hAnsi="宋体" w:cs="宋体"/>
                <w:szCs w:val="21"/>
              </w:rPr>
              <w:t>评标基准价为所有有效投标报价中同一材料单价去掉一个最高和一个最低的算术平均值作为该项基准价(有效投标人大于等于五家时去掉一个最高和一个最低报价后的算术平均值作为评标基准值；有效投标人小于五家时，以所有有效投标报价中同一材料单价的算术平均值作为评标基准值)。</w:t>
            </w:r>
          </w:p>
          <w:p>
            <w:pPr>
              <w:spacing w:line="360" w:lineRule="exact"/>
              <w:jc w:val="left"/>
              <w:rPr>
                <w:rFonts w:ascii="宋体" w:hAnsi="宋体" w:cs="宋体"/>
                <w:szCs w:val="21"/>
              </w:rPr>
            </w:pPr>
            <w:r>
              <w:rPr>
                <w:rFonts w:hint="eastAsia" w:ascii="宋体" w:hAnsi="宋体" w:cs="宋体"/>
                <w:szCs w:val="21"/>
                <w:lang w:val="en-US" w:eastAsia="zh-CN"/>
              </w:rPr>
              <w:t>2、</w:t>
            </w:r>
            <w:r>
              <w:rPr>
                <w:rFonts w:ascii="宋体" w:hAnsi="宋体" w:cs="宋体"/>
                <w:szCs w:val="21"/>
              </w:rPr>
              <w:t>材料单价≥10项时，评委要从投标企业提供的材料价格表中随机抽取10项材料单价进行评审；材料单价＜10项时，评委要对投标企业提供的所有材料单价进行评审。</w:t>
            </w:r>
          </w:p>
          <w:p>
            <w:pPr>
              <w:spacing w:line="360" w:lineRule="exact"/>
              <w:jc w:val="left"/>
              <w:rPr>
                <w:rFonts w:ascii="宋体" w:hAnsi="宋体" w:cs="宋体"/>
                <w:szCs w:val="21"/>
              </w:rPr>
            </w:pPr>
            <w:r>
              <w:rPr>
                <w:rFonts w:ascii="宋体" w:hAnsi="宋体" w:cs="宋体"/>
                <w:szCs w:val="21"/>
              </w:rPr>
              <w:t xml:space="preserve"> 3、凡主要材料单价在评标基准价106%（含106%）～88%（含88%）范围内的视为单项合理，否则视为不合理。当不合理单项报价大于等于抽取项数的50%时（计算项数为小数的进1取整），评标委员会可判定材料单价不合理，即商务标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1" w:hRule="atLeast"/>
        </w:trPr>
        <w:tc>
          <w:tcPr>
            <w:tcW w:w="9347" w:type="dxa"/>
            <w:gridSpan w:val="9"/>
            <w:vAlign w:val="center"/>
          </w:tcPr>
          <w:p>
            <w:pPr>
              <w:snapToGrid w:val="0"/>
              <w:spacing w:line="360" w:lineRule="exact"/>
              <w:rPr>
                <w:rFonts w:ascii="宋体" w:hAnsi="宋体" w:cs="宋体"/>
                <w:szCs w:val="21"/>
              </w:rPr>
            </w:pPr>
            <w:r>
              <w:rPr>
                <w:rFonts w:hint="eastAsia" w:ascii="宋体" w:hAnsi="宋体" w:cs="宋体"/>
                <w:szCs w:val="21"/>
              </w:rPr>
              <w:t>注：1、投标人的投标报价应按规定计取不可竞争费用（安全文明施工措施费、规费、税金），招标项目评标时对投标人的投标报价不按上述规定计取的，应视其为不当竞标行为予以拒绝。</w:t>
            </w:r>
          </w:p>
          <w:p>
            <w:pPr>
              <w:numPr>
                <w:ilvl w:val="0"/>
                <w:numId w:val="3"/>
              </w:numPr>
              <w:spacing w:line="360" w:lineRule="exact"/>
              <w:ind w:firstLine="420"/>
              <w:rPr>
                <w:rFonts w:ascii="宋体" w:hAnsi="宋体" w:cs="宋体"/>
                <w:szCs w:val="21"/>
              </w:rPr>
            </w:pPr>
            <w:r>
              <w:rPr>
                <w:rFonts w:hint="eastAsia" w:ascii="宋体" w:hAnsi="宋体" w:cs="宋体"/>
                <w:szCs w:val="21"/>
              </w:rPr>
              <w:t>评标以投标函中的投标报价作为评标依据。（投标函中的投标报价与工程量清单投标报价必须一致）</w:t>
            </w:r>
          </w:p>
        </w:tc>
      </w:tr>
    </w:tbl>
    <w:p>
      <w:pPr>
        <w:pStyle w:val="69"/>
        <w:spacing w:line="400" w:lineRule="exact"/>
        <w:rPr>
          <w:rFonts w:hAnsi="宋体" w:cs="宋体"/>
          <w:bCs/>
          <w:color w:val="auto"/>
          <w:sz w:val="21"/>
          <w:szCs w:val="21"/>
        </w:rPr>
      </w:pPr>
      <w:r>
        <w:rPr>
          <w:rFonts w:hint="eastAsia" w:hAnsi="宋体" w:cs="宋体"/>
          <w:bCs/>
          <w:color w:val="auto"/>
          <w:sz w:val="21"/>
          <w:szCs w:val="21"/>
        </w:rPr>
        <w:t xml:space="preserve">   评标办法：</w:t>
      </w:r>
    </w:p>
    <w:p>
      <w:pPr>
        <w:pStyle w:val="69"/>
        <w:spacing w:line="400" w:lineRule="exact"/>
        <w:ind w:firstLine="316" w:firstLineChars="150"/>
        <w:rPr>
          <w:rFonts w:hAnsi="宋体"/>
          <w:b/>
          <w:color w:val="auto"/>
          <w:sz w:val="21"/>
          <w:szCs w:val="21"/>
        </w:rPr>
      </w:pPr>
      <w:bookmarkStart w:id="708" w:name="_Toc355278770"/>
      <w:bookmarkStart w:id="709" w:name="_Toc355250433"/>
      <w:bookmarkStart w:id="710" w:name="_Toc355252447"/>
      <w:bookmarkStart w:id="711" w:name="_Toc355252011"/>
      <w:bookmarkStart w:id="712" w:name="_Toc358098933"/>
      <w:r>
        <w:rPr>
          <w:rFonts w:hint="eastAsia" w:hAnsi="宋体" w:cs="宋体"/>
          <w:b/>
          <w:color w:val="auto"/>
          <w:sz w:val="21"/>
          <w:szCs w:val="21"/>
        </w:rPr>
        <w:t>本次评标采用合理低价评标法。评标委员会对满足招标文件实质性要求的投标文件，按照本章第2.1、第2.2款规定的评审标准进行评审，并从初步评审和详细评审（综合标、技术标、商务标评审）全部通过的投标人中，</w:t>
      </w:r>
      <w:bookmarkEnd w:id="708"/>
      <w:bookmarkEnd w:id="709"/>
      <w:bookmarkEnd w:id="710"/>
      <w:bookmarkEnd w:id="711"/>
      <w:bookmarkEnd w:id="712"/>
      <w:r>
        <w:rPr>
          <w:rFonts w:hint="eastAsia" w:hAnsi="宋体" w:cs="宋体"/>
          <w:b/>
          <w:color w:val="auto"/>
          <w:sz w:val="21"/>
          <w:szCs w:val="21"/>
        </w:rPr>
        <w:t>按照投标报价在合理投标报价范围内，由低到高排序，推荐</w:t>
      </w:r>
      <w:r>
        <w:rPr>
          <w:rFonts w:hint="eastAsia" w:hAnsi="宋体" w:cs="宋体"/>
          <w:b/>
          <w:color w:val="auto"/>
          <w:sz w:val="21"/>
          <w:szCs w:val="21"/>
          <w:lang w:val="en-US" w:eastAsia="zh-CN"/>
        </w:rPr>
        <w:t>1</w:t>
      </w:r>
      <w:r>
        <w:rPr>
          <w:rFonts w:hint="eastAsia" w:hAnsi="宋体" w:cs="宋体"/>
          <w:b/>
          <w:color w:val="auto"/>
          <w:sz w:val="21"/>
          <w:szCs w:val="21"/>
        </w:rPr>
        <w:t>名中标候选人</w:t>
      </w:r>
      <w:r>
        <w:rPr>
          <w:rFonts w:hint="eastAsia" w:hAnsi="宋体"/>
          <w:b/>
          <w:color w:val="auto"/>
          <w:sz w:val="21"/>
          <w:szCs w:val="21"/>
        </w:rPr>
        <w:t>。若投标报价也相等的，从报价相等的投标企业中通过随机抽取确定中标候选人。</w:t>
      </w:r>
    </w:p>
    <w:p>
      <w:pPr>
        <w:pStyle w:val="69"/>
        <w:snapToGrid w:val="0"/>
        <w:spacing w:line="360" w:lineRule="auto"/>
        <w:jc w:val="both"/>
        <w:outlineLvl w:val="1"/>
        <w:rPr>
          <w:rFonts w:hAnsi="宋体" w:cs="宋体"/>
          <w:color w:val="auto"/>
          <w:sz w:val="28"/>
        </w:rPr>
      </w:pPr>
      <w:bookmarkStart w:id="713" w:name="_Toc21578"/>
      <w:bookmarkStart w:id="714" w:name="_Toc3690"/>
      <w:bookmarkStart w:id="715" w:name="_Toc23845"/>
      <w:r>
        <w:rPr>
          <w:rFonts w:hint="eastAsia" w:hAnsi="宋体" w:cs="宋体"/>
          <w:color w:val="auto"/>
          <w:sz w:val="26"/>
          <w:szCs w:val="26"/>
        </w:rPr>
        <w:t>1.评标准备</w:t>
      </w:r>
      <w:bookmarkEnd w:id="713"/>
    </w:p>
    <w:p>
      <w:pPr>
        <w:snapToGrid w:val="0"/>
        <w:spacing w:line="360" w:lineRule="auto"/>
        <w:rPr>
          <w:rFonts w:ascii="宋体" w:hAnsi="宋体" w:cs="宋体"/>
          <w:sz w:val="24"/>
        </w:rPr>
      </w:pPr>
      <w:r>
        <w:rPr>
          <w:rFonts w:hint="eastAsia" w:ascii="宋体" w:hAnsi="宋体" w:cs="宋体"/>
          <w:sz w:val="24"/>
        </w:rPr>
        <w:t>1.1 评标委员会成员签到</w:t>
      </w:r>
    </w:p>
    <w:p>
      <w:pPr>
        <w:snapToGrid w:val="0"/>
        <w:spacing w:line="360" w:lineRule="auto"/>
        <w:ind w:firstLine="420" w:firstLineChars="200"/>
        <w:rPr>
          <w:rFonts w:ascii="宋体" w:hAnsi="宋体" w:cs="宋体"/>
        </w:rPr>
      </w:pPr>
      <w:r>
        <w:rPr>
          <w:rFonts w:hint="eastAsia" w:ascii="宋体" w:hAnsi="宋体" w:cs="宋体"/>
        </w:rPr>
        <w:t>评标委员会成员到达评标现场时应在签到表上签到以证明其出席。</w:t>
      </w:r>
    </w:p>
    <w:p>
      <w:pPr>
        <w:snapToGrid w:val="0"/>
        <w:spacing w:line="360" w:lineRule="auto"/>
        <w:rPr>
          <w:rFonts w:ascii="宋体" w:hAnsi="宋体" w:cs="宋体"/>
          <w:sz w:val="24"/>
        </w:rPr>
      </w:pPr>
      <w:r>
        <w:rPr>
          <w:rFonts w:hint="eastAsia" w:ascii="宋体" w:hAnsi="宋体" w:cs="宋体"/>
          <w:sz w:val="24"/>
        </w:rPr>
        <w:t>1.2 评标委员会的分工</w:t>
      </w:r>
    </w:p>
    <w:p>
      <w:pPr>
        <w:snapToGrid w:val="0"/>
        <w:spacing w:line="360" w:lineRule="auto"/>
        <w:ind w:firstLine="420" w:firstLineChars="200"/>
        <w:rPr>
          <w:rFonts w:ascii="宋体" w:hAnsi="宋体" w:cs="宋体"/>
        </w:rPr>
      </w:pPr>
      <w:r>
        <w:rPr>
          <w:rFonts w:hint="eastAsia" w:ascii="宋体" w:hAnsi="宋体" w:cs="宋体"/>
        </w:rPr>
        <w:t>评标委员会首先推选一名评标委员会主任。评标委员会主任负责评标活动的组织领导工作。评标委员会主任在与其他评标委员会成员协商的基础上，可以将评标委员会划分为技术组和商务组。</w:t>
      </w:r>
    </w:p>
    <w:p>
      <w:pPr>
        <w:snapToGrid w:val="0"/>
        <w:spacing w:line="360" w:lineRule="auto"/>
        <w:rPr>
          <w:rFonts w:ascii="宋体" w:hAnsi="宋体" w:cs="宋体"/>
          <w:sz w:val="24"/>
        </w:rPr>
      </w:pPr>
      <w:r>
        <w:rPr>
          <w:rFonts w:hint="eastAsia" w:ascii="宋体" w:hAnsi="宋体" w:cs="宋体"/>
          <w:sz w:val="24"/>
        </w:rPr>
        <w:t>1.3 熟悉文件资料</w:t>
      </w:r>
    </w:p>
    <w:p>
      <w:pPr>
        <w:snapToGrid w:val="0"/>
        <w:spacing w:line="360" w:lineRule="auto"/>
        <w:ind w:firstLine="420" w:firstLineChars="200"/>
        <w:rPr>
          <w:rFonts w:ascii="宋体" w:hAnsi="宋体" w:cs="宋体"/>
        </w:rPr>
      </w:pPr>
      <w:r>
        <w:rPr>
          <w:rFonts w:hint="eastAsia" w:ascii="宋体" w:hAnsi="宋体" w:cs="宋体"/>
        </w:rPr>
        <w:t>1.3.1 评标委员会主任应组织评标委员会成员认真研究招标文件，了解和熟悉招标目的、招标范围、主要合同条件、技术标准和要求、质量标准和工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pPr>
        <w:snapToGrid w:val="0"/>
        <w:spacing w:line="360" w:lineRule="auto"/>
        <w:ind w:firstLine="420" w:firstLineChars="200"/>
        <w:rPr>
          <w:rFonts w:ascii="宋体" w:hAnsi="宋体" w:cs="宋体"/>
        </w:rPr>
      </w:pPr>
      <w:r>
        <w:rPr>
          <w:rFonts w:hint="eastAsia" w:ascii="宋体" w:hAnsi="宋体" w:cs="宋体"/>
        </w:rPr>
        <w:t>1.3.2 招标人或招标代理机构应向评标委员会提供评标所需的信息和数据，包括招标文件、</w:t>
      </w:r>
      <w:r>
        <w:rPr>
          <w:rFonts w:hint="eastAsia" w:ascii="宋体" w:hAnsi="宋体" w:cs="宋体"/>
          <w:szCs w:val="21"/>
        </w:rPr>
        <w:t>在开标会上当众宣读的投标文件</w:t>
      </w:r>
      <w:r>
        <w:rPr>
          <w:rFonts w:hint="eastAsia" w:ascii="宋体" w:hAnsi="宋体" w:cs="宋体"/>
        </w:rPr>
        <w:t>、开标会记录、资格预审文件及各投标人在资格预审阶段递交的资格预审申请文件（适用于已进行资格预审的）、招标控制价或标底（如果有）、工程所在地工程造价管理部门颁布的工程造价信息、定额（如作为计价依据时）、有关的法律、法规、规章、国家标准以及招标人或评标委员会认为必要的其他信息和数据。</w:t>
      </w:r>
    </w:p>
    <w:p>
      <w:pPr>
        <w:snapToGrid w:val="0"/>
        <w:spacing w:line="360" w:lineRule="auto"/>
        <w:rPr>
          <w:rFonts w:ascii="宋体" w:hAnsi="宋体" w:cs="宋体"/>
          <w:sz w:val="24"/>
        </w:rPr>
      </w:pPr>
      <w:r>
        <w:rPr>
          <w:rFonts w:hint="eastAsia" w:ascii="宋体" w:hAnsi="宋体" w:cs="宋体"/>
          <w:sz w:val="24"/>
        </w:rPr>
        <w:t>1.4 对投标文件进行基础性数据分析和整理工作（清标）</w:t>
      </w:r>
    </w:p>
    <w:p>
      <w:pPr>
        <w:snapToGrid w:val="0"/>
        <w:spacing w:line="360" w:lineRule="auto"/>
        <w:ind w:firstLine="420" w:firstLineChars="200"/>
        <w:rPr>
          <w:rFonts w:ascii="宋体" w:hAnsi="宋体" w:cs="宋体"/>
        </w:rPr>
      </w:pPr>
      <w:r>
        <w:rPr>
          <w:rFonts w:hint="eastAsia" w:ascii="宋体" w:hAnsi="宋体" w:cs="宋体"/>
        </w:rPr>
        <w:t>1.4.1在不改变投标人投标文件实质性内容的前提下，评标委员会应当对投标文件进行基础性数据分析和整理（本章中简称为“清标”），从而发现并提取其中可能存在的对招标范围理解的偏差，投标报价的算术性错误，错漏项，投标报价构成不合理、不平衡报价等存在明显异常的问题，并就这些问题整理形成清标成果。评标委员会对清标成果审议后，决定需要投标人进行澄清、说明或补正的问题，形成质疑问卷，向投标人发出问题澄清通知（包括质疑问卷）。</w:t>
      </w:r>
    </w:p>
    <w:p>
      <w:pPr>
        <w:snapToGrid w:val="0"/>
        <w:spacing w:line="360" w:lineRule="auto"/>
        <w:ind w:firstLine="420" w:firstLineChars="200"/>
        <w:rPr>
          <w:rFonts w:ascii="宋体" w:hAnsi="宋体" w:cs="宋体"/>
        </w:rPr>
      </w:pPr>
      <w:r>
        <w:rPr>
          <w:rFonts w:hint="eastAsia" w:ascii="宋体" w:hAnsi="宋体" w:cs="宋体"/>
        </w:rPr>
        <w:t>1.4.2在不影响评标委员会成员的法定权利的前提下，评标委员会可委托由招标人专门成立的清标工作小组完成清标工作。在这种情况下，清标工作可以在评标工作开始之前完成，也可以与评标工作平行进行。清标工作小组成员应为具备相应执业资格的专业人员，且应当符合有关法律法规对评标专家的回避规定和要求，不得与任何投标人有利益、上下级等关系，不得代行依法应当由评标委员会及其成员行使的权利。清标成果应当经过评标委员会的审核确认，经过评标委员会审核确认的清标成果视同是评标委员会的工作成果，并由评标委员会追加对清标工作小组的授权，书面授权委托书必须由评标委员会全体成员签名。</w:t>
      </w:r>
    </w:p>
    <w:p>
      <w:pPr>
        <w:snapToGrid w:val="0"/>
        <w:spacing w:line="360" w:lineRule="auto"/>
        <w:ind w:firstLine="420" w:firstLineChars="200"/>
        <w:rPr>
          <w:rFonts w:ascii="宋体" w:hAnsi="宋体" w:cs="宋体"/>
        </w:rPr>
      </w:pPr>
      <w:r>
        <w:rPr>
          <w:rFonts w:hint="eastAsia" w:ascii="宋体" w:hAnsi="宋体" w:cs="宋体"/>
        </w:rPr>
        <w:t>1.4.3投标人接到评标委员会发出的问题澄清通知后，应按评标委员会的要求提供澄清资料并按要求进行澄清说明。</w:t>
      </w:r>
    </w:p>
    <w:p>
      <w:pPr>
        <w:pStyle w:val="69"/>
        <w:snapToGrid w:val="0"/>
        <w:spacing w:line="360" w:lineRule="auto"/>
        <w:jc w:val="both"/>
        <w:outlineLvl w:val="1"/>
        <w:rPr>
          <w:rFonts w:hAnsi="宋体" w:cs="宋体"/>
          <w:color w:val="auto"/>
          <w:sz w:val="26"/>
          <w:szCs w:val="26"/>
        </w:rPr>
      </w:pPr>
      <w:bookmarkStart w:id="716" w:name="_Toc23296"/>
      <w:r>
        <w:rPr>
          <w:rFonts w:hint="eastAsia" w:hAnsi="宋体" w:cs="宋体"/>
          <w:color w:val="auto"/>
          <w:sz w:val="26"/>
          <w:szCs w:val="26"/>
        </w:rPr>
        <w:t>2. 评审标准</w:t>
      </w:r>
      <w:bookmarkEnd w:id="714"/>
      <w:bookmarkEnd w:id="715"/>
      <w:bookmarkEnd w:id="716"/>
    </w:p>
    <w:p>
      <w:pPr>
        <w:snapToGrid w:val="0"/>
        <w:spacing w:line="360" w:lineRule="auto"/>
        <w:rPr>
          <w:rFonts w:ascii="宋体" w:hAnsi="宋体" w:cs="宋体"/>
          <w:sz w:val="24"/>
          <w:szCs w:val="24"/>
        </w:rPr>
      </w:pPr>
      <w:bookmarkStart w:id="717" w:name="_Toc228881195"/>
      <w:bookmarkStart w:id="718" w:name="_Toc299439353"/>
      <w:bookmarkStart w:id="719" w:name="_Toc228591691"/>
      <w:bookmarkStart w:id="720" w:name="_Toc227657521"/>
      <w:bookmarkStart w:id="721" w:name="_Toc22522"/>
      <w:bookmarkStart w:id="722" w:name="_Toc214433921"/>
      <w:bookmarkStart w:id="723" w:name="_Toc228589197"/>
      <w:bookmarkStart w:id="724" w:name="_Toc272772608"/>
      <w:bookmarkStart w:id="725" w:name="_Toc5461"/>
      <w:bookmarkStart w:id="726" w:name="_Toc227492278"/>
      <w:bookmarkStart w:id="727" w:name="_Toc228337132"/>
      <w:bookmarkStart w:id="728" w:name="_Toc228591543"/>
      <w:r>
        <w:rPr>
          <w:rFonts w:hint="eastAsia" w:ascii="宋体" w:hAnsi="宋体" w:cs="宋体"/>
          <w:sz w:val="24"/>
          <w:szCs w:val="24"/>
        </w:rPr>
        <w:t>2.1 初步评审标准</w:t>
      </w:r>
      <w:bookmarkEnd w:id="717"/>
      <w:bookmarkEnd w:id="718"/>
      <w:bookmarkEnd w:id="719"/>
      <w:bookmarkEnd w:id="720"/>
      <w:bookmarkEnd w:id="721"/>
      <w:bookmarkEnd w:id="722"/>
      <w:bookmarkEnd w:id="723"/>
      <w:bookmarkEnd w:id="724"/>
      <w:bookmarkEnd w:id="725"/>
      <w:bookmarkEnd w:id="726"/>
      <w:bookmarkEnd w:id="727"/>
      <w:bookmarkEnd w:id="728"/>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2.1.1 形式评审标准：见评标办法前附表。</w:t>
      </w:r>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2.1.2 资格评审标准：见评标办法前附表。</w:t>
      </w:r>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2.1.3响应性评审标准：见评标办法前附表。</w:t>
      </w:r>
    </w:p>
    <w:p>
      <w:pPr>
        <w:snapToGrid w:val="0"/>
        <w:spacing w:line="360" w:lineRule="auto"/>
        <w:rPr>
          <w:rFonts w:ascii="宋体" w:hAnsi="宋体" w:cs="宋体"/>
          <w:sz w:val="24"/>
          <w:szCs w:val="24"/>
        </w:rPr>
      </w:pPr>
      <w:bookmarkStart w:id="729" w:name="_Toc272772609"/>
      <w:bookmarkStart w:id="730" w:name="_Toc228589198"/>
      <w:bookmarkStart w:id="731" w:name="_Toc228591692"/>
      <w:bookmarkStart w:id="732" w:name="_Toc227657522"/>
      <w:bookmarkStart w:id="733" w:name="_Toc228591544"/>
      <w:bookmarkStart w:id="734" w:name="_Toc8544"/>
      <w:bookmarkStart w:id="735" w:name="_Toc227492279"/>
      <w:bookmarkStart w:id="736" w:name="_Toc299439354"/>
      <w:bookmarkStart w:id="737" w:name="_Toc214433922"/>
      <w:bookmarkStart w:id="738" w:name="_Toc228337133"/>
      <w:bookmarkStart w:id="739" w:name="_Toc18671"/>
      <w:bookmarkStart w:id="740" w:name="_Toc228881196"/>
      <w:r>
        <w:rPr>
          <w:rFonts w:hint="eastAsia" w:ascii="宋体" w:hAnsi="宋体" w:cs="宋体"/>
          <w:sz w:val="24"/>
          <w:szCs w:val="24"/>
        </w:rPr>
        <w:t>2.2 详细评审标准</w:t>
      </w:r>
      <w:bookmarkEnd w:id="729"/>
      <w:bookmarkEnd w:id="730"/>
      <w:bookmarkEnd w:id="731"/>
      <w:bookmarkEnd w:id="732"/>
      <w:bookmarkEnd w:id="733"/>
      <w:bookmarkEnd w:id="734"/>
      <w:bookmarkEnd w:id="735"/>
      <w:bookmarkEnd w:id="736"/>
      <w:bookmarkEnd w:id="737"/>
      <w:bookmarkEnd w:id="738"/>
      <w:bookmarkEnd w:id="739"/>
      <w:bookmarkEnd w:id="740"/>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2.2.1 评审标准</w:t>
      </w:r>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（1）综合标评审标准：见评标办法前附表；</w:t>
      </w:r>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（2）技术标评审标准：见评标办法前附表；</w:t>
      </w:r>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（3）商务标评审标准：见评标办法前附表。</w:t>
      </w:r>
    </w:p>
    <w:p>
      <w:pPr>
        <w:pStyle w:val="69"/>
        <w:snapToGrid w:val="0"/>
        <w:spacing w:line="360" w:lineRule="auto"/>
        <w:jc w:val="both"/>
        <w:outlineLvl w:val="1"/>
        <w:rPr>
          <w:rFonts w:hAnsi="宋体" w:cs="宋体"/>
          <w:color w:val="auto"/>
          <w:sz w:val="28"/>
        </w:rPr>
      </w:pPr>
      <w:bookmarkStart w:id="741" w:name="_Toc28952"/>
      <w:bookmarkStart w:id="742" w:name="_Toc782"/>
      <w:bookmarkStart w:id="743" w:name="_Toc11619"/>
      <w:r>
        <w:rPr>
          <w:rFonts w:hint="eastAsia" w:hAnsi="宋体" w:cs="宋体"/>
          <w:color w:val="auto"/>
          <w:sz w:val="26"/>
          <w:szCs w:val="26"/>
        </w:rPr>
        <w:t>3. 评标程序</w:t>
      </w:r>
      <w:bookmarkEnd w:id="741"/>
      <w:bookmarkEnd w:id="742"/>
      <w:bookmarkEnd w:id="743"/>
    </w:p>
    <w:p>
      <w:pPr>
        <w:snapToGrid w:val="0"/>
        <w:spacing w:line="360" w:lineRule="auto"/>
        <w:rPr>
          <w:rFonts w:ascii="宋体" w:hAnsi="宋体" w:cs="宋体"/>
          <w:sz w:val="24"/>
          <w:szCs w:val="24"/>
        </w:rPr>
      </w:pPr>
      <w:bookmarkStart w:id="744" w:name="_Toc22938"/>
      <w:bookmarkStart w:id="745" w:name="_Toc214433924"/>
      <w:bookmarkStart w:id="746" w:name="_Toc364"/>
      <w:bookmarkStart w:id="747" w:name="_Toc227492281"/>
      <w:bookmarkStart w:id="748" w:name="_Toc299439356"/>
      <w:bookmarkStart w:id="749" w:name="_Toc228591694"/>
      <w:bookmarkStart w:id="750" w:name="_Toc228591546"/>
      <w:bookmarkStart w:id="751" w:name="_Toc228881198"/>
      <w:bookmarkStart w:id="752" w:name="_Toc228337135"/>
      <w:bookmarkStart w:id="753" w:name="_Toc272772611"/>
      <w:bookmarkStart w:id="754" w:name="_Toc228589200"/>
      <w:bookmarkStart w:id="755" w:name="_Toc227657524"/>
      <w:r>
        <w:rPr>
          <w:rFonts w:hint="eastAsia" w:ascii="宋体" w:hAnsi="宋体" w:cs="宋体"/>
          <w:sz w:val="24"/>
          <w:szCs w:val="24"/>
        </w:rPr>
        <w:t>3.1 初步评审</w:t>
      </w:r>
      <w:bookmarkEnd w:id="744"/>
      <w:bookmarkEnd w:id="745"/>
      <w:bookmarkEnd w:id="746"/>
      <w:bookmarkEnd w:id="747"/>
      <w:bookmarkEnd w:id="748"/>
      <w:bookmarkEnd w:id="749"/>
      <w:bookmarkEnd w:id="750"/>
      <w:bookmarkEnd w:id="751"/>
      <w:bookmarkEnd w:id="752"/>
      <w:bookmarkEnd w:id="753"/>
      <w:bookmarkEnd w:id="754"/>
      <w:bookmarkEnd w:id="755"/>
    </w:p>
    <w:p>
      <w:pPr>
        <w:snapToGrid w:val="0"/>
        <w:spacing w:line="360" w:lineRule="auto"/>
        <w:ind w:firstLine="420" w:firstLineChars="200"/>
        <w:rPr>
          <w:rFonts w:ascii="宋体" w:hAnsi="宋体" w:cs="宋体"/>
        </w:rPr>
      </w:pPr>
      <w:r>
        <w:rPr>
          <w:rFonts w:hint="eastAsia" w:ascii="宋体" w:hAnsi="宋体" w:cs="宋体"/>
          <w:kern w:val="0"/>
          <w:szCs w:val="21"/>
        </w:rPr>
        <w:t>3.1.1 评标委员会可以要求投标人提交第二章</w:t>
      </w:r>
      <w:r>
        <w:rPr>
          <w:rFonts w:hint="eastAsia" w:ascii="宋体" w:hAnsi="宋体" w:cs="宋体"/>
        </w:rPr>
        <w:t>“投标人须知”第3.5.1项至第3.5.5项规定的有关证明和证件的扫描件，以便核验。评标委员会依据本章第2.1款规定的标准对投标文件进行初步评审。有一项不符合评审标准的，作废标处理。（适用于未进行资格预审的）</w:t>
      </w:r>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3.1.2 评标委员会依据本章第2.1项规定的评审标准对投标文件进行初步评审。有一项不符合评审标准的，作废标处理。</w:t>
      </w:r>
    </w:p>
    <w:p>
      <w:pPr>
        <w:autoSpaceDE w:val="0"/>
        <w:autoSpaceDN w:val="0"/>
        <w:adjustRightInd w:val="0"/>
        <w:snapToGrid w:val="0"/>
        <w:spacing w:line="360" w:lineRule="auto"/>
        <w:ind w:firstLine="411" w:firstLineChars="196"/>
        <w:jc w:val="left"/>
        <w:rPr>
          <w:rFonts w:ascii="宋体" w:hAnsi="宋体" w:cs="宋体"/>
          <w:kern w:val="0"/>
          <w:szCs w:val="21"/>
        </w:rPr>
      </w:pPr>
      <w:r>
        <w:rPr>
          <w:rFonts w:hint="eastAsia" w:ascii="宋体" w:hAnsi="宋体" w:cs="宋体"/>
          <w:kern w:val="0"/>
          <w:szCs w:val="21"/>
        </w:rPr>
        <w:t>3.1.3 投标人有附件1废标条件情形之一的，其投标作废标处理。</w:t>
      </w:r>
    </w:p>
    <w:p>
      <w:pPr>
        <w:snapToGrid w:val="0"/>
        <w:spacing w:line="360" w:lineRule="auto"/>
        <w:rPr>
          <w:rFonts w:ascii="宋体" w:hAnsi="宋体" w:cs="宋体"/>
          <w:sz w:val="24"/>
          <w:szCs w:val="24"/>
        </w:rPr>
      </w:pPr>
      <w:bookmarkStart w:id="756" w:name="_Toc228591547"/>
      <w:bookmarkStart w:id="757" w:name="_Toc214433925"/>
      <w:bookmarkStart w:id="758" w:name="_Toc31788"/>
      <w:bookmarkStart w:id="759" w:name="_Toc272772612"/>
      <w:bookmarkStart w:id="760" w:name="_Toc227492282"/>
      <w:bookmarkStart w:id="761" w:name="_Toc228881199"/>
      <w:bookmarkStart w:id="762" w:name="_Toc227657525"/>
      <w:bookmarkStart w:id="763" w:name="_Toc228591695"/>
      <w:bookmarkStart w:id="764" w:name="_Toc19207"/>
      <w:bookmarkStart w:id="765" w:name="_Toc228337136"/>
      <w:bookmarkStart w:id="766" w:name="_Toc299439357"/>
      <w:bookmarkStart w:id="767" w:name="_Toc228589201"/>
      <w:r>
        <w:rPr>
          <w:rFonts w:hint="eastAsia" w:ascii="宋体" w:hAnsi="宋体" w:cs="宋体"/>
          <w:sz w:val="24"/>
          <w:szCs w:val="24"/>
        </w:rPr>
        <w:t>3.2 详细评审</w:t>
      </w:r>
      <w:bookmarkEnd w:id="756"/>
      <w:bookmarkEnd w:id="757"/>
      <w:bookmarkEnd w:id="758"/>
      <w:bookmarkEnd w:id="759"/>
      <w:bookmarkEnd w:id="760"/>
      <w:bookmarkEnd w:id="761"/>
      <w:bookmarkEnd w:id="762"/>
      <w:bookmarkEnd w:id="763"/>
      <w:bookmarkEnd w:id="764"/>
      <w:bookmarkEnd w:id="765"/>
      <w:bookmarkEnd w:id="766"/>
      <w:bookmarkEnd w:id="767"/>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3.2.1 评标委员会按本章第2.2款（综合标、技术标及商务标）规定的量化因素进行评审。</w:t>
      </w:r>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3.2.2 评标委员会发现投标人的投标总价或分部分项工程量清单报价明显低于其他投标报价，或者在设有控制价时明显低于控制价，使其可能低于成本的，应当要求该投标人作出书面说明并提供相应的证明材料。投标人不能合理说明或者不能提供相应证明材料的，由评标委员会认定该投标人以低于成本报价竞标，其投标作废标处理。</w:t>
      </w:r>
    </w:p>
    <w:p>
      <w:pPr>
        <w:autoSpaceDE w:val="0"/>
        <w:autoSpaceDN w:val="0"/>
        <w:adjustRightInd w:val="0"/>
        <w:snapToGrid w:val="0"/>
        <w:spacing w:line="360" w:lineRule="auto"/>
        <w:ind w:firstLine="420" w:firstLineChars="200"/>
        <w:jc w:val="left"/>
      </w:pPr>
      <w:r>
        <w:rPr>
          <w:rFonts w:hint="eastAsia" w:ascii="宋体" w:hAnsi="宋体" w:cs="宋体"/>
          <w:kern w:val="0"/>
          <w:szCs w:val="21"/>
        </w:rPr>
        <w:t>根据以上计算出的评审总价仅限于报价评审的比较，对中标价没有任何影响。</w:t>
      </w:r>
    </w:p>
    <w:p>
      <w:pPr>
        <w:snapToGrid w:val="0"/>
        <w:spacing w:line="360" w:lineRule="auto"/>
        <w:rPr>
          <w:rFonts w:ascii="宋体" w:hAnsi="宋体" w:cs="宋体"/>
          <w:sz w:val="24"/>
          <w:szCs w:val="24"/>
        </w:rPr>
      </w:pPr>
      <w:bookmarkStart w:id="768" w:name="_Toc21311"/>
      <w:bookmarkStart w:id="769" w:name="_Toc228589202"/>
      <w:bookmarkStart w:id="770" w:name="_Toc272772613"/>
      <w:bookmarkStart w:id="771" w:name="_Toc227657526"/>
      <w:bookmarkStart w:id="772" w:name="_Toc228337137"/>
      <w:bookmarkStart w:id="773" w:name="_Toc227492283"/>
      <w:bookmarkStart w:id="774" w:name="_Toc228591696"/>
      <w:bookmarkStart w:id="775" w:name="_Toc228881200"/>
      <w:bookmarkStart w:id="776" w:name="_Toc228591548"/>
      <w:bookmarkStart w:id="777" w:name="_Toc17154"/>
      <w:bookmarkStart w:id="778" w:name="_Toc214433926"/>
      <w:bookmarkStart w:id="779" w:name="_Toc299439358"/>
      <w:r>
        <w:rPr>
          <w:rFonts w:hint="eastAsia" w:ascii="宋体" w:hAnsi="宋体" w:cs="宋体"/>
          <w:sz w:val="24"/>
          <w:szCs w:val="24"/>
        </w:rPr>
        <w:t>3.3 投标文件的澄清和补正</w:t>
      </w:r>
      <w:bookmarkEnd w:id="768"/>
      <w:bookmarkEnd w:id="769"/>
      <w:bookmarkEnd w:id="770"/>
      <w:bookmarkEnd w:id="771"/>
      <w:bookmarkEnd w:id="772"/>
      <w:bookmarkEnd w:id="773"/>
      <w:bookmarkEnd w:id="774"/>
      <w:bookmarkEnd w:id="775"/>
      <w:bookmarkEnd w:id="776"/>
      <w:bookmarkEnd w:id="777"/>
      <w:bookmarkEnd w:id="778"/>
      <w:bookmarkEnd w:id="779"/>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3.3.1 在评标过程中，评标委员会可以书面形式要求投标人对所提交投标文件中不明确的内容进行书面澄清或说明，或者对细微偏差进行补正。评标委员会不接受投标人主动提出的澄清、说明或补正。</w:t>
      </w:r>
    </w:p>
    <w:p>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3.3.2 澄清、说明和补正不得改变投标文件的实质性内容（算术性错误修正的除外）。投标人的书面澄清、说明和补正属于投标文件的组成部分。</w:t>
      </w:r>
    </w:p>
    <w:p>
      <w:pPr>
        <w:autoSpaceDE w:val="0"/>
        <w:autoSpaceDN w:val="0"/>
        <w:adjustRightInd w:val="0"/>
        <w:snapToGrid w:val="0"/>
        <w:spacing w:line="360" w:lineRule="auto"/>
        <w:ind w:firstLine="420" w:firstLineChars="200"/>
        <w:jc w:val="left"/>
        <w:rPr>
          <w:rFonts w:ascii="宋体" w:hAnsi="宋体" w:cs="宋体"/>
          <w:kern w:val="0"/>
        </w:rPr>
      </w:pPr>
      <w:r>
        <w:rPr>
          <w:rFonts w:hint="eastAsia" w:ascii="宋体" w:hAnsi="宋体" w:cs="宋体"/>
          <w:kern w:val="0"/>
        </w:rPr>
        <w:t>3.3.3 评标委员会对投标人提交的澄清、说明或补正有疑问的，可以要求投标人进一步澄清、说明或补正，直至满足评标委员会的要求。</w:t>
      </w:r>
      <w:bookmarkStart w:id="780" w:name="_Toc228591549"/>
      <w:bookmarkStart w:id="781" w:name="_Toc228589203"/>
      <w:bookmarkStart w:id="782" w:name="_Toc227657527"/>
      <w:bookmarkStart w:id="783" w:name="_Toc272772614"/>
      <w:bookmarkStart w:id="784" w:name="_Toc228337138"/>
      <w:bookmarkStart w:id="785" w:name="_Toc299439359"/>
      <w:bookmarkStart w:id="786" w:name="_Toc228591697"/>
      <w:bookmarkStart w:id="787" w:name="_Toc227492284"/>
      <w:bookmarkStart w:id="788" w:name="_Toc228881201"/>
      <w:bookmarkStart w:id="789" w:name="_Toc214433927"/>
    </w:p>
    <w:p>
      <w:pPr>
        <w:pStyle w:val="69"/>
        <w:snapToGrid w:val="0"/>
        <w:spacing w:line="360" w:lineRule="auto"/>
        <w:jc w:val="both"/>
        <w:outlineLvl w:val="1"/>
        <w:rPr>
          <w:rFonts w:hAnsi="宋体" w:cs="宋体"/>
          <w:color w:val="auto"/>
          <w:sz w:val="28"/>
        </w:rPr>
      </w:pPr>
      <w:bookmarkStart w:id="790" w:name="_Toc12180"/>
      <w:r>
        <w:rPr>
          <w:rFonts w:hint="eastAsia" w:hAnsi="宋体" w:cs="宋体"/>
          <w:color w:val="auto"/>
          <w:sz w:val="26"/>
          <w:szCs w:val="26"/>
        </w:rPr>
        <w:t>4. 推荐中标候选人或者直接确定中标人</w:t>
      </w:r>
      <w:bookmarkEnd w:id="790"/>
    </w:p>
    <w:p>
      <w:pPr>
        <w:autoSpaceDE w:val="0"/>
        <w:autoSpaceDN w:val="0"/>
        <w:adjustRightInd w:val="0"/>
        <w:snapToGrid w:val="0"/>
        <w:spacing w:line="360" w:lineRule="auto"/>
        <w:jc w:val="left"/>
        <w:rPr>
          <w:rFonts w:ascii="宋体" w:hAnsi="宋体" w:cs="宋体"/>
          <w:kern w:val="0"/>
          <w:sz w:val="24"/>
          <w:szCs w:val="24"/>
        </w:rPr>
      </w:pPr>
      <w:r>
        <w:rPr>
          <w:rFonts w:hint="eastAsia" w:ascii="宋体" w:hAnsi="宋体" w:cs="宋体"/>
          <w:sz w:val="24"/>
        </w:rPr>
        <w:t>4.1汇总评标结果</w:t>
      </w:r>
    </w:p>
    <w:bookmarkEnd w:id="780"/>
    <w:bookmarkEnd w:id="781"/>
    <w:bookmarkEnd w:id="782"/>
    <w:bookmarkEnd w:id="783"/>
    <w:bookmarkEnd w:id="784"/>
    <w:bookmarkEnd w:id="785"/>
    <w:bookmarkEnd w:id="786"/>
    <w:bookmarkEnd w:id="787"/>
    <w:bookmarkEnd w:id="788"/>
    <w:bookmarkEnd w:id="789"/>
    <w:p>
      <w:pPr>
        <w:snapToGrid w:val="0"/>
        <w:spacing w:line="360" w:lineRule="auto"/>
        <w:ind w:firstLine="420" w:firstLineChars="200"/>
        <w:rPr>
          <w:rFonts w:ascii="宋体" w:hAnsi="宋体" w:cs="宋体"/>
        </w:rPr>
      </w:pPr>
      <w:bookmarkStart w:id="791" w:name="_Toc16203"/>
      <w:bookmarkStart w:id="792" w:name="_Toc10479"/>
      <w:r>
        <w:rPr>
          <w:rFonts w:hint="eastAsia" w:ascii="宋体" w:hAnsi="宋体" w:cs="宋体"/>
        </w:rPr>
        <w:t>投标报价评审工作全部结束后，评标委员会应按照要求填写评标记录表、评标结果汇总表。</w:t>
      </w:r>
      <w:bookmarkEnd w:id="791"/>
      <w:bookmarkEnd w:id="792"/>
    </w:p>
    <w:p>
      <w:pPr>
        <w:snapToGrid w:val="0"/>
        <w:spacing w:line="360" w:lineRule="auto"/>
        <w:rPr>
          <w:rFonts w:ascii="宋体" w:hAnsi="宋体" w:cs="宋体"/>
          <w:sz w:val="24"/>
        </w:rPr>
      </w:pPr>
      <w:r>
        <w:rPr>
          <w:rFonts w:hint="eastAsia" w:ascii="宋体" w:hAnsi="宋体" w:cs="宋体"/>
          <w:sz w:val="24"/>
        </w:rPr>
        <w:t>4.2推荐中标候选人</w:t>
      </w:r>
    </w:p>
    <w:p>
      <w:pPr>
        <w:snapToGrid w:val="0"/>
        <w:spacing w:line="360" w:lineRule="auto"/>
        <w:ind w:firstLine="420" w:firstLineChars="200"/>
        <w:rPr>
          <w:rFonts w:ascii="宋体" w:hAnsi="宋体" w:cs="宋体"/>
        </w:rPr>
      </w:pPr>
      <w:r>
        <w:rPr>
          <w:rFonts w:hint="eastAsia" w:ascii="宋体" w:hAnsi="宋体" w:cs="宋体"/>
        </w:rPr>
        <w:t>4.2.1除第二章“投标人须知”前附表授权直接确定中标人外，评标委员会在推荐中标候选人时，应遵照以下原则：</w:t>
      </w:r>
    </w:p>
    <w:p>
      <w:pPr>
        <w:snapToGrid w:val="0"/>
        <w:spacing w:line="360" w:lineRule="auto"/>
        <w:ind w:firstLine="420" w:firstLineChars="200"/>
        <w:rPr>
          <w:rFonts w:ascii="宋体" w:hAnsi="宋体" w:cs="宋体"/>
        </w:rPr>
      </w:pPr>
      <w:r>
        <w:rPr>
          <w:rFonts w:hint="eastAsia" w:ascii="宋体" w:hAnsi="宋体" w:cs="宋体"/>
        </w:rPr>
        <w:t>（1）</w:t>
      </w:r>
      <w:r>
        <w:rPr>
          <w:rFonts w:hint="eastAsia" w:ascii="宋体" w:hAnsi="宋体" w:cs="宋体"/>
          <w:kern w:val="0"/>
          <w:szCs w:val="21"/>
        </w:rPr>
        <w:t>评标委员会对满足招标文件实质性要求的投标文件，按照本章第2.1、第2.2款规定的评审标准进行评审，对通过初步评审、详细评审全部合格的投标人，按照投标报价由低到高排序</w:t>
      </w:r>
      <w:r>
        <w:rPr>
          <w:rFonts w:hint="eastAsia" w:ascii="宋体" w:hAnsi="宋体" w:cs="宋体"/>
        </w:rPr>
        <w:t>，根据第二章“投标人须知”前附表第7.1款的规定推荐中标候选人，</w:t>
      </w:r>
      <w:r>
        <w:rPr>
          <w:rFonts w:hint="eastAsia" w:ascii="宋体" w:hAnsi="宋体" w:cs="宋体"/>
          <w:szCs w:val="21"/>
        </w:rPr>
        <w:t>若投标报价也相等的，从报价相等的投标企业中通过随机抽取确定中标候选人。</w:t>
      </w:r>
    </w:p>
    <w:p>
      <w:pPr>
        <w:snapToGrid w:val="0"/>
        <w:spacing w:line="360" w:lineRule="auto"/>
        <w:ind w:firstLine="420" w:firstLineChars="200"/>
        <w:rPr>
          <w:rFonts w:ascii="宋体" w:hAnsi="宋体" w:cs="宋体"/>
        </w:rPr>
      </w:pPr>
      <w:r>
        <w:rPr>
          <w:rFonts w:hint="eastAsia" w:ascii="宋体" w:hAnsi="宋体" w:cs="宋体"/>
        </w:rPr>
        <w:t>（2）如果评标委员会根据本章的规定作废标处理后，有效投标不足三个，且少于第二章“投标人须知”前附表第7.1款规定的中标候选人数量的，则评标委员会可以将所有有效投标按投标总报价由低至高的次序作为中标候选人向招标人推荐。如果因有效投标不足三个使得投标明显缺乏竞争的，评标委员会可以否决全部投标。</w:t>
      </w:r>
    </w:p>
    <w:p>
      <w:pPr>
        <w:snapToGrid w:val="0"/>
        <w:spacing w:line="360" w:lineRule="auto"/>
        <w:ind w:firstLine="420" w:firstLineChars="200"/>
        <w:rPr>
          <w:rFonts w:ascii="宋体" w:hAnsi="宋体" w:cs="宋体"/>
        </w:rPr>
      </w:pPr>
      <w:bookmarkStart w:id="793" w:name="_Toc17548"/>
      <w:bookmarkStart w:id="794" w:name="_Toc704"/>
      <w:r>
        <w:rPr>
          <w:rFonts w:hint="eastAsia" w:ascii="宋体" w:hAnsi="宋体" w:cs="宋体"/>
        </w:rPr>
        <w:t>4.2.2投标截止时间前，递交投标文件的投标人数量少于三个或者所有投标被否决的，招标人应当依法重新招标。</w:t>
      </w:r>
      <w:bookmarkEnd w:id="793"/>
      <w:bookmarkEnd w:id="794"/>
    </w:p>
    <w:p>
      <w:pPr>
        <w:snapToGrid w:val="0"/>
        <w:spacing w:line="360" w:lineRule="auto"/>
        <w:rPr>
          <w:rFonts w:ascii="宋体" w:hAnsi="宋体" w:cs="宋体"/>
          <w:sz w:val="24"/>
        </w:rPr>
      </w:pPr>
      <w:r>
        <w:rPr>
          <w:rFonts w:hint="eastAsia" w:ascii="宋体" w:hAnsi="宋体" w:cs="宋体"/>
          <w:sz w:val="24"/>
        </w:rPr>
        <w:t>4.3  直接确定中标人</w:t>
      </w:r>
    </w:p>
    <w:p>
      <w:pPr>
        <w:snapToGrid w:val="0"/>
        <w:spacing w:line="360" w:lineRule="auto"/>
        <w:ind w:firstLine="420" w:firstLineChars="200"/>
        <w:rPr>
          <w:rFonts w:ascii="宋体" w:hAnsi="宋体" w:cs="宋体"/>
        </w:rPr>
      </w:pPr>
      <w:r>
        <w:rPr>
          <w:rFonts w:hint="eastAsia" w:ascii="宋体" w:hAnsi="宋体" w:cs="宋体"/>
        </w:rPr>
        <w:t>第二章“投标人须知”前附表授权评标委员会直接确定中标人的，评标委员会对报价合理的投标按照投标总报价由低至高的次序排列，并确定排名第一的投标人为中标人。</w:t>
      </w:r>
    </w:p>
    <w:p>
      <w:pPr>
        <w:snapToGrid w:val="0"/>
        <w:spacing w:line="360" w:lineRule="auto"/>
        <w:rPr>
          <w:rFonts w:ascii="宋体" w:hAnsi="宋体" w:cs="宋体"/>
          <w:sz w:val="24"/>
        </w:rPr>
      </w:pPr>
      <w:r>
        <w:rPr>
          <w:rFonts w:hint="eastAsia" w:ascii="宋体" w:hAnsi="宋体" w:cs="宋体"/>
          <w:sz w:val="24"/>
        </w:rPr>
        <w:t>4.4  编制及提交评标报告</w:t>
      </w:r>
    </w:p>
    <w:p>
      <w:pPr>
        <w:snapToGrid w:val="0"/>
        <w:spacing w:line="360" w:lineRule="auto"/>
        <w:ind w:firstLine="420" w:firstLineChars="200"/>
        <w:rPr>
          <w:rFonts w:ascii="宋体" w:hAnsi="宋体" w:cs="宋体"/>
        </w:rPr>
      </w:pPr>
      <w:r>
        <w:rPr>
          <w:rFonts w:hint="eastAsia" w:ascii="宋体" w:hAnsi="宋体" w:cs="宋体"/>
        </w:rPr>
        <w:t>评标委员会评标结束后应向招标人提交评标报告。评标报告应当由全体评标委员会成员签字。评标报告应当包括以下内容：</w:t>
      </w:r>
    </w:p>
    <w:p>
      <w:pPr>
        <w:snapToGrid w:val="0"/>
        <w:spacing w:line="360" w:lineRule="auto"/>
        <w:ind w:firstLine="420" w:firstLineChars="200"/>
        <w:rPr>
          <w:rFonts w:ascii="宋体" w:hAnsi="宋体" w:cs="宋体"/>
        </w:rPr>
      </w:pPr>
      <w:r>
        <w:rPr>
          <w:rFonts w:hint="eastAsia" w:ascii="宋体" w:hAnsi="宋体" w:cs="宋体"/>
        </w:rPr>
        <w:t>（1）基本情况和数据表；</w:t>
      </w:r>
    </w:p>
    <w:p>
      <w:pPr>
        <w:snapToGrid w:val="0"/>
        <w:spacing w:line="360" w:lineRule="auto"/>
        <w:ind w:firstLine="420" w:firstLineChars="200"/>
        <w:rPr>
          <w:rFonts w:ascii="宋体" w:hAnsi="宋体" w:cs="宋体"/>
        </w:rPr>
      </w:pPr>
      <w:r>
        <w:rPr>
          <w:rFonts w:hint="eastAsia" w:ascii="宋体" w:hAnsi="宋体" w:cs="宋体"/>
        </w:rPr>
        <w:t>（2）评标委员会成员名单；</w:t>
      </w:r>
    </w:p>
    <w:p>
      <w:pPr>
        <w:snapToGrid w:val="0"/>
        <w:spacing w:line="360" w:lineRule="auto"/>
        <w:ind w:firstLine="420" w:firstLineChars="200"/>
        <w:rPr>
          <w:rFonts w:ascii="宋体" w:hAnsi="宋体" w:cs="宋体"/>
        </w:rPr>
      </w:pPr>
      <w:r>
        <w:rPr>
          <w:rFonts w:hint="eastAsia" w:ascii="宋体" w:hAnsi="宋体" w:cs="宋体"/>
        </w:rPr>
        <w:t>（3）开标记录；</w:t>
      </w:r>
    </w:p>
    <w:p>
      <w:pPr>
        <w:snapToGrid w:val="0"/>
        <w:spacing w:line="360" w:lineRule="auto"/>
        <w:ind w:firstLine="420" w:firstLineChars="200"/>
        <w:rPr>
          <w:rFonts w:ascii="宋体" w:hAnsi="宋体" w:cs="宋体"/>
        </w:rPr>
      </w:pPr>
      <w:r>
        <w:rPr>
          <w:rFonts w:hint="eastAsia" w:ascii="宋体" w:hAnsi="宋体" w:cs="宋体"/>
        </w:rPr>
        <w:t>（4）符合要求的投标一览表；</w:t>
      </w:r>
    </w:p>
    <w:p>
      <w:pPr>
        <w:snapToGrid w:val="0"/>
        <w:spacing w:line="360" w:lineRule="auto"/>
        <w:ind w:firstLine="420" w:firstLineChars="200"/>
        <w:rPr>
          <w:rFonts w:ascii="宋体" w:hAnsi="宋体" w:cs="宋体"/>
        </w:rPr>
      </w:pPr>
      <w:r>
        <w:rPr>
          <w:rFonts w:hint="eastAsia" w:ascii="宋体" w:hAnsi="宋体" w:cs="宋体"/>
        </w:rPr>
        <w:t>（5）废标情况说明；</w:t>
      </w:r>
    </w:p>
    <w:p>
      <w:pPr>
        <w:snapToGrid w:val="0"/>
        <w:spacing w:line="360" w:lineRule="auto"/>
        <w:ind w:firstLine="420" w:firstLineChars="200"/>
        <w:rPr>
          <w:rFonts w:ascii="宋体" w:hAnsi="宋体" w:cs="宋体"/>
        </w:rPr>
      </w:pPr>
      <w:r>
        <w:rPr>
          <w:rFonts w:hint="eastAsia" w:ascii="宋体" w:hAnsi="宋体" w:cs="宋体"/>
        </w:rPr>
        <w:t>（6）评标标准、评标方法或者评标因素一览表；</w:t>
      </w:r>
    </w:p>
    <w:p>
      <w:pPr>
        <w:snapToGrid w:val="0"/>
        <w:spacing w:line="360" w:lineRule="auto"/>
        <w:ind w:firstLine="420" w:firstLineChars="200"/>
        <w:rPr>
          <w:rFonts w:ascii="宋体" w:hAnsi="宋体" w:cs="宋体"/>
        </w:rPr>
      </w:pPr>
      <w:r>
        <w:rPr>
          <w:rFonts w:hint="eastAsia" w:ascii="宋体" w:hAnsi="宋体" w:cs="宋体"/>
        </w:rPr>
        <w:t>（7）经评审的价格一览表（包括评标委员会在评标过程中所形成的所有记载评标结果、结论的表格、说明、记录等文件）；</w:t>
      </w:r>
    </w:p>
    <w:p>
      <w:pPr>
        <w:snapToGrid w:val="0"/>
        <w:spacing w:line="360" w:lineRule="auto"/>
        <w:ind w:firstLine="420" w:firstLineChars="200"/>
        <w:rPr>
          <w:rFonts w:ascii="宋体" w:hAnsi="宋体" w:cs="宋体"/>
        </w:rPr>
      </w:pPr>
      <w:r>
        <w:rPr>
          <w:rFonts w:hint="eastAsia" w:ascii="宋体" w:hAnsi="宋体" w:cs="宋体"/>
        </w:rPr>
        <w:t>（8）经评审的投标人排序；</w:t>
      </w:r>
    </w:p>
    <w:p>
      <w:pPr>
        <w:snapToGrid w:val="0"/>
        <w:spacing w:line="360" w:lineRule="auto"/>
        <w:ind w:firstLine="420" w:firstLineChars="200"/>
        <w:rPr>
          <w:rFonts w:ascii="宋体" w:hAnsi="宋体" w:cs="宋体"/>
        </w:rPr>
      </w:pPr>
      <w:r>
        <w:rPr>
          <w:rFonts w:hint="eastAsia" w:ascii="宋体" w:hAnsi="宋体" w:cs="宋体"/>
        </w:rPr>
        <w:t>（9）推荐的中标候选人名单（如果第二章“投标人须知”前附表授权评标委员会直接确定中标人，则为“确定的中标人”）与签订合同前要处理的事宜；</w:t>
      </w:r>
    </w:p>
    <w:p>
      <w:pPr>
        <w:snapToGrid w:val="0"/>
        <w:spacing w:line="360" w:lineRule="auto"/>
        <w:ind w:firstLine="420" w:firstLineChars="200"/>
        <w:rPr>
          <w:rFonts w:ascii="宋体" w:hAnsi="宋体" w:cs="宋体"/>
        </w:rPr>
      </w:pPr>
      <w:r>
        <w:rPr>
          <w:rFonts w:hint="eastAsia" w:ascii="宋体" w:hAnsi="宋体" w:cs="宋体"/>
        </w:rPr>
        <w:t>（10）澄清、说明或补正事项纪要。</w:t>
      </w:r>
    </w:p>
    <w:p>
      <w:pPr>
        <w:pStyle w:val="69"/>
        <w:snapToGrid w:val="0"/>
        <w:spacing w:line="360" w:lineRule="auto"/>
        <w:jc w:val="both"/>
        <w:outlineLvl w:val="1"/>
        <w:rPr>
          <w:rFonts w:hAnsi="宋体" w:cs="宋体"/>
          <w:color w:val="auto"/>
          <w:sz w:val="28"/>
        </w:rPr>
      </w:pPr>
      <w:bookmarkStart w:id="795" w:name="_Toc13186"/>
      <w:r>
        <w:rPr>
          <w:rFonts w:hint="eastAsia" w:hAnsi="宋体" w:cs="宋体"/>
          <w:color w:val="auto"/>
          <w:sz w:val="26"/>
          <w:szCs w:val="26"/>
        </w:rPr>
        <w:t>5. 特殊情况的处置程序</w:t>
      </w:r>
      <w:bookmarkEnd w:id="795"/>
    </w:p>
    <w:p>
      <w:pPr>
        <w:snapToGrid w:val="0"/>
        <w:spacing w:line="360" w:lineRule="auto"/>
        <w:rPr>
          <w:rFonts w:ascii="宋体" w:hAnsi="宋体" w:cs="宋体"/>
          <w:sz w:val="24"/>
        </w:rPr>
      </w:pPr>
      <w:r>
        <w:rPr>
          <w:rFonts w:hint="eastAsia" w:ascii="宋体" w:hAnsi="宋体" w:cs="宋体"/>
          <w:sz w:val="24"/>
        </w:rPr>
        <w:t>5.1  关于评标活动暂停</w:t>
      </w:r>
    </w:p>
    <w:p>
      <w:pPr>
        <w:snapToGrid w:val="0"/>
        <w:spacing w:line="360" w:lineRule="auto"/>
        <w:ind w:firstLine="420" w:firstLineChars="200"/>
        <w:rPr>
          <w:rFonts w:ascii="宋体" w:hAnsi="宋体" w:cs="宋体"/>
        </w:rPr>
      </w:pPr>
      <w:r>
        <w:rPr>
          <w:rFonts w:hint="eastAsia" w:ascii="宋体" w:hAnsi="宋体" w:cs="宋体"/>
        </w:rPr>
        <w:t>5.1.1  评标委员会应当执行连续评标的原则，按评标办法中规定的程序、内容、方法、标准完成全部评标工作。只有发生不可抗力导致评标工作无法继续时，评标活动方可暂停。</w:t>
      </w:r>
    </w:p>
    <w:p>
      <w:pPr>
        <w:snapToGrid w:val="0"/>
        <w:spacing w:line="360" w:lineRule="auto"/>
        <w:ind w:firstLine="420" w:firstLineChars="200"/>
        <w:rPr>
          <w:rFonts w:ascii="宋体" w:hAnsi="宋体" w:cs="宋体"/>
        </w:rPr>
      </w:pPr>
      <w:r>
        <w:rPr>
          <w:rFonts w:hint="eastAsia" w:ascii="宋体" w:hAnsi="宋体" w:cs="宋体"/>
        </w:rPr>
        <w:t>5.1.2  发生评标暂停情况时，评标委员会应当封存全部投标文件和评标记录，待不可抗力的影响结束且具备继续评标的条件时，由原评标委员会继续评标。</w:t>
      </w:r>
    </w:p>
    <w:p>
      <w:pPr>
        <w:snapToGrid w:val="0"/>
        <w:spacing w:line="360" w:lineRule="auto"/>
        <w:rPr>
          <w:rFonts w:ascii="宋体" w:hAnsi="宋体" w:cs="宋体"/>
          <w:sz w:val="24"/>
        </w:rPr>
      </w:pPr>
      <w:r>
        <w:rPr>
          <w:rFonts w:hint="eastAsia" w:ascii="宋体" w:hAnsi="宋体" w:cs="宋体"/>
          <w:sz w:val="24"/>
        </w:rPr>
        <w:t>5.2  关于评标中途更换评标委员会成员</w:t>
      </w:r>
    </w:p>
    <w:p>
      <w:pPr>
        <w:snapToGrid w:val="0"/>
        <w:spacing w:line="360" w:lineRule="auto"/>
        <w:ind w:firstLine="420" w:firstLineChars="200"/>
        <w:rPr>
          <w:rFonts w:ascii="宋体" w:hAnsi="宋体" w:cs="宋体"/>
        </w:rPr>
      </w:pPr>
      <w:r>
        <w:rPr>
          <w:rFonts w:hint="eastAsia" w:ascii="宋体" w:hAnsi="宋体" w:cs="宋体"/>
        </w:rPr>
        <w:t>5.2.1  除非发生下列情况之一，评标委员会成员不得在评标中途更换：</w:t>
      </w:r>
    </w:p>
    <w:p>
      <w:pPr>
        <w:snapToGrid w:val="0"/>
        <w:spacing w:line="360" w:lineRule="auto"/>
        <w:ind w:firstLine="420" w:firstLineChars="200"/>
        <w:rPr>
          <w:rFonts w:ascii="宋体" w:hAnsi="宋体" w:cs="宋体"/>
        </w:rPr>
      </w:pPr>
      <w:r>
        <w:rPr>
          <w:rFonts w:hint="eastAsia" w:ascii="宋体" w:hAnsi="宋体" w:cs="宋体"/>
        </w:rPr>
        <w:t>（1）因不可抗拒的客观原因，不能到场或需在评标中途退出评标活动。</w:t>
      </w:r>
    </w:p>
    <w:p>
      <w:pPr>
        <w:snapToGrid w:val="0"/>
        <w:spacing w:line="360" w:lineRule="auto"/>
        <w:ind w:firstLine="420" w:firstLineChars="200"/>
        <w:rPr>
          <w:rFonts w:ascii="宋体" w:hAnsi="宋体" w:cs="宋体"/>
        </w:rPr>
      </w:pPr>
      <w:r>
        <w:rPr>
          <w:rFonts w:hint="eastAsia" w:ascii="宋体" w:hAnsi="宋体" w:cs="宋体"/>
        </w:rPr>
        <w:t>（2）根据法律法规规定，某个或某几个评标委员会成员需要回避。</w:t>
      </w:r>
    </w:p>
    <w:p>
      <w:pPr>
        <w:snapToGrid w:val="0"/>
        <w:spacing w:line="360" w:lineRule="auto"/>
        <w:ind w:firstLine="420" w:firstLineChars="200"/>
        <w:rPr>
          <w:rFonts w:ascii="宋体" w:hAnsi="宋体" w:cs="宋体"/>
        </w:rPr>
      </w:pPr>
      <w:r>
        <w:rPr>
          <w:rFonts w:hint="eastAsia" w:ascii="宋体" w:hAnsi="宋体" w:cs="宋体"/>
        </w:rPr>
        <w:t>5.2.2  退出评标的评标委员会成员，其已完成的评标行为无效。由招标人根据本招标文件规定的评标委员会成员产生方式另行确定替代者进行评标。</w:t>
      </w:r>
    </w:p>
    <w:p>
      <w:pPr>
        <w:snapToGrid w:val="0"/>
        <w:spacing w:line="360" w:lineRule="auto"/>
        <w:rPr>
          <w:rFonts w:ascii="宋体" w:hAnsi="宋体" w:cs="宋体"/>
          <w:sz w:val="24"/>
        </w:rPr>
      </w:pPr>
      <w:r>
        <w:rPr>
          <w:rFonts w:hint="eastAsia" w:ascii="宋体" w:hAnsi="宋体" w:cs="宋体"/>
          <w:sz w:val="24"/>
        </w:rPr>
        <w:t>5.3  记名投票</w:t>
      </w:r>
    </w:p>
    <w:p>
      <w:pPr>
        <w:snapToGrid w:val="0"/>
        <w:spacing w:line="360" w:lineRule="auto"/>
        <w:ind w:firstLine="420" w:firstLineChars="200"/>
        <w:rPr>
          <w:rFonts w:ascii="宋体" w:hAnsi="宋体" w:cs="宋体"/>
        </w:rPr>
      </w:pPr>
      <w:r>
        <w:rPr>
          <w:rFonts w:hint="eastAsia" w:ascii="宋体" w:hAnsi="宋体" w:cs="宋体"/>
        </w:rPr>
        <w:t>在任何评标环节中，需评标委员会就某项定性的评审结论做出表决的，由评标委员会全体成员按照少数服从多数的原则，以记名投票方式表决。</w:t>
      </w:r>
    </w:p>
    <w:p>
      <w:pPr>
        <w:pStyle w:val="69"/>
        <w:snapToGrid w:val="0"/>
        <w:spacing w:line="360" w:lineRule="auto"/>
        <w:jc w:val="both"/>
        <w:outlineLvl w:val="1"/>
        <w:rPr>
          <w:rFonts w:hAnsi="宋体" w:cs="宋体"/>
          <w:color w:val="auto"/>
          <w:sz w:val="26"/>
          <w:szCs w:val="26"/>
        </w:rPr>
      </w:pPr>
      <w:bookmarkStart w:id="796" w:name="_Toc25731"/>
      <w:r>
        <w:rPr>
          <w:rFonts w:hint="eastAsia" w:hAnsi="宋体" w:cs="宋体"/>
          <w:color w:val="auto"/>
          <w:sz w:val="26"/>
          <w:szCs w:val="26"/>
        </w:rPr>
        <w:t>6.补充条款</w:t>
      </w:r>
      <w:bookmarkEnd w:id="796"/>
    </w:p>
    <w:p>
      <w:pPr>
        <w:autoSpaceDE w:val="0"/>
        <w:autoSpaceDN w:val="0"/>
        <w:adjustRightInd w:val="0"/>
        <w:snapToGrid w:val="0"/>
        <w:spacing w:line="360" w:lineRule="auto"/>
        <w:outlineLvl w:val="0"/>
        <w:rPr>
          <w:rFonts w:ascii="宋体" w:hAnsi="宋体" w:cs="宋体"/>
          <w:b/>
          <w:kern w:val="0"/>
          <w:sz w:val="36"/>
        </w:rPr>
      </w:pPr>
    </w:p>
    <w:p/>
    <w:p>
      <w:pPr>
        <w:adjustRightInd w:val="0"/>
        <w:snapToGrid w:val="0"/>
        <w:spacing w:before="240" w:beforeLines="100" w:after="240" w:afterLines="100" w:line="700" w:lineRule="exact"/>
        <w:jc w:val="left"/>
        <w:outlineLvl w:val="1"/>
        <w:rPr>
          <w:rFonts w:ascii="宋体" w:hAnsi="宋体" w:cs="宋体"/>
          <w:b/>
          <w:bCs/>
          <w:szCs w:val="21"/>
        </w:rPr>
      </w:pPr>
    </w:p>
    <w:p>
      <w:pPr>
        <w:adjustRightInd w:val="0"/>
        <w:snapToGrid w:val="0"/>
        <w:spacing w:before="240" w:beforeLines="100" w:after="240" w:afterLines="100" w:line="700" w:lineRule="exact"/>
        <w:jc w:val="left"/>
        <w:outlineLvl w:val="1"/>
        <w:rPr>
          <w:rFonts w:ascii="宋体" w:hAnsi="宋体" w:cs="宋体"/>
          <w:b/>
          <w:bCs/>
          <w:szCs w:val="21"/>
        </w:rPr>
      </w:pPr>
    </w:p>
    <w:p>
      <w:pPr>
        <w:adjustRightInd w:val="0"/>
        <w:snapToGrid w:val="0"/>
        <w:spacing w:before="240" w:beforeLines="100" w:after="240" w:afterLines="100" w:line="700" w:lineRule="exact"/>
        <w:jc w:val="left"/>
        <w:outlineLvl w:val="1"/>
        <w:rPr>
          <w:rFonts w:ascii="宋体" w:hAnsi="宋体" w:cs="宋体"/>
          <w:b/>
          <w:bCs/>
          <w:szCs w:val="21"/>
        </w:rPr>
      </w:pPr>
    </w:p>
    <w:p>
      <w:pPr>
        <w:adjustRightInd w:val="0"/>
        <w:snapToGrid w:val="0"/>
        <w:spacing w:before="240" w:beforeLines="100" w:after="240" w:afterLines="100" w:line="440" w:lineRule="exact"/>
        <w:jc w:val="left"/>
        <w:outlineLvl w:val="1"/>
        <w:rPr>
          <w:rFonts w:ascii="宋体" w:hAnsi="宋体" w:cs="宋体"/>
          <w:b/>
          <w:bCs/>
          <w:szCs w:val="21"/>
        </w:rPr>
      </w:pPr>
    </w:p>
    <w:p>
      <w:pPr>
        <w:pStyle w:val="44"/>
      </w:pPr>
    </w:p>
    <w:p>
      <w:pPr>
        <w:adjustRightInd w:val="0"/>
        <w:snapToGrid w:val="0"/>
        <w:spacing w:before="240" w:beforeLines="100" w:after="240" w:afterLines="100" w:line="440" w:lineRule="exact"/>
        <w:jc w:val="left"/>
        <w:outlineLvl w:val="1"/>
        <w:rPr>
          <w:rFonts w:hint="eastAsia" w:ascii="宋体" w:hAnsi="宋体" w:cs="宋体"/>
          <w:b/>
          <w:bCs/>
          <w:szCs w:val="21"/>
        </w:rPr>
      </w:pPr>
    </w:p>
    <w:p>
      <w:pPr>
        <w:adjustRightInd w:val="0"/>
        <w:snapToGrid w:val="0"/>
        <w:spacing w:before="240" w:beforeLines="100" w:after="240" w:afterLines="100" w:line="440" w:lineRule="exact"/>
        <w:jc w:val="left"/>
        <w:outlineLvl w:val="1"/>
        <w:rPr>
          <w:rFonts w:ascii="宋体" w:hAnsi="宋体" w:cs="宋体"/>
          <w:b/>
          <w:bCs/>
          <w:szCs w:val="21"/>
        </w:rPr>
      </w:pPr>
      <w:r>
        <w:rPr>
          <w:rFonts w:hint="eastAsia" w:ascii="宋体" w:hAnsi="宋体" w:cs="宋体"/>
          <w:b/>
          <w:bCs/>
          <w:szCs w:val="21"/>
        </w:rPr>
        <w:t>附件1 废标条件</w:t>
      </w:r>
      <w:bookmarkEnd w:id="700"/>
    </w:p>
    <w:p>
      <w:pPr>
        <w:adjustRightInd w:val="0"/>
        <w:snapToGrid w:val="0"/>
        <w:spacing w:before="240" w:beforeLines="100" w:after="240" w:afterLines="100" w:line="440" w:lineRule="exact"/>
        <w:jc w:val="center"/>
        <w:rPr>
          <w:rFonts w:ascii="宋体" w:hAnsi="宋体" w:cs="宋体"/>
          <w:szCs w:val="21"/>
        </w:rPr>
      </w:pPr>
      <w:r>
        <w:rPr>
          <w:rFonts w:hint="eastAsia" w:ascii="宋体" w:hAnsi="宋体" w:cs="宋体"/>
          <w:b/>
          <w:bCs/>
          <w:sz w:val="28"/>
          <w:szCs w:val="28"/>
        </w:rPr>
        <w:t>废  标  条  件</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投标人或其投标文件有下列情形之一的，其投标作废标处理：</w:t>
      </w:r>
    </w:p>
    <w:p>
      <w:pPr>
        <w:keepNext w:val="0"/>
        <w:keepLines w:val="0"/>
        <w:pageBreakBefore w:val="0"/>
        <w:widowControl w:val="0"/>
        <w:kinsoku/>
        <w:wordWrap/>
        <w:overflowPunct/>
        <w:topLinePunct w:val="0"/>
        <w:bidi w:val="0"/>
        <w:adjustRightInd w:val="0"/>
        <w:snapToGrid w:val="0"/>
        <w:spacing w:line="336" w:lineRule="auto"/>
        <w:ind w:firstLine="522" w:firstLineChars="249"/>
        <w:textAlignment w:val="auto"/>
        <w:rPr>
          <w:rFonts w:ascii="宋体" w:hAnsi="宋体" w:cs="宋体"/>
          <w:szCs w:val="21"/>
        </w:rPr>
      </w:pPr>
      <w:r>
        <w:rPr>
          <w:rFonts w:hint="eastAsia" w:ascii="宋体" w:hAnsi="宋体" w:cs="宋体"/>
          <w:szCs w:val="21"/>
        </w:rPr>
        <w:t>1.1 有第二章“投标人须知”正文部分第1.4.3项规定的任何一种情形的；</w:t>
      </w:r>
    </w:p>
    <w:p>
      <w:pPr>
        <w:keepNext w:val="0"/>
        <w:keepLines w:val="0"/>
        <w:pageBreakBefore w:val="0"/>
        <w:widowControl w:val="0"/>
        <w:kinsoku/>
        <w:wordWrap/>
        <w:overflowPunct/>
        <w:topLinePunct w:val="0"/>
        <w:bidi w:val="0"/>
        <w:adjustRightInd w:val="0"/>
        <w:snapToGrid w:val="0"/>
        <w:spacing w:line="336" w:lineRule="auto"/>
        <w:ind w:firstLine="522" w:firstLineChars="249"/>
        <w:textAlignment w:val="auto"/>
        <w:rPr>
          <w:rFonts w:hint="eastAsia" w:ascii="宋体" w:hAnsi="宋体" w:cs="宋体"/>
          <w:szCs w:val="21"/>
        </w:rPr>
      </w:pPr>
      <w:r>
        <w:rPr>
          <w:rFonts w:hint="eastAsia" w:ascii="宋体" w:hAnsi="宋体" w:cs="宋体"/>
          <w:szCs w:val="21"/>
        </w:rPr>
        <w:t>1.2 有串通投标或弄虚作假或有其他违法行为的；</w:t>
      </w:r>
    </w:p>
    <w:p>
      <w:pPr>
        <w:keepNext w:val="0"/>
        <w:keepLines w:val="0"/>
        <w:pageBreakBefore w:val="0"/>
        <w:widowControl w:val="0"/>
        <w:kinsoku/>
        <w:wordWrap/>
        <w:overflowPunct/>
        <w:topLinePunct w:val="0"/>
        <w:bidi w:val="0"/>
        <w:adjustRightInd w:val="0"/>
        <w:snapToGrid w:val="0"/>
        <w:spacing w:line="336" w:lineRule="auto"/>
        <w:ind w:firstLine="522" w:firstLineChars="249"/>
        <w:textAlignment w:val="auto"/>
        <w:rPr>
          <w:rFonts w:ascii="宋体" w:hAnsi="宋体" w:cs="宋体"/>
          <w:szCs w:val="21"/>
        </w:rPr>
      </w:pPr>
      <w:r>
        <w:rPr>
          <w:rFonts w:hint="eastAsia" w:ascii="宋体" w:hAnsi="宋体" w:cs="宋体"/>
          <w:szCs w:val="21"/>
        </w:rPr>
        <w:t>1.3 不按评标委员会要求澄清、说明、补正，或其澄清、说明、补正未被评标委员会接受的；</w:t>
      </w:r>
    </w:p>
    <w:p>
      <w:pPr>
        <w:keepNext w:val="0"/>
        <w:keepLines w:val="0"/>
        <w:pageBreakBefore w:val="0"/>
        <w:widowControl w:val="0"/>
        <w:kinsoku/>
        <w:wordWrap/>
        <w:overflowPunct/>
        <w:topLinePunct w:val="0"/>
        <w:bidi w:val="0"/>
        <w:adjustRightInd w:val="0"/>
        <w:snapToGrid w:val="0"/>
        <w:spacing w:line="336" w:lineRule="auto"/>
        <w:ind w:firstLine="522" w:firstLineChars="249"/>
        <w:textAlignment w:val="auto"/>
        <w:rPr>
          <w:rFonts w:ascii="宋体" w:hAnsi="宋体" w:cs="宋体"/>
          <w:szCs w:val="21"/>
        </w:rPr>
      </w:pPr>
      <w:r>
        <w:rPr>
          <w:rFonts w:hint="eastAsia" w:ascii="宋体" w:hAnsi="宋体" w:cs="宋体"/>
          <w:szCs w:val="21"/>
        </w:rPr>
        <w:t>1.4 在形式评审、资格评审、响应性评审中，评标委员会认定投标人的投标不符合评标办法前附表中规定的任何一项评审标准的；</w:t>
      </w:r>
    </w:p>
    <w:p>
      <w:pPr>
        <w:keepNext w:val="0"/>
        <w:keepLines w:val="0"/>
        <w:pageBreakBefore w:val="0"/>
        <w:widowControl w:val="0"/>
        <w:kinsoku/>
        <w:wordWrap/>
        <w:overflowPunct/>
        <w:topLinePunct w:val="0"/>
        <w:autoSpaceDE w:val="0"/>
        <w:autoSpaceDN w:val="0"/>
        <w:bidi w:val="0"/>
        <w:adjustRightInd w:val="0"/>
        <w:spacing w:line="336" w:lineRule="auto"/>
        <w:ind w:right="-34" w:rightChars="-16" w:firstLine="411" w:firstLineChars="196"/>
        <w:jc w:val="left"/>
        <w:textAlignment w:val="auto"/>
        <w:rPr>
          <w:rFonts w:ascii="宋体" w:hAnsi="宋体" w:cs="宋体"/>
          <w:kern w:val="0"/>
          <w:szCs w:val="21"/>
        </w:rPr>
      </w:pPr>
      <w:r>
        <w:rPr>
          <w:rFonts w:hint="eastAsia" w:ascii="宋体" w:hAnsi="宋体" w:cs="宋体"/>
          <w:szCs w:val="21"/>
        </w:rPr>
        <w:t xml:space="preserve">1.5 </w:t>
      </w:r>
      <w:r>
        <w:rPr>
          <w:rFonts w:hint="eastAsia" w:ascii="宋体" w:hAnsi="宋体" w:cs="宋体"/>
          <w:kern w:val="0"/>
          <w:szCs w:val="21"/>
        </w:rPr>
        <w:t>工程量清单报价书封面未加盖本单位工程造价从业人员印章及签字或工程造价咨询单位资质章及工程造价咨询单位经年审后的工程造价从业人员印章及签字的；</w:t>
      </w:r>
    </w:p>
    <w:p>
      <w:pPr>
        <w:keepNext w:val="0"/>
        <w:keepLines w:val="0"/>
        <w:pageBreakBefore w:val="0"/>
        <w:widowControl w:val="0"/>
        <w:kinsoku/>
        <w:wordWrap/>
        <w:overflowPunct/>
        <w:topLinePunct w:val="0"/>
        <w:autoSpaceDE w:val="0"/>
        <w:autoSpaceDN w:val="0"/>
        <w:bidi w:val="0"/>
        <w:adjustRightInd w:val="0"/>
        <w:spacing w:line="336" w:lineRule="auto"/>
        <w:ind w:right="-34" w:rightChars="-16" w:firstLine="411" w:firstLineChars="196"/>
        <w:jc w:val="left"/>
        <w:textAlignment w:val="auto"/>
        <w:rPr>
          <w:rFonts w:ascii="宋体" w:hAnsi="宋体" w:cs="宋体"/>
          <w:kern w:val="0"/>
          <w:szCs w:val="21"/>
        </w:rPr>
      </w:pPr>
      <w:r>
        <w:rPr>
          <w:rFonts w:hint="eastAsia" w:ascii="宋体" w:hAnsi="宋体" w:cs="宋体"/>
          <w:kern w:val="0"/>
          <w:szCs w:val="21"/>
        </w:rPr>
        <w:t>1.6 如投标人提交的已标价工程量清单与招标人提供的格式不一致的；</w:t>
      </w:r>
    </w:p>
    <w:p>
      <w:pPr>
        <w:keepNext w:val="0"/>
        <w:keepLines w:val="0"/>
        <w:pageBreakBefore w:val="0"/>
        <w:widowControl w:val="0"/>
        <w:kinsoku/>
        <w:wordWrap/>
        <w:overflowPunct/>
        <w:topLinePunct w:val="0"/>
        <w:bidi w:val="0"/>
        <w:adjustRightInd w:val="0"/>
        <w:snapToGrid w:val="0"/>
        <w:spacing w:line="336" w:lineRule="auto"/>
        <w:ind w:firstLine="409" w:firstLineChars="195"/>
        <w:textAlignment w:val="auto"/>
        <w:rPr>
          <w:rFonts w:ascii="宋体" w:hAnsi="宋体" w:cs="宋体"/>
          <w:szCs w:val="21"/>
        </w:rPr>
      </w:pPr>
      <w:r>
        <w:rPr>
          <w:rFonts w:hint="eastAsia" w:ascii="宋体" w:hAnsi="宋体" w:cs="宋体"/>
          <w:szCs w:val="21"/>
        </w:rPr>
        <w:t>1.7 投标报价有算术错误的，评标委员会按以下原则对投标报价进行修正，修正的价格经投标人确认后具有约束力。投标人不接受修正价格的，其投标作无效标处理；</w:t>
      </w:r>
    </w:p>
    <w:p>
      <w:pPr>
        <w:keepNext w:val="0"/>
        <w:keepLines w:val="0"/>
        <w:pageBreakBefore w:val="0"/>
        <w:widowControl w:val="0"/>
        <w:kinsoku/>
        <w:wordWrap/>
        <w:overflowPunct/>
        <w:topLinePunct w:val="0"/>
        <w:bidi w:val="0"/>
        <w:adjustRightInd w:val="0"/>
        <w:snapToGrid w:val="0"/>
        <w:spacing w:line="336" w:lineRule="auto"/>
        <w:ind w:firstLine="420" w:firstLineChars="200"/>
        <w:textAlignment w:val="auto"/>
        <w:rPr>
          <w:rFonts w:ascii="宋体" w:hAnsi="宋体" w:cs="宋体"/>
          <w:szCs w:val="21"/>
        </w:rPr>
      </w:pPr>
      <w:r>
        <w:rPr>
          <w:rFonts w:hint="eastAsia" w:ascii="宋体" w:hAnsi="宋体" w:cs="宋体"/>
          <w:szCs w:val="21"/>
        </w:rPr>
        <w:t>（1）投标文件中的大写金额与小写金额不一致的，以大写金额为准；</w:t>
      </w:r>
    </w:p>
    <w:p>
      <w:pPr>
        <w:keepNext w:val="0"/>
        <w:keepLines w:val="0"/>
        <w:pageBreakBefore w:val="0"/>
        <w:widowControl w:val="0"/>
        <w:kinsoku/>
        <w:wordWrap/>
        <w:overflowPunct/>
        <w:topLinePunct w:val="0"/>
        <w:bidi w:val="0"/>
        <w:adjustRightInd w:val="0"/>
        <w:snapToGrid w:val="0"/>
        <w:spacing w:line="336" w:lineRule="auto"/>
        <w:ind w:firstLine="420" w:firstLineChars="200"/>
        <w:textAlignment w:val="auto"/>
        <w:rPr>
          <w:rFonts w:ascii="宋体" w:hAnsi="宋体" w:cs="宋体"/>
          <w:szCs w:val="21"/>
        </w:rPr>
      </w:pPr>
      <w:r>
        <w:rPr>
          <w:rFonts w:hint="eastAsia" w:ascii="宋体" w:hAnsi="宋体" w:cs="宋体"/>
          <w:szCs w:val="21"/>
        </w:rPr>
        <w:t>（2）总价金额与依据单价计算出的结果不一致的，以单价金额为准修正总价，但单价金额小数点有明显错误的除外；</w:t>
      </w:r>
    </w:p>
    <w:p>
      <w:pPr>
        <w:keepNext w:val="0"/>
        <w:keepLines w:val="0"/>
        <w:pageBreakBefore w:val="0"/>
        <w:widowControl w:val="0"/>
        <w:kinsoku/>
        <w:wordWrap/>
        <w:overflowPunct/>
        <w:topLinePunct w:val="0"/>
        <w:bidi w:val="0"/>
        <w:adjustRightInd w:val="0"/>
        <w:snapToGrid w:val="0"/>
        <w:spacing w:line="336" w:lineRule="auto"/>
        <w:ind w:firstLine="411" w:firstLineChars="196"/>
        <w:textAlignment w:val="auto"/>
        <w:rPr>
          <w:rFonts w:ascii="宋体" w:hAnsi="宋体" w:cs="宋体"/>
          <w:szCs w:val="21"/>
        </w:rPr>
      </w:pPr>
      <w:r>
        <w:rPr>
          <w:rFonts w:hint="eastAsia" w:ascii="宋体" w:hAnsi="宋体" w:cs="宋体"/>
          <w:szCs w:val="21"/>
        </w:rPr>
        <w:t xml:space="preserve">1.8 规费和税金、安全文明施工措施费违背工程造价管理规定的； </w:t>
      </w:r>
    </w:p>
    <w:p>
      <w:pPr>
        <w:keepNext w:val="0"/>
        <w:keepLines w:val="0"/>
        <w:pageBreakBefore w:val="0"/>
        <w:widowControl w:val="0"/>
        <w:kinsoku/>
        <w:wordWrap/>
        <w:overflowPunct/>
        <w:topLinePunct w:val="0"/>
        <w:bidi w:val="0"/>
        <w:adjustRightInd w:val="0"/>
        <w:snapToGrid w:val="0"/>
        <w:spacing w:line="336" w:lineRule="auto"/>
        <w:ind w:firstLine="411" w:firstLineChars="196"/>
        <w:textAlignment w:val="auto"/>
        <w:rPr>
          <w:rFonts w:ascii="宋体" w:hAnsi="宋体" w:cs="宋体"/>
          <w:szCs w:val="21"/>
        </w:rPr>
      </w:pPr>
      <w:r>
        <w:rPr>
          <w:rFonts w:hint="eastAsia" w:ascii="宋体" w:hAnsi="宋体" w:cs="宋体"/>
          <w:szCs w:val="21"/>
        </w:rPr>
        <w:t>1.9 分部分项工程项目、措施项目报价中的项目编码、项目名称、项目特征、计量单位和工程量与招标文件的清单不一致的；</w:t>
      </w:r>
    </w:p>
    <w:p>
      <w:pPr>
        <w:keepNext w:val="0"/>
        <w:keepLines w:val="0"/>
        <w:pageBreakBefore w:val="0"/>
        <w:widowControl w:val="0"/>
        <w:kinsoku/>
        <w:wordWrap/>
        <w:overflowPunct/>
        <w:topLinePunct w:val="0"/>
        <w:bidi w:val="0"/>
        <w:adjustRightInd w:val="0"/>
        <w:snapToGrid w:val="0"/>
        <w:spacing w:line="336" w:lineRule="auto"/>
        <w:ind w:firstLine="411" w:firstLineChars="196"/>
        <w:textAlignment w:val="auto"/>
        <w:rPr>
          <w:rFonts w:ascii="宋体" w:hAnsi="宋体" w:cs="宋体"/>
          <w:i/>
          <w:szCs w:val="21"/>
        </w:rPr>
      </w:pPr>
      <w:r>
        <w:rPr>
          <w:rFonts w:hint="eastAsia" w:ascii="宋体" w:hAnsi="宋体" w:cs="宋体"/>
          <w:szCs w:val="21"/>
        </w:rPr>
        <w:t>1.10 未按照暂列金额或者暂估价编制投标报价的；</w:t>
      </w:r>
    </w:p>
    <w:p>
      <w:pPr>
        <w:keepNext w:val="0"/>
        <w:keepLines w:val="0"/>
        <w:pageBreakBefore w:val="0"/>
        <w:widowControl w:val="0"/>
        <w:kinsoku/>
        <w:wordWrap/>
        <w:overflowPunct/>
        <w:topLinePunct w:val="0"/>
        <w:bidi w:val="0"/>
        <w:adjustRightInd w:val="0"/>
        <w:snapToGrid w:val="0"/>
        <w:spacing w:line="336" w:lineRule="auto"/>
        <w:ind w:firstLine="411" w:firstLineChars="196"/>
        <w:textAlignment w:val="auto"/>
        <w:rPr>
          <w:rFonts w:ascii="宋体" w:hAnsi="宋体" w:cs="宋体"/>
          <w:szCs w:val="21"/>
        </w:rPr>
      </w:pPr>
      <w:r>
        <w:rPr>
          <w:rFonts w:hint="eastAsia" w:ascii="宋体" w:hAnsi="宋体" w:cs="宋体"/>
          <w:szCs w:val="21"/>
        </w:rPr>
        <w:t>1.11 投标报价高于招标控制价或评标委员会认定投标人以低于成本报价竞标的；</w:t>
      </w:r>
    </w:p>
    <w:p>
      <w:pPr>
        <w:keepNext w:val="0"/>
        <w:keepLines w:val="0"/>
        <w:pageBreakBefore w:val="0"/>
        <w:widowControl w:val="0"/>
        <w:kinsoku/>
        <w:wordWrap/>
        <w:overflowPunct/>
        <w:topLinePunct w:val="0"/>
        <w:bidi w:val="0"/>
        <w:adjustRightInd w:val="0"/>
        <w:snapToGrid w:val="0"/>
        <w:spacing w:line="336" w:lineRule="auto"/>
        <w:ind w:firstLine="411" w:firstLineChars="196"/>
        <w:textAlignment w:val="auto"/>
        <w:rPr>
          <w:rFonts w:ascii="宋体" w:hAnsi="宋体" w:cs="宋体"/>
          <w:szCs w:val="21"/>
        </w:rPr>
      </w:pPr>
      <w:r>
        <w:rPr>
          <w:rFonts w:hint="eastAsia" w:ascii="宋体" w:hAnsi="宋体" w:cs="宋体"/>
          <w:szCs w:val="21"/>
        </w:rPr>
        <w:t>1.12 投标人提交的投标文件电子版格式不符合第二章“投标人须知前附表”规定的或开标现场无法读取导入的；</w:t>
      </w:r>
    </w:p>
    <w:p>
      <w:pPr>
        <w:keepNext w:val="0"/>
        <w:keepLines w:val="0"/>
        <w:pageBreakBefore w:val="0"/>
        <w:widowControl w:val="0"/>
        <w:kinsoku/>
        <w:wordWrap/>
        <w:overflowPunct/>
        <w:topLinePunct w:val="0"/>
        <w:bidi w:val="0"/>
        <w:adjustRightInd w:val="0"/>
        <w:snapToGrid w:val="0"/>
        <w:spacing w:line="336" w:lineRule="auto"/>
        <w:ind w:firstLine="420" w:firstLineChars="200"/>
        <w:textAlignment w:val="auto"/>
        <w:rPr>
          <w:rFonts w:ascii="宋体" w:hAnsi="宋体" w:cs="宋体"/>
          <w:szCs w:val="21"/>
        </w:rPr>
      </w:pPr>
      <w:r>
        <w:rPr>
          <w:rFonts w:hint="eastAsia" w:ascii="宋体" w:hAnsi="宋体" w:cs="宋体"/>
          <w:szCs w:val="21"/>
        </w:rPr>
        <w:t>1.13 在工程量清单电子辅助清标过程中被评标委员会认定为不合格的；</w:t>
      </w:r>
    </w:p>
    <w:p>
      <w:pPr>
        <w:keepNext w:val="0"/>
        <w:keepLines w:val="0"/>
        <w:pageBreakBefore w:val="0"/>
        <w:widowControl w:val="0"/>
        <w:kinsoku/>
        <w:wordWrap/>
        <w:overflowPunct/>
        <w:topLinePunct w:val="0"/>
        <w:bidi w:val="0"/>
        <w:spacing w:line="336" w:lineRule="auto"/>
        <w:ind w:firstLine="420" w:firstLineChars="200"/>
        <w:textAlignment w:val="auto"/>
        <w:rPr>
          <w:rFonts w:ascii="宋体" w:hAnsi="宋体" w:cs="宋体"/>
          <w:szCs w:val="21"/>
        </w:rPr>
      </w:pPr>
      <w:r>
        <w:rPr>
          <w:rFonts w:hint="eastAsia" w:ascii="宋体" w:hAnsi="宋体" w:cs="宋体"/>
          <w:szCs w:val="21"/>
        </w:rPr>
        <w:t>1.14 投标人未按第二章“投标人须知”第5.2款规定出席开标会的；</w:t>
      </w:r>
    </w:p>
    <w:p>
      <w:pPr>
        <w:keepNext w:val="0"/>
        <w:keepLines w:val="0"/>
        <w:pageBreakBefore w:val="0"/>
        <w:widowControl w:val="0"/>
        <w:kinsoku/>
        <w:wordWrap/>
        <w:overflowPunct/>
        <w:topLinePunct w:val="0"/>
        <w:bidi w:val="0"/>
        <w:spacing w:line="336" w:lineRule="auto"/>
        <w:ind w:firstLine="420" w:firstLineChars="200"/>
        <w:textAlignment w:val="auto"/>
        <w:rPr>
          <w:rFonts w:ascii="宋体" w:hAnsi="宋体" w:cs="宋体"/>
          <w:szCs w:val="21"/>
        </w:rPr>
      </w:pPr>
      <w:r>
        <w:rPr>
          <w:rFonts w:hint="eastAsia" w:ascii="宋体" w:hAnsi="宋体" w:cs="宋体"/>
          <w:szCs w:val="21"/>
        </w:rPr>
        <w:t>1.15 投标人在“信用中国”网站（www.creditchina.gov.cn）上，被列为失信被执行人的；</w:t>
      </w:r>
    </w:p>
    <w:p>
      <w:pPr>
        <w:keepNext w:val="0"/>
        <w:keepLines w:val="0"/>
        <w:pageBreakBefore w:val="0"/>
        <w:widowControl w:val="0"/>
        <w:kinsoku/>
        <w:wordWrap/>
        <w:overflowPunct/>
        <w:topLinePunct w:val="0"/>
        <w:bidi w:val="0"/>
        <w:spacing w:line="336" w:lineRule="auto"/>
        <w:ind w:firstLine="411" w:firstLineChars="196"/>
        <w:textAlignment w:val="auto"/>
        <w:rPr>
          <w:rFonts w:ascii="宋体" w:hAnsi="宋体" w:cs="宋体"/>
          <w:szCs w:val="21"/>
        </w:rPr>
      </w:pPr>
      <w:r>
        <w:rPr>
          <w:rFonts w:hint="eastAsia" w:ascii="宋体" w:hAnsi="宋体" w:cs="宋体"/>
          <w:szCs w:val="21"/>
        </w:rPr>
        <w:t>1.16</w:t>
      </w:r>
      <w:r>
        <w:rPr>
          <w:rFonts w:hint="eastAsia" w:ascii="宋体" w:hAnsi="宋体" w:cs="宋体"/>
          <w:szCs w:val="21"/>
          <w:lang w:val="en-US" w:eastAsia="zh-CN"/>
        </w:rPr>
        <w:t xml:space="preserve"> </w:t>
      </w:r>
      <w:r>
        <w:rPr>
          <w:rFonts w:hint="eastAsia" w:ascii="宋体" w:hAnsi="宋体" w:cs="宋体"/>
          <w:szCs w:val="21"/>
        </w:rPr>
        <w:t xml:space="preserve">同一投标人提交两个及以上不同的投标文件或者投标报价，但招标文件要求提交备选投标的除外； </w:t>
      </w:r>
    </w:p>
    <w:p>
      <w:pPr>
        <w:keepNext w:val="0"/>
        <w:keepLines w:val="0"/>
        <w:pageBreakBefore w:val="0"/>
        <w:widowControl w:val="0"/>
        <w:kinsoku/>
        <w:wordWrap/>
        <w:overflowPunct/>
        <w:topLinePunct w:val="0"/>
        <w:bidi w:val="0"/>
        <w:spacing w:line="336" w:lineRule="auto"/>
        <w:ind w:firstLine="413" w:firstLineChars="197"/>
        <w:textAlignment w:val="auto"/>
        <w:rPr>
          <w:rFonts w:hint="eastAsia" w:ascii="宋体" w:hAnsi="宋体" w:cs="宋体"/>
          <w:szCs w:val="21"/>
        </w:rPr>
      </w:pPr>
      <w:r>
        <w:rPr>
          <w:rFonts w:hint="eastAsia" w:ascii="宋体" w:hAnsi="宋体" w:cs="宋体"/>
          <w:szCs w:val="21"/>
        </w:rPr>
        <w:t>1.17 招标文件规定的其他应认定为无效标的。</w:t>
      </w:r>
    </w:p>
    <w:p>
      <w:pPr>
        <w:pStyle w:val="2"/>
        <w:rPr>
          <w:rFonts w:hint="eastAsia"/>
        </w:rPr>
      </w:pPr>
    </w:p>
    <w:p>
      <w:pPr>
        <w:widowControl/>
        <w:spacing w:line="360" w:lineRule="auto"/>
        <w:outlineLvl w:val="1"/>
        <w:rPr>
          <w:rFonts w:ascii="黑体" w:hAnsi="黑体" w:eastAsia="黑体" w:cs="宋体"/>
          <w:kern w:val="0"/>
          <w:sz w:val="32"/>
          <w:szCs w:val="32"/>
        </w:rPr>
      </w:pPr>
      <w:bookmarkStart w:id="797" w:name="_Toc26447453"/>
      <w:r>
        <w:rPr>
          <w:rFonts w:hint="eastAsia" w:ascii="宋体" w:hAnsi="宋体" w:cs="宋体"/>
          <w:b/>
          <w:bCs/>
          <w:kern w:val="0"/>
          <w:szCs w:val="21"/>
        </w:rPr>
        <w:t>附件2</w:t>
      </w:r>
      <w:bookmarkEnd w:id="797"/>
    </w:p>
    <w:p>
      <w:pPr>
        <w:widowControl/>
        <w:jc w:val="center"/>
        <w:rPr>
          <w:rFonts w:ascii="宋体" w:hAnsi="宋体" w:cs="宋体"/>
          <w:kern w:val="0"/>
          <w:sz w:val="36"/>
          <w:szCs w:val="36"/>
        </w:rPr>
      </w:pPr>
      <w:r>
        <w:rPr>
          <w:rFonts w:hint="eastAsia" w:ascii="宋体" w:hAnsi="宋体" w:cs="宋体"/>
          <w:b/>
          <w:bCs/>
          <w:kern w:val="0"/>
          <w:sz w:val="28"/>
          <w:szCs w:val="28"/>
        </w:rPr>
        <w:t>商务标清标内容</w:t>
      </w:r>
    </w:p>
    <w:p>
      <w:pPr>
        <w:widowControl/>
        <w:jc w:val="left"/>
        <w:rPr>
          <w:kern w:val="0"/>
          <w:szCs w:val="21"/>
        </w:rPr>
      </w:pPr>
    </w:p>
    <w:tbl>
      <w:tblPr>
        <w:tblStyle w:val="46"/>
        <w:tblW w:w="10380" w:type="dxa"/>
        <w:jc w:val="center"/>
        <w:tblLayout w:type="fixed"/>
        <w:tblCellMar>
          <w:top w:w="0" w:type="dxa"/>
          <w:left w:w="108" w:type="dxa"/>
          <w:bottom w:w="0" w:type="dxa"/>
          <w:right w:w="108" w:type="dxa"/>
        </w:tblCellMar>
      </w:tblPr>
      <w:tblGrid>
        <w:gridCol w:w="406"/>
        <w:gridCol w:w="549"/>
        <w:gridCol w:w="3531"/>
        <w:gridCol w:w="4352"/>
        <w:gridCol w:w="783"/>
        <w:gridCol w:w="759"/>
      </w:tblGrid>
      <w:tr>
        <w:tblPrEx>
          <w:tblCellMar>
            <w:top w:w="0" w:type="dxa"/>
            <w:left w:w="108" w:type="dxa"/>
            <w:bottom w:w="0" w:type="dxa"/>
            <w:right w:w="108" w:type="dxa"/>
          </w:tblCellMar>
        </w:tblPrEx>
        <w:trPr>
          <w:trHeight w:val="423" w:hRule="atLeast"/>
          <w:jc w:val="center"/>
        </w:trPr>
        <w:tc>
          <w:tcPr>
            <w:tcW w:w="955"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序号</w:t>
            </w:r>
          </w:p>
        </w:tc>
        <w:tc>
          <w:tcPr>
            <w:tcW w:w="3531" w:type="dxa"/>
            <w:vMerge w:val="restar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清标项目</w:t>
            </w:r>
          </w:p>
        </w:tc>
        <w:tc>
          <w:tcPr>
            <w:tcW w:w="4352" w:type="dxa"/>
            <w:vMerge w:val="restar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清标内容</w:t>
            </w:r>
          </w:p>
        </w:tc>
        <w:tc>
          <w:tcPr>
            <w:tcW w:w="1542" w:type="dxa"/>
            <w:gridSpan w:val="2"/>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清标结果</w:t>
            </w:r>
          </w:p>
        </w:tc>
      </w:tr>
      <w:tr>
        <w:tblPrEx>
          <w:tblCellMar>
            <w:top w:w="0" w:type="dxa"/>
            <w:left w:w="108" w:type="dxa"/>
            <w:bottom w:w="0" w:type="dxa"/>
            <w:right w:w="108" w:type="dxa"/>
          </w:tblCellMar>
        </w:tblPrEx>
        <w:trPr>
          <w:trHeight w:val="423" w:hRule="atLeast"/>
          <w:jc w:val="center"/>
        </w:trPr>
        <w:tc>
          <w:tcPr>
            <w:tcW w:w="955" w:type="dxa"/>
            <w:gridSpan w:val="2"/>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3531"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cs="宋体"/>
                <w:kern w:val="0"/>
                <w:szCs w:val="22"/>
              </w:rPr>
            </w:pPr>
          </w:p>
        </w:tc>
        <w:tc>
          <w:tcPr>
            <w:tcW w:w="4352"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cs="宋体"/>
                <w:kern w:val="0"/>
                <w:szCs w:val="22"/>
              </w:rPr>
            </w:pP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是</w:t>
            </w: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否</w:t>
            </w:r>
          </w:p>
        </w:tc>
      </w:tr>
      <w:tr>
        <w:tblPrEx>
          <w:tblCellMar>
            <w:top w:w="0" w:type="dxa"/>
            <w:left w:w="108" w:type="dxa"/>
            <w:bottom w:w="0" w:type="dxa"/>
            <w:right w:w="108" w:type="dxa"/>
          </w:tblCellMar>
        </w:tblPrEx>
        <w:trPr>
          <w:trHeight w:val="423" w:hRule="atLeast"/>
          <w:jc w:val="center"/>
        </w:trPr>
        <w:tc>
          <w:tcPr>
            <w:tcW w:w="406" w:type="dxa"/>
            <w:vMerge w:val="restart"/>
            <w:tcBorders>
              <w:top w:val="nil"/>
              <w:left w:val="single" w:color="000000" w:sz="4" w:space="0"/>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1</w:t>
            </w: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1.1</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项目总报价</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是否等于各单项工程造价之和</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1.2</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单项工程费</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是否等于各单位工程造价之和</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809"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1.3</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单位工程费</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是否等于分部分项工程费+措施项目费+其它项目费+规费+税金之和</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restart"/>
            <w:tcBorders>
              <w:top w:val="nil"/>
              <w:left w:val="single" w:color="000000" w:sz="4" w:space="0"/>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w:t>
            </w: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2.1</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分部分项工程费及单价措施费</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是否等于各分部分项清单费之和</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2.2</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分部分项及单价措施项目编码</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不得修改招标人清单</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2.3</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分部分项及单价措施项目名称</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不得修改招标人清单</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2.4</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分部分项及单价措施项目特征</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不得修改招标人清单</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2.5</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分部分项及单价措施项目计量单位</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不得修改招标人清单</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2.6</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分部分项及单价措施项目工程数量</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不得修改招标人清单</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809"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2.7</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分部分项工程费及单价措施费清单单价</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综合单价＝人工费+材料费+机械费+管理费+利润之和；</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809"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2.8</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材料单价</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材料表中的单价与组成清单单价中的单价必须一致</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restart"/>
            <w:tcBorders>
              <w:top w:val="nil"/>
              <w:left w:val="single" w:color="000000" w:sz="4" w:space="0"/>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3</w:t>
            </w: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3.1</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安全文明施工费</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根据河南省计价依据规定计算</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3.2</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其他措施费（费率类）项目</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根据招标文件要求自主报价</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809" w:hRule="atLeast"/>
          <w:jc w:val="center"/>
        </w:trPr>
        <w:tc>
          <w:tcPr>
            <w:tcW w:w="406" w:type="dxa"/>
            <w:vMerge w:val="restart"/>
            <w:tcBorders>
              <w:top w:val="nil"/>
              <w:left w:val="single" w:color="000000" w:sz="4" w:space="0"/>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4</w:t>
            </w: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4.1</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其它项目费</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必须等于各组成部分之和（暂列金额+专业暂估价+计日工费+总承包服务费）</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4.2</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暂列金额</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应与招标人价格一致</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4.3</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专业工程暂估价</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应与招标人价格一致</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4.4</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计日工</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应与招标人数量一致</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Cs w:val="22"/>
              </w:rPr>
            </w:pP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4.5</w:t>
            </w: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总承包服务费</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是否按招标文件要求计算</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5</w:t>
            </w: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规费</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根据按河南省计价依据规定计算</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23" w:hRule="atLeast"/>
          <w:jc w:val="center"/>
        </w:trPr>
        <w:tc>
          <w:tcPr>
            <w:tcW w:w="40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6</w:t>
            </w: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353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增值税</w:t>
            </w:r>
          </w:p>
        </w:tc>
        <w:tc>
          <w:tcPr>
            <w:tcW w:w="4352"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根据按河南省计价依据规定计算</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r>
        <w:tblPrEx>
          <w:tblCellMar>
            <w:top w:w="0" w:type="dxa"/>
            <w:left w:w="108" w:type="dxa"/>
            <w:bottom w:w="0" w:type="dxa"/>
            <w:right w:w="108" w:type="dxa"/>
          </w:tblCellMar>
        </w:tblPrEx>
        <w:trPr>
          <w:trHeight w:val="459" w:hRule="atLeast"/>
          <w:jc w:val="center"/>
        </w:trPr>
        <w:tc>
          <w:tcPr>
            <w:tcW w:w="40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7</w:t>
            </w:r>
          </w:p>
        </w:tc>
        <w:tc>
          <w:tcPr>
            <w:tcW w:w="54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883" w:type="dxa"/>
            <w:gridSpan w:val="2"/>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r>
              <w:rPr>
                <w:rFonts w:hint="eastAsia" w:ascii="宋体" w:hAnsi="宋体" w:cs="宋体"/>
                <w:kern w:val="0"/>
                <w:szCs w:val="22"/>
              </w:rPr>
              <w:t>不违反法律、法规、规章、规范性文件规定的其它情况</w:t>
            </w:r>
          </w:p>
        </w:tc>
        <w:tc>
          <w:tcPr>
            <w:tcW w:w="783"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c>
          <w:tcPr>
            <w:tcW w:w="759"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kern w:val="0"/>
                <w:szCs w:val="22"/>
              </w:rPr>
            </w:pPr>
          </w:p>
        </w:tc>
      </w:tr>
    </w:tbl>
    <w:p>
      <w:pPr>
        <w:widowControl/>
        <w:jc w:val="left"/>
        <w:rPr>
          <w:kern w:val="0"/>
          <w:szCs w:val="21"/>
        </w:rPr>
        <w:sectPr>
          <w:pgSz w:w="11906" w:h="16838"/>
          <w:pgMar w:top="2098" w:right="1588" w:bottom="2098" w:left="1588" w:header="720" w:footer="720" w:gutter="0"/>
          <w:pgBorders>
            <w:top w:val="none" w:sz="0" w:space="0"/>
            <w:left w:val="none" w:sz="0" w:space="0"/>
            <w:bottom w:val="none" w:sz="0" w:space="0"/>
            <w:right w:val="none" w:sz="0" w:space="0"/>
          </w:pgBorders>
          <w:pgNumType w:fmt="decimal"/>
          <w:cols w:space="720" w:num="1"/>
          <w:docGrid w:linePitch="287" w:charSpace="0"/>
        </w:sectPr>
      </w:pPr>
    </w:p>
    <w:bookmarkEnd w:id="701"/>
    <w:bookmarkEnd w:id="702"/>
    <w:p>
      <w:pPr>
        <w:autoSpaceDE w:val="0"/>
        <w:autoSpaceDN w:val="0"/>
        <w:adjustRightInd w:val="0"/>
        <w:spacing w:line="400" w:lineRule="exact"/>
        <w:ind w:right="-34" w:rightChars="-16"/>
        <w:jc w:val="center"/>
        <w:outlineLvl w:val="0"/>
        <w:rPr>
          <w:rFonts w:ascii="宋体" w:hAnsi="宋体"/>
          <w:b/>
          <w:kern w:val="0"/>
          <w:sz w:val="36"/>
        </w:rPr>
      </w:pPr>
    </w:p>
    <w:p>
      <w:pPr>
        <w:autoSpaceDE w:val="0"/>
        <w:autoSpaceDN w:val="0"/>
        <w:adjustRightInd w:val="0"/>
        <w:spacing w:line="400" w:lineRule="exact"/>
        <w:ind w:right="-34" w:rightChars="-16"/>
        <w:jc w:val="center"/>
        <w:outlineLvl w:val="0"/>
        <w:rPr>
          <w:rFonts w:ascii="宋体" w:hAnsi="宋体"/>
          <w:b/>
          <w:kern w:val="0"/>
          <w:sz w:val="36"/>
        </w:rPr>
      </w:pPr>
      <w:bookmarkStart w:id="798" w:name="_Toc3691"/>
      <w:bookmarkStart w:id="799" w:name="_Toc25454"/>
      <w:r>
        <w:rPr>
          <w:rFonts w:hint="eastAsia" w:ascii="宋体" w:hAnsi="宋体"/>
          <w:b/>
          <w:kern w:val="0"/>
          <w:sz w:val="36"/>
        </w:rPr>
        <w:t>第四章合同条款及格式</w:t>
      </w:r>
      <w:bookmarkEnd w:id="637"/>
      <w:bookmarkEnd w:id="798"/>
      <w:bookmarkEnd w:id="799"/>
    </w:p>
    <w:p>
      <w:pPr>
        <w:autoSpaceDE w:val="0"/>
        <w:autoSpaceDN w:val="0"/>
        <w:adjustRightInd w:val="0"/>
        <w:spacing w:line="400" w:lineRule="exact"/>
        <w:ind w:right="-34" w:rightChars="-16" w:firstLine="1440" w:firstLineChars="600"/>
        <w:jc w:val="left"/>
        <w:rPr>
          <w:sz w:val="24"/>
        </w:rPr>
      </w:pPr>
    </w:p>
    <w:bookmarkEnd w:id="638"/>
    <w:bookmarkEnd w:id="639"/>
    <w:bookmarkEnd w:id="640"/>
    <w:bookmarkEnd w:id="641"/>
    <w:bookmarkEnd w:id="642"/>
    <w:bookmarkEnd w:id="643"/>
    <w:bookmarkEnd w:id="644"/>
    <w:bookmarkEnd w:id="645"/>
    <w:p>
      <w:pPr>
        <w:ind w:firstLine="2880" w:firstLineChars="900"/>
        <w:jc w:val="left"/>
        <w:rPr>
          <w:rFonts w:eastAsia="仿宋_GB2312"/>
          <w:bCs/>
          <w:sz w:val="32"/>
          <w:szCs w:val="32"/>
        </w:rPr>
      </w:pPr>
      <w:r>
        <w:rPr>
          <w:rFonts w:eastAsia="仿宋_GB2312"/>
          <w:bCs/>
          <w:sz w:val="32"/>
          <w:szCs w:val="32"/>
        </w:rPr>
        <w:t>（GF—201</w:t>
      </w:r>
      <w:r>
        <w:rPr>
          <w:rFonts w:hint="eastAsia" w:eastAsia="仿宋_GB2312"/>
          <w:bCs/>
          <w:sz w:val="32"/>
          <w:szCs w:val="32"/>
        </w:rPr>
        <w:t>7</w:t>
      </w:r>
      <w:r>
        <w:rPr>
          <w:rFonts w:eastAsia="仿宋_GB2312"/>
          <w:bCs/>
          <w:sz w:val="32"/>
          <w:szCs w:val="32"/>
        </w:rPr>
        <w:t>—</w:t>
      </w:r>
      <w:r>
        <w:rPr>
          <w:rFonts w:hint="eastAsia" w:eastAsia="仿宋_GB2312"/>
          <w:bCs/>
          <w:sz w:val="32"/>
          <w:szCs w:val="32"/>
        </w:rPr>
        <w:t>0201）</w:t>
      </w:r>
    </w:p>
    <w:p>
      <w:pPr>
        <w:jc w:val="center"/>
        <w:rPr>
          <w:rFonts w:eastAsia="华文中宋"/>
          <w:b/>
          <w:sz w:val="52"/>
          <w:szCs w:val="52"/>
        </w:rPr>
      </w:pPr>
    </w:p>
    <w:p>
      <w:pPr>
        <w:jc w:val="center"/>
        <w:rPr>
          <w:rFonts w:eastAsia="华文中宋"/>
          <w:b/>
          <w:sz w:val="52"/>
          <w:szCs w:val="52"/>
        </w:rPr>
      </w:pPr>
    </w:p>
    <w:p>
      <w:pPr>
        <w:jc w:val="center"/>
        <w:rPr>
          <w:rFonts w:eastAsia="华文中宋"/>
          <w:b/>
          <w:sz w:val="52"/>
          <w:szCs w:val="52"/>
        </w:rPr>
      </w:pPr>
    </w:p>
    <w:p>
      <w:pPr>
        <w:jc w:val="center"/>
        <w:rPr>
          <w:rFonts w:eastAsia="华文中宋"/>
          <w:b/>
          <w:sz w:val="52"/>
          <w:szCs w:val="52"/>
        </w:rPr>
      </w:pPr>
    </w:p>
    <w:p>
      <w:pPr>
        <w:jc w:val="center"/>
        <w:rPr>
          <w:rFonts w:eastAsia="华文中宋"/>
          <w:b/>
          <w:sz w:val="72"/>
          <w:szCs w:val="52"/>
        </w:rPr>
      </w:pPr>
      <w:r>
        <w:rPr>
          <w:rFonts w:eastAsia="华文中宋"/>
          <w:b/>
          <w:sz w:val="72"/>
          <w:szCs w:val="52"/>
        </w:rPr>
        <w:t>建设工程施工合同</w:t>
      </w:r>
    </w:p>
    <w:p>
      <w:pPr>
        <w:jc w:val="center"/>
        <w:rPr>
          <w:rFonts w:eastAsia="华文中宋"/>
          <w:b/>
          <w:sz w:val="52"/>
          <w:szCs w:val="52"/>
        </w:rPr>
      </w:pPr>
      <w:r>
        <w:rPr>
          <w:rFonts w:eastAsia="华文中宋"/>
          <w:b/>
          <w:sz w:val="52"/>
          <w:szCs w:val="52"/>
        </w:rPr>
        <w:t>（示范文本）</w:t>
      </w:r>
    </w:p>
    <w:p>
      <w:pPr>
        <w:jc w:val="center"/>
        <w:rPr>
          <w:rFonts w:eastAsia="华文中宋"/>
          <w:b/>
          <w:sz w:val="52"/>
          <w:szCs w:val="52"/>
        </w:rPr>
      </w:pPr>
    </w:p>
    <w:p>
      <w:pPr>
        <w:jc w:val="center"/>
        <w:rPr>
          <w:rFonts w:eastAsia="黑体"/>
          <w:b/>
          <w:sz w:val="72"/>
          <w:szCs w:val="72"/>
        </w:rPr>
      </w:pPr>
    </w:p>
    <w:p>
      <w:pPr>
        <w:jc w:val="center"/>
        <w:rPr>
          <w:rFonts w:eastAsia="楷体_GB2312"/>
          <w:b/>
          <w:sz w:val="72"/>
          <w:szCs w:val="72"/>
        </w:rPr>
      </w:pPr>
    </w:p>
    <w:p>
      <w:pPr>
        <w:jc w:val="center"/>
        <w:rPr>
          <w:rFonts w:eastAsia="黑体"/>
          <w:b/>
          <w:sz w:val="52"/>
          <w:szCs w:val="52"/>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ind w:right="2719" w:rightChars="1295" w:firstLine="2738" w:firstLineChars="1304"/>
        <w:jc w:val="distribute"/>
        <w:rPr>
          <w:b/>
          <w:sz w:val="32"/>
          <w:szCs w:val="28"/>
        </w:rPr>
      </w:pPr>
      <w:r>
        <w:pict>
          <v:shape id="文本框 3" o:spid="_x0000_s2050"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EHNLXHYAAAACQEAAA8AAAAAAAAAAQAgAAAAIgAAAGRycy9kb3ducmV2Lnht&#10;bFBLAQIUABQAAAAIAIdO4kAFo2N0+QEAANoDAAAOAAAAAAAAAAEAIAAAACcBAABkcnMvZTJvRG9j&#10;LnhtbFBLBQYAAAAABgAGAFkBAACSBQAAAAA=&#10;">
            <v:path/>
            <v:fill on="f" focussize="0,0"/>
            <v:stroke color="#FFFFFF" joinstyle="miter"/>
            <v:imagedata o:title=""/>
            <o:lock v:ext="edit"/>
            <v:textbox>
              <w:txbxContent>
                <w:p>
                  <w:pPr>
                    <w:rPr>
                      <w:b/>
                      <w:bCs/>
                      <w:sz w:val="32"/>
                    </w:rPr>
                  </w:pPr>
                  <w:r>
                    <w:rPr>
                      <w:rFonts w:hint="eastAsia"/>
                      <w:b/>
                      <w:bCs/>
                      <w:sz w:val="32"/>
                    </w:rPr>
                    <w:t>制定</w:t>
                  </w:r>
                </w:p>
              </w:txbxContent>
            </v:textbox>
          </v:shape>
        </w:pict>
      </w:r>
      <w:r>
        <w:rPr>
          <w:b/>
          <w:sz w:val="32"/>
          <w:szCs w:val="28"/>
        </w:rPr>
        <w:t>住房城乡建设部</w:t>
      </w:r>
    </w:p>
    <w:p>
      <w:pPr>
        <w:ind w:right="2719" w:rightChars="1295" w:firstLine="2750" w:firstLineChars="856"/>
        <w:jc w:val="distribute"/>
        <w:rPr>
          <w:b/>
          <w:sz w:val="32"/>
          <w:szCs w:val="28"/>
        </w:rPr>
      </w:pPr>
      <w:r>
        <w:rPr>
          <w:b/>
          <w:sz w:val="32"/>
          <w:szCs w:val="28"/>
        </w:rPr>
        <w:t>国家工商行政管理总局</w:t>
      </w:r>
      <w:bookmarkStart w:id="800" w:name="_Toc296890982"/>
      <w:bookmarkStart w:id="801" w:name="_Toc296503025"/>
    </w:p>
    <w:p>
      <w:pPr>
        <w:ind w:right="2719" w:rightChars="1295" w:firstLine="2750" w:firstLineChars="856"/>
        <w:jc w:val="distribute"/>
        <w:rPr>
          <w:b/>
          <w:sz w:val="32"/>
          <w:szCs w:val="28"/>
        </w:rPr>
      </w:pPr>
    </w:p>
    <w:p>
      <w:pPr>
        <w:ind w:right="2719" w:rightChars="1295" w:firstLine="2750" w:firstLineChars="856"/>
        <w:jc w:val="distribute"/>
        <w:rPr>
          <w:b/>
          <w:sz w:val="32"/>
          <w:szCs w:val="28"/>
          <w:lang w:val="zh-CN"/>
        </w:rPr>
      </w:pPr>
    </w:p>
    <w:p>
      <w:pPr>
        <w:pStyle w:val="74"/>
        <w:spacing w:before="0" w:after="0" w:line="240" w:lineRule="auto"/>
        <w:jc w:val="center"/>
        <w:outlineLvl w:val="0"/>
        <w:rPr>
          <w:rFonts w:hint="eastAsia" w:eastAsia="华文中宋"/>
          <w:lang w:val="zh-CN"/>
        </w:rPr>
        <w:sectPr>
          <w:footerReference r:id="rId12" w:type="first"/>
          <w:footerReference r:id="rId11" w:type="default"/>
          <w:pgSz w:w="11906" w:h="16838"/>
          <w:pgMar w:top="1417" w:right="1588" w:bottom="1417" w:left="1588" w:header="851" w:footer="992" w:gutter="0"/>
          <w:pgBorders>
            <w:top w:val="none" w:sz="0" w:space="0"/>
            <w:left w:val="none" w:sz="0" w:space="0"/>
            <w:bottom w:val="none" w:sz="0" w:space="0"/>
            <w:right w:val="none" w:sz="0" w:space="0"/>
          </w:pgBorders>
          <w:pgNumType w:fmt="decimal"/>
          <w:cols w:space="720" w:num="1"/>
          <w:titlePg/>
          <w:docGrid w:linePitch="312" w:charSpace="0"/>
        </w:sectPr>
      </w:pPr>
      <w:bookmarkStart w:id="802" w:name="_Toc19211"/>
      <w:bookmarkStart w:id="803" w:name="_Toc19308"/>
    </w:p>
    <w:p>
      <w:pPr>
        <w:pStyle w:val="74"/>
        <w:spacing w:before="0" w:after="0" w:line="240" w:lineRule="auto"/>
        <w:jc w:val="center"/>
        <w:outlineLvl w:val="0"/>
        <w:rPr>
          <w:rFonts w:eastAsia="华文中宋"/>
          <w:lang w:val="zh-CN"/>
        </w:rPr>
      </w:pPr>
      <w:r>
        <w:rPr>
          <w:rFonts w:hint="eastAsia" w:eastAsia="华文中宋"/>
          <w:lang w:val="zh-CN"/>
        </w:rPr>
        <w:t>说  明</w:t>
      </w:r>
      <w:bookmarkEnd w:id="802"/>
      <w:bookmarkEnd w:id="803"/>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autoSpaceDE w:val="0"/>
        <w:autoSpaceDN w:val="0"/>
        <w:adjustRightInd w:val="0"/>
        <w:spacing w:line="400" w:lineRule="exact"/>
        <w:ind w:right="-34" w:rightChars="-16" w:firstLine="411" w:firstLineChars="196"/>
        <w:jc w:val="left"/>
        <w:rPr>
          <w:rFonts w:ascii="宋体" w:hAnsi="宋体"/>
          <w:kern w:val="0"/>
          <w:szCs w:val="21"/>
        </w:rPr>
      </w:pPr>
      <w:bookmarkStart w:id="804" w:name="_Toc19427"/>
      <w:bookmarkStart w:id="805" w:name="_Toc19782"/>
      <w:r>
        <w:rPr>
          <w:rFonts w:hint="eastAsia" w:ascii="宋体" w:hAnsi="宋体"/>
          <w:kern w:val="0"/>
          <w:szCs w:val="21"/>
        </w:rPr>
        <w:t>一、《示范文本》的组成</w:t>
      </w:r>
      <w:bookmarkEnd w:id="804"/>
      <w:bookmarkEnd w:id="805"/>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《示范文本》由合同协议书、通用合同条款和专用合同条款三部分组成。</w:t>
      </w:r>
    </w:p>
    <w:p>
      <w:pPr>
        <w:autoSpaceDE w:val="0"/>
        <w:autoSpaceDN w:val="0"/>
        <w:adjustRightInd w:val="0"/>
        <w:spacing w:line="400" w:lineRule="exact"/>
        <w:ind w:right="-34" w:rightChars="-16" w:firstLine="411" w:firstLineChars="196"/>
        <w:jc w:val="left"/>
        <w:rPr>
          <w:rFonts w:ascii="宋体" w:hAnsi="宋体"/>
          <w:kern w:val="0"/>
          <w:szCs w:val="21"/>
        </w:rPr>
      </w:pPr>
      <w:bookmarkStart w:id="806" w:name="_Toc15847"/>
      <w:bookmarkStart w:id="807" w:name="_Toc19422"/>
      <w:r>
        <w:rPr>
          <w:rFonts w:hint="eastAsia" w:ascii="宋体" w:hAnsi="宋体"/>
          <w:kern w:val="0"/>
          <w:szCs w:val="21"/>
        </w:rPr>
        <w:t>（一）合同协议书</w:t>
      </w:r>
      <w:bookmarkEnd w:id="806"/>
      <w:bookmarkEnd w:id="807"/>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autoSpaceDE w:val="0"/>
        <w:autoSpaceDN w:val="0"/>
        <w:adjustRightInd w:val="0"/>
        <w:spacing w:line="400" w:lineRule="exact"/>
        <w:ind w:right="-34" w:rightChars="-16" w:firstLine="411" w:firstLineChars="196"/>
        <w:jc w:val="left"/>
        <w:rPr>
          <w:rFonts w:ascii="宋体" w:hAnsi="宋体"/>
          <w:kern w:val="0"/>
          <w:szCs w:val="21"/>
        </w:rPr>
      </w:pPr>
      <w:bookmarkStart w:id="808" w:name="_Toc24163"/>
      <w:bookmarkStart w:id="809" w:name="_Toc4183"/>
      <w:r>
        <w:rPr>
          <w:rFonts w:hint="eastAsia" w:ascii="宋体" w:hAnsi="宋体"/>
          <w:kern w:val="0"/>
          <w:szCs w:val="21"/>
        </w:rPr>
        <w:t>（二）通用合同条款</w:t>
      </w:r>
      <w:bookmarkEnd w:id="808"/>
      <w:bookmarkEnd w:id="809"/>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通用合同条款是合同当事人根据《中华人民共和国建筑法》、《中华人民共和国合同法》等法律法规的规定，就工程建设的实施及相关事项，对合同当事人的权利义务作出的原则性约定。</w:t>
      </w:r>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autoSpaceDE w:val="0"/>
        <w:autoSpaceDN w:val="0"/>
        <w:adjustRightInd w:val="0"/>
        <w:spacing w:line="400" w:lineRule="exact"/>
        <w:ind w:right="-34" w:rightChars="-16" w:firstLine="411" w:firstLineChars="196"/>
        <w:jc w:val="left"/>
        <w:rPr>
          <w:rFonts w:ascii="宋体" w:hAnsi="宋体"/>
          <w:kern w:val="0"/>
          <w:szCs w:val="21"/>
        </w:rPr>
      </w:pPr>
      <w:bookmarkStart w:id="810" w:name="_Toc26373"/>
      <w:bookmarkStart w:id="811" w:name="_Toc20959"/>
      <w:r>
        <w:rPr>
          <w:rFonts w:hint="eastAsia" w:ascii="宋体" w:hAnsi="宋体"/>
          <w:kern w:val="0"/>
          <w:szCs w:val="21"/>
        </w:rPr>
        <w:t>（三）专用合同条款</w:t>
      </w:r>
      <w:bookmarkEnd w:id="810"/>
      <w:bookmarkEnd w:id="811"/>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1.专用合同条款的编号应与相应的通用合同条款的编号一致；</w:t>
      </w:r>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2.合同当事人可以通过对专用合同条款的修改，满足具体建设工程的特殊要求，避免直接修改通用合同条款；</w:t>
      </w:r>
    </w:p>
    <w:p>
      <w:pPr>
        <w:autoSpaceDE w:val="0"/>
        <w:autoSpaceDN w:val="0"/>
        <w:adjustRightInd w:val="0"/>
        <w:spacing w:line="400" w:lineRule="exact"/>
        <w:ind w:right="-34" w:rightChars="-16" w:firstLine="411" w:firstLineChars="196"/>
        <w:jc w:val="left"/>
        <w:rPr>
          <w:rFonts w:ascii="宋体" w:hAnsi="宋体"/>
          <w:kern w:val="0"/>
          <w:szCs w:val="21"/>
        </w:rPr>
      </w:pPr>
      <w:r>
        <w:rPr>
          <w:rFonts w:hint="eastAsia" w:ascii="宋体" w:hAnsi="宋体"/>
          <w:kern w:val="0"/>
          <w:szCs w:val="21"/>
        </w:rPr>
        <w:t>3.在专用合同条款中有横道线的地方，合同当事人可针对相应的通用合同条款进行细化、完善、补充、修改或另行约定；如无细化、完善、补充、修改或另行约定，则填写“无”或划“/”。</w:t>
      </w:r>
    </w:p>
    <w:p>
      <w:pPr>
        <w:autoSpaceDE w:val="0"/>
        <w:autoSpaceDN w:val="0"/>
        <w:adjustRightInd w:val="0"/>
        <w:spacing w:line="400" w:lineRule="exact"/>
        <w:ind w:right="-34" w:rightChars="-16" w:firstLine="411" w:firstLineChars="196"/>
        <w:jc w:val="left"/>
        <w:rPr>
          <w:rFonts w:ascii="宋体" w:hAnsi="宋体"/>
          <w:kern w:val="0"/>
          <w:szCs w:val="21"/>
        </w:rPr>
      </w:pPr>
      <w:bookmarkStart w:id="812" w:name="_Toc2897"/>
      <w:bookmarkStart w:id="813" w:name="_Toc3036"/>
      <w:r>
        <w:rPr>
          <w:rFonts w:hint="eastAsia" w:ascii="宋体" w:hAnsi="宋体"/>
          <w:kern w:val="0"/>
          <w:szCs w:val="21"/>
        </w:rPr>
        <w:t>二、《示范文本》的性质和适用范围</w:t>
      </w:r>
      <w:bookmarkEnd w:id="812"/>
      <w:bookmarkEnd w:id="813"/>
    </w:p>
    <w:p>
      <w:pPr>
        <w:autoSpaceDE w:val="0"/>
        <w:autoSpaceDN w:val="0"/>
        <w:adjustRightInd w:val="0"/>
        <w:spacing w:line="400" w:lineRule="exact"/>
        <w:ind w:right="-34" w:rightChars="-16" w:firstLine="411" w:firstLineChars="196"/>
        <w:jc w:val="left"/>
        <w:rPr>
          <w:rFonts w:ascii="宋体" w:hAnsi="宋体"/>
          <w:kern w:val="0"/>
          <w:szCs w:val="21"/>
        </w:rPr>
        <w:sectPr>
          <w:footerReference r:id="rId14" w:type="first"/>
          <w:footerReference r:id="rId13" w:type="default"/>
          <w:pgSz w:w="11906" w:h="16838"/>
          <w:pgMar w:top="1417" w:right="1588" w:bottom="1417" w:left="1588" w:header="851"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kern w:val="0"/>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pStyle w:val="8"/>
        <w:jc w:val="center"/>
        <w:rPr>
          <w:rFonts w:ascii="宋体" w:hAnsi="宋体" w:cs="宋体"/>
          <w:b w:val="0"/>
          <w:kern w:val="0"/>
          <w:sz w:val="16"/>
          <w:szCs w:val="16"/>
        </w:rPr>
      </w:pPr>
      <w:bookmarkStart w:id="814" w:name="_Toc13199"/>
      <w:bookmarkStart w:id="815" w:name="_Toc9461"/>
      <w:r>
        <w:rPr>
          <w:rFonts w:hint="eastAsia" w:ascii="宋体" w:hAnsi="宋体" w:cs="宋体"/>
          <w:szCs w:val="32"/>
        </w:rPr>
        <w:t>第一部分 合同协议书</w:t>
      </w:r>
      <w:bookmarkEnd w:id="800"/>
      <w:bookmarkEnd w:id="801"/>
      <w:bookmarkEnd w:id="814"/>
      <w:bookmarkEnd w:id="815"/>
    </w:p>
    <w:p>
      <w:pPr>
        <w:spacing w:line="360" w:lineRule="auto"/>
        <w:rPr>
          <w:rFonts w:ascii="宋体" w:hAnsi="宋体" w:cs="宋体"/>
          <w:b/>
          <w:szCs w:val="21"/>
          <w:u w:val="single"/>
        </w:rPr>
      </w:pPr>
      <w:r>
        <w:rPr>
          <w:rFonts w:hint="eastAsia" w:ascii="宋体" w:hAnsi="宋体" w:cs="宋体"/>
          <w:b/>
          <w:sz w:val="22"/>
          <w:szCs w:val="22"/>
        </w:rPr>
        <w:t>发包人（全称）：</w:t>
      </w:r>
      <w:r>
        <w:rPr>
          <w:rFonts w:hint="eastAsia" w:ascii="宋体" w:hAnsi="宋体" w:cs="宋体"/>
          <w:b/>
          <w:szCs w:val="21"/>
          <w:u w:val="single"/>
          <w:lang w:val="en-US" w:eastAsia="zh-CN"/>
        </w:rPr>
        <w:t>汝南县教育局</w:t>
      </w:r>
      <w:r>
        <w:rPr>
          <w:rFonts w:hint="eastAsia" w:ascii="宋体" w:hAnsi="宋体" w:cs="宋体"/>
          <w:b/>
          <w:szCs w:val="21"/>
          <w:u w:val="single"/>
        </w:rPr>
        <w:t>         </w:t>
      </w:r>
    </w:p>
    <w:p>
      <w:pPr>
        <w:spacing w:line="360" w:lineRule="auto"/>
        <w:rPr>
          <w:rFonts w:ascii="宋体" w:hAnsi="宋体" w:cs="宋体"/>
          <w:b/>
          <w:szCs w:val="21"/>
          <w:u w:val="single"/>
        </w:rPr>
      </w:pPr>
      <w:r>
        <w:rPr>
          <w:rFonts w:hint="eastAsia" w:ascii="宋体" w:hAnsi="宋体" w:cs="宋体"/>
          <w:b/>
          <w:szCs w:val="21"/>
        </w:rPr>
        <w:t>承包人（全称）：</w:t>
      </w:r>
      <w:r>
        <w:rPr>
          <w:rFonts w:hint="eastAsia" w:ascii="宋体" w:hAnsi="宋体" w:cs="宋体"/>
          <w:b/>
          <w:szCs w:val="21"/>
          <w:u w:val="single"/>
        </w:rPr>
        <w:t>                      </w:t>
      </w:r>
    </w:p>
    <w:p>
      <w:pPr>
        <w:spacing w:line="360" w:lineRule="auto"/>
        <w:ind w:firstLine="420" w:firstLineChars="200"/>
        <w:rPr>
          <w:rFonts w:ascii="宋体" w:hAnsi="宋体" w:cs="宋体"/>
          <w:szCs w:val="21"/>
        </w:rPr>
      </w:pPr>
      <w:r>
        <w:rPr>
          <w:rFonts w:hint="eastAsia" w:ascii="宋体" w:hAnsi="宋体" w:cs="宋体"/>
          <w:szCs w:val="21"/>
        </w:rPr>
        <w:t>根据《中华人民共和国民法典》、《中华人民共和国建筑法》及有关法律规定，遵循平等、自愿、公平和诚实信用的原则，双方就</w:t>
      </w:r>
    </w:p>
    <w:p>
      <w:pPr>
        <w:spacing w:line="360" w:lineRule="auto"/>
        <w:rPr>
          <w:rFonts w:ascii="宋体" w:hAnsi="宋体" w:cs="宋体"/>
          <w:szCs w:val="21"/>
        </w:rPr>
      </w:pPr>
      <w:r>
        <w:rPr>
          <w:rFonts w:hint="eastAsia" w:ascii="宋体" w:hAnsi="宋体" w:cs="宋体"/>
          <w:szCs w:val="21"/>
        </w:rPr>
        <w:t>工程施工及有关事项协商一致，共同达成如下协议：</w:t>
      </w:r>
    </w:p>
    <w:p>
      <w:pPr>
        <w:pStyle w:val="9"/>
        <w:spacing w:before="120" w:after="120"/>
        <w:rPr>
          <w:rFonts w:ascii="宋体" w:hAnsi="宋体" w:cs="宋体"/>
          <w:bCs/>
          <w:szCs w:val="21"/>
        </w:rPr>
      </w:pPr>
      <w:bookmarkStart w:id="816" w:name="_Toc32156"/>
      <w:r>
        <w:rPr>
          <w:rFonts w:hint="eastAsia" w:ascii="宋体" w:hAnsi="宋体" w:cs="宋体"/>
          <w:b w:val="0"/>
          <w:szCs w:val="21"/>
        </w:rPr>
        <w:t>一、工程概况</w:t>
      </w:r>
      <w:bookmarkEnd w:id="816"/>
    </w:p>
    <w:p>
      <w:pPr>
        <w:spacing w:line="360" w:lineRule="auto"/>
        <w:ind w:firstLine="411" w:firstLineChars="196"/>
        <w:jc w:val="left"/>
        <w:rPr>
          <w:rFonts w:ascii="宋体" w:hAnsi="宋体" w:cs="宋体"/>
          <w:szCs w:val="21"/>
          <w:u w:val="single"/>
        </w:rPr>
      </w:pPr>
      <w:r>
        <w:rPr>
          <w:rFonts w:hint="eastAsia" w:ascii="宋体" w:hAnsi="宋体" w:cs="宋体"/>
          <w:bCs/>
          <w:szCs w:val="21"/>
        </w:rPr>
        <w:t>1.工程名称</w:t>
      </w:r>
      <w:r>
        <w:rPr>
          <w:rFonts w:hint="eastAsia" w:ascii="宋体" w:hAnsi="宋体" w:cs="宋体"/>
          <w:szCs w:val="21"/>
        </w:rPr>
        <w:t>：</w:t>
      </w:r>
      <w:r>
        <w:rPr>
          <w:rFonts w:hint="eastAsia" w:ascii="宋体" w:hAnsi="宋体" w:cs="宋体"/>
          <w:szCs w:val="21"/>
          <w:u w:val="single"/>
          <w:lang w:eastAsia="zh-CN"/>
        </w:rPr>
        <w:t>汝南县2023年校舍维修改造长效机制项目</w:t>
      </w:r>
      <w:r>
        <w:rPr>
          <w:rFonts w:hint="eastAsia"/>
          <w:u w:val="single"/>
        </w:rPr>
        <w:t>。</w:t>
      </w:r>
    </w:p>
    <w:p>
      <w:pPr>
        <w:spacing w:line="360" w:lineRule="auto"/>
        <w:ind w:firstLine="411" w:firstLineChars="196"/>
        <w:rPr>
          <w:rFonts w:ascii="宋体" w:hAnsi="宋体" w:cs="宋体"/>
          <w:bCs/>
          <w:szCs w:val="21"/>
        </w:rPr>
      </w:pPr>
      <w:r>
        <w:rPr>
          <w:rFonts w:hint="eastAsia" w:ascii="宋体" w:hAnsi="宋体" w:cs="宋体"/>
          <w:bCs/>
          <w:szCs w:val="21"/>
        </w:rPr>
        <w:t>2.工程地点：</w:t>
      </w:r>
      <w:r>
        <w:rPr>
          <w:rFonts w:hint="eastAsia" w:ascii="宋体" w:hAnsi="宋体" w:cs="宋体"/>
          <w:szCs w:val="21"/>
          <w:u w:val="single"/>
        </w:rPr>
        <w:t>汝南县</w:t>
      </w:r>
      <w:r>
        <w:rPr>
          <w:rFonts w:hint="eastAsia" w:ascii="宋体" w:hAnsi="宋体" w:cs="宋体"/>
          <w:szCs w:val="21"/>
          <w:u w:val="single"/>
          <w:lang w:eastAsia="zh-CN"/>
        </w:rPr>
        <w:t>境内</w:t>
      </w:r>
      <w:r>
        <w:rPr>
          <w:rFonts w:hint="eastAsia" w:ascii="宋体" w:hAnsi="宋体" w:cs="宋体"/>
          <w:szCs w:val="21"/>
        </w:rPr>
        <w:t>。</w:t>
      </w:r>
    </w:p>
    <w:p>
      <w:pPr>
        <w:spacing w:line="360" w:lineRule="auto"/>
        <w:ind w:firstLine="411" w:firstLineChars="196"/>
        <w:rPr>
          <w:rFonts w:ascii="宋体" w:hAnsi="宋体" w:cs="宋体"/>
          <w:bCs/>
          <w:szCs w:val="21"/>
        </w:rPr>
      </w:pPr>
      <w:r>
        <w:rPr>
          <w:rFonts w:hint="eastAsia" w:ascii="宋体" w:hAnsi="宋体" w:cs="宋体"/>
          <w:bCs/>
          <w:szCs w:val="21"/>
        </w:rPr>
        <w:t>3.工程立项批准文号：</w:t>
      </w:r>
      <w:r>
        <w:rPr>
          <w:rFonts w:hint="eastAsia" w:ascii="宋体" w:hAnsi="宋体" w:cs="宋体"/>
          <w:szCs w:val="21"/>
          <w:u w:val="single"/>
        </w:rPr>
        <w:t xml:space="preserve">       </w:t>
      </w:r>
      <w:r>
        <w:rPr>
          <w:rFonts w:hint="eastAsia" w:ascii="宋体" w:hAnsi="宋体" w:cs="宋体"/>
          <w:bCs/>
          <w:szCs w:val="21"/>
        </w:rPr>
        <w:t>。</w:t>
      </w:r>
    </w:p>
    <w:p>
      <w:pPr>
        <w:spacing w:line="360" w:lineRule="auto"/>
        <w:ind w:firstLine="411" w:firstLineChars="196"/>
        <w:rPr>
          <w:rFonts w:ascii="宋体" w:hAnsi="宋体" w:cs="宋体"/>
          <w:bCs/>
          <w:szCs w:val="21"/>
        </w:rPr>
      </w:pPr>
      <w:r>
        <w:rPr>
          <w:rFonts w:hint="eastAsia" w:ascii="宋体" w:hAnsi="宋体" w:cs="宋体"/>
          <w:bCs/>
          <w:szCs w:val="21"/>
        </w:rPr>
        <w:t>4.资金来源：</w:t>
      </w:r>
      <w:r>
        <w:rPr>
          <w:rFonts w:hint="eastAsia" w:ascii="宋体" w:hAnsi="宋体" w:cs="宋体"/>
          <w:szCs w:val="21"/>
          <w:u w:val="single"/>
        </w:rPr>
        <w:t></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bCs/>
          <w:szCs w:val="21"/>
        </w:rPr>
        <w:t>。</w:t>
      </w:r>
    </w:p>
    <w:p>
      <w:pPr>
        <w:spacing w:line="360" w:lineRule="auto"/>
        <w:ind w:firstLine="411" w:firstLineChars="196"/>
        <w:rPr>
          <w:rFonts w:ascii="宋体" w:hAnsi="宋体" w:cs="宋体"/>
          <w:bCs/>
          <w:szCs w:val="21"/>
        </w:rPr>
      </w:pPr>
      <w:r>
        <w:rPr>
          <w:rFonts w:hint="eastAsia" w:ascii="宋体" w:hAnsi="宋体" w:cs="宋体"/>
          <w:bCs/>
          <w:szCs w:val="21"/>
        </w:rPr>
        <w:t>5.工程内容：</w:t>
      </w:r>
      <w:r>
        <w:rPr>
          <w:rFonts w:hint="eastAsia" w:ascii="宋体" w:hAnsi="宋体" w:cs="宋体"/>
          <w:szCs w:val="21"/>
          <w:u w:val="single"/>
        </w:rPr>
        <w:t xml:space="preserve">       </w:t>
      </w:r>
      <w:r>
        <w:rPr>
          <w:rFonts w:hint="eastAsia" w:ascii="宋体" w:hAnsi="宋体" w:cs="宋体"/>
          <w:bCs/>
          <w:szCs w:val="21"/>
        </w:rPr>
        <w:t>。</w:t>
      </w:r>
    </w:p>
    <w:p>
      <w:pPr>
        <w:spacing w:line="360" w:lineRule="auto"/>
        <w:ind w:firstLine="411" w:firstLineChars="196"/>
        <w:rPr>
          <w:rFonts w:ascii="宋体" w:hAnsi="宋体" w:cs="宋体"/>
          <w:bCs/>
          <w:szCs w:val="21"/>
        </w:rPr>
      </w:pPr>
      <w:r>
        <w:rPr>
          <w:rFonts w:hint="eastAsia" w:ascii="宋体" w:hAnsi="宋体" w:cs="宋体"/>
          <w:szCs w:val="21"/>
        </w:rPr>
        <w:t>群体工程应附《承包人承揽工程项目一览表》（附件1）。</w:t>
      </w:r>
    </w:p>
    <w:p>
      <w:pPr>
        <w:spacing w:line="360" w:lineRule="auto"/>
        <w:ind w:firstLine="411" w:firstLineChars="196"/>
        <w:rPr>
          <w:rFonts w:ascii="宋体" w:hAnsi="宋体" w:cs="宋体"/>
          <w:bCs/>
          <w:szCs w:val="21"/>
        </w:rPr>
      </w:pPr>
      <w:r>
        <w:rPr>
          <w:rFonts w:hint="eastAsia" w:ascii="宋体" w:hAnsi="宋体" w:cs="宋体"/>
          <w:bCs/>
          <w:szCs w:val="21"/>
        </w:rPr>
        <w:t>6.工程承包范围：</w:t>
      </w:r>
    </w:p>
    <w:p>
      <w:pPr>
        <w:spacing w:line="360" w:lineRule="auto"/>
        <w:ind w:firstLine="405" w:firstLineChars="193"/>
        <w:rPr>
          <w:rFonts w:ascii="宋体" w:hAnsi="宋体" w:cs="宋体"/>
          <w:szCs w:val="21"/>
        </w:rPr>
      </w:pPr>
      <w:r>
        <w:rPr>
          <w:rFonts w:hint="eastAsia" w:ascii="宋体" w:hAnsi="宋体" w:cs="宋体"/>
          <w:szCs w:val="21"/>
          <w:u w:val="single"/>
        </w:rPr>
        <w:t>   </w:t>
      </w:r>
    </w:p>
    <w:p>
      <w:pPr>
        <w:pStyle w:val="9"/>
        <w:spacing w:before="120" w:after="120"/>
        <w:rPr>
          <w:rFonts w:ascii="宋体" w:hAnsi="宋体" w:cs="宋体"/>
          <w:b w:val="0"/>
          <w:szCs w:val="21"/>
        </w:rPr>
      </w:pPr>
      <w:bookmarkStart w:id="817" w:name="_Toc31265"/>
      <w:r>
        <w:rPr>
          <w:rFonts w:hint="eastAsia" w:ascii="宋体" w:hAnsi="宋体" w:cs="宋体"/>
          <w:b w:val="0"/>
          <w:szCs w:val="21"/>
        </w:rPr>
        <w:t>二、合同工期</w:t>
      </w:r>
      <w:bookmarkEnd w:id="817"/>
    </w:p>
    <w:p>
      <w:pPr>
        <w:spacing w:line="360" w:lineRule="auto"/>
        <w:ind w:firstLine="459"/>
        <w:rPr>
          <w:rFonts w:ascii="宋体" w:hAnsi="宋体" w:cs="宋体"/>
          <w:szCs w:val="21"/>
        </w:rPr>
      </w:pPr>
      <w:r>
        <w:rPr>
          <w:rFonts w:hint="eastAsia" w:ascii="宋体" w:hAnsi="宋体" w:cs="宋体"/>
          <w:szCs w:val="21"/>
        </w:rPr>
        <w:t>计划开工日期：</w:t>
      </w:r>
      <w:r>
        <w:rPr>
          <w:rFonts w:hint="eastAsia" w:ascii="宋体" w:hAnsi="宋体" w:cs="宋体"/>
          <w:szCs w:val="21"/>
          <w:u w:val="single"/>
        </w:rPr>
        <w:t></w:t>
      </w:r>
      <w:r>
        <w:rPr>
          <w:rFonts w:hint="eastAsia" w:ascii="宋体" w:hAnsi="宋体" w:cs="宋体"/>
          <w:szCs w:val="21"/>
        </w:rPr>
        <w:t>年</w:t>
      </w:r>
      <w:r>
        <w:rPr>
          <w:rFonts w:hint="eastAsia" w:ascii="宋体" w:hAnsi="宋体" w:cs="宋体"/>
          <w:szCs w:val="21"/>
          <w:u w:val="single"/>
        </w:rPr>
        <w:t></w:t>
      </w:r>
      <w:r>
        <w:rPr>
          <w:rFonts w:hint="eastAsia" w:ascii="宋体" w:hAnsi="宋体" w:cs="宋体"/>
          <w:szCs w:val="21"/>
        </w:rPr>
        <w:t>月</w:t>
      </w:r>
      <w:r>
        <w:rPr>
          <w:rFonts w:hint="eastAsia" w:ascii="宋体" w:hAnsi="宋体" w:cs="宋体"/>
          <w:szCs w:val="21"/>
          <w:u w:val="single"/>
        </w:rPr>
        <w:t></w:t>
      </w:r>
      <w:r>
        <w:rPr>
          <w:rFonts w:hint="eastAsia" w:ascii="宋体" w:hAnsi="宋体" w:cs="宋体"/>
          <w:szCs w:val="21"/>
        </w:rPr>
        <w:t>日。</w:t>
      </w:r>
    </w:p>
    <w:p>
      <w:pPr>
        <w:spacing w:line="360" w:lineRule="auto"/>
        <w:ind w:firstLine="459"/>
        <w:rPr>
          <w:rFonts w:ascii="宋体" w:hAnsi="宋体" w:cs="宋体"/>
          <w:szCs w:val="21"/>
        </w:rPr>
      </w:pPr>
      <w:r>
        <w:rPr>
          <w:rFonts w:hint="eastAsia" w:ascii="宋体" w:hAnsi="宋体" w:cs="宋体"/>
          <w:szCs w:val="21"/>
        </w:rPr>
        <w:t>计划竣工日期：</w:t>
      </w:r>
      <w:r>
        <w:rPr>
          <w:rFonts w:hint="eastAsia" w:ascii="宋体" w:hAnsi="宋体" w:cs="宋体"/>
          <w:szCs w:val="21"/>
          <w:u w:val="single"/>
        </w:rPr>
        <w:t></w:t>
      </w:r>
      <w:r>
        <w:rPr>
          <w:rFonts w:hint="eastAsia" w:ascii="宋体" w:hAnsi="宋体" w:cs="宋体"/>
          <w:szCs w:val="21"/>
        </w:rPr>
        <w:t>年</w:t>
      </w:r>
      <w:r>
        <w:rPr>
          <w:rFonts w:hint="eastAsia" w:ascii="宋体" w:hAnsi="宋体" w:cs="宋体"/>
          <w:szCs w:val="21"/>
          <w:u w:val="single"/>
        </w:rPr>
        <w:t></w:t>
      </w:r>
      <w:r>
        <w:rPr>
          <w:rFonts w:hint="eastAsia" w:ascii="宋体" w:hAnsi="宋体" w:cs="宋体"/>
          <w:szCs w:val="21"/>
        </w:rPr>
        <w:t>月</w:t>
      </w:r>
      <w:r>
        <w:rPr>
          <w:rFonts w:hint="eastAsia" w:ascii="宋体" w:hAnsi="宋体" w:cs="宋体"/>
          <w:szCs w:val="21"/>
          <w:u w:val="single"/>
        </w:rPr>
        <w:t></w:t>
      </w:r>
      <w:r>
        <w:rPr>
          <w:rFonts w:hint="eastAsia" w:ascii="宋体" w:hAnsi="宋体" w:cs="宋体"/>
          <w:szCs w:val="21"/>
        </w:rPr>
        <w:t>日。</w:t>
      </w:r>
    </w:p>
    <w:p>
      <w:pPr>
        <w:spacing w:line="360" w:lineRule="auto"/>
        <w:ind w:firstLine="459"/>
        <w:rPr>
          <w:rFonts w:ascii="宋体" w:hAnsi="宋体" w:cs="宋体"/>
          <w:szCs w:val="21"/>
        </w:rPr>
      </w:pPr>
      <w:r>
        <w:rPr>
          <w:rFonts w:hint="eastAsia" w:ascii="宋体" w:hAnsi="宋体" w:cs="宋体"/>
          <w:szCs w:val="21"/>
        </w:rPr>
        <w:t>工期总日历天数：</w:t>
      </w:r>
      <w:r>
        <w:rPr>
          <w:rFonts w:hint="eastAsia" w:ascii="宋体" w:hAnsi="宋体" w:cs="宋体"/>
          <w:szCs w:val="21"/>
          <w:u w:val="single"/>
          <w:lang w:val="en-US" w:eastAsia="zh-CN"/>
        </w:rPr>
        <w:t xml:space="preserve">   </w:t>
      </w:r>
      <w:r>
        <w:rPr>
          <w:rFonts w:hint="eastAsia" w:ascii="宋体" w:hAnsi="宋体" w:cs="宋体"/>
          <w:szCs w:val="21"/>
          <w:u w:val="single"/>
        </w:rPr>
        <w:t></w:t>
      </w:r>
      <w:r>
        <w:rPr>
          <w:rFonts w:hint="eastAsia" w:ascii="宋体" w:hAnsi="宋体" w:cs="宋体"/>
          <w:szCs w:val="21"/>
        </w:rPr>
        <w:t>天。工期总日历天数与根据前述计划开竣工日期计算的工期天数不一致的，以工期总日历天数为准。</w:t>
      </w:r>
    </w:p>
    <w:p>
      <w:pPr>
        <w:pStyle w:val="9"/>
        <w:spacing w:before="120" w:after="120"/>
        <w:rPr>
          <w:rFonts w:ascii="宋体" w:hAnsi="宋体" w:cs="宋体"/>
          <w:bCs/>
          <w:szCs w:val="21"/>
        </w:rPr>
      </w:pPr>
      <w:bookmarkStart w:id="818" w:name="_Toc30164"/>
      <w:r>
        <w:rPr>
          <w:rFonts w:hint="eastAsia" w:ascii="宋体" w:hAnsi="宋体" w:cs="宋体"/>
          <w:b w:val="0"/>
          <w:szCs w:val="21"/>
        </w:rPr>
        <w:t>三、质量标准</w:t>
      </w:r>
      <w:bookmarkEnd w:id="818"/>
    </w:p>
    <w:p>
      <w:pPr>
        <w:spacing w:line="360" w:lineRule="auto"/>
        <w:ind w:firstLine="459"/>
        <w:rPr>
          <w:rFonts w:ascii="宋体" w:hAnsi="宋体" w:cs="宋体"/>
          <w:szCs w:val="21"/>
        </w:rPr>
      </w:pPr>
      <w:r>
        <w:rPr>
          <w:rFonts w:hint="eastAsia" w:ascii="宋体" w:hAnsi="宋体" w:cs="宋体"/>
          <w:szCs w:val="21"/>
        </w:rPr>
        <w:t>工程质量</w:t>
      </w:r>
      <w:r>
        <w:rPr>
          <w:rFonts w:hint="eastAsia" w:ascii="宋体" w:hAnsi="宋体" w:cs="宋体"/>
          <w:szCs w:val="21"/>
          <w:u w:val="single"/>
        </w:rPr>
        <w:t>合格</w:t>
      </w:r>
      <w:r>
        <w:rPr>
          <w:rFonts w:hint="eastAsia" w:ascii="宋体" w:hAnsi="宋体" w:cs="宋体"/>
          <w:szCs w:val="21"/>
          <w:u w:val="single"/>
          <w:lang w:val="en-US" w:eastAsia="zh-CN"/>
        </w:rPr>
        <w:t xml:space="preserve">   </w:t>
      </w:r>
      <w:r>
        <w:rPr>
          <w:rFonts w:hint="eastAsia" w:ascii="宋体" w:hAnsi="宋体" w:cs="宋体"/>
          <w:szCs w:val="21"/>
          <w:u w:val="single"/>
        </w:rPr>
        <w:t></w:t>
      </w:r>
      <w:r>
        <w:rPr>
          <w:rFonts w:hint="eastAsia" w:ascii="宋体" w:hAnsi="宋体" w:cs="宋体"/>
          <w:szCs w:val="21"/>
        </w:rPr>
        <w:t>标准。</w:t>
      </w:r>
    </w:p>
    <w:p>
      <w:pPr>
        <w:pStyle w:val="9"/>
        <w:spacing w:before="120" w:after="120"/>
        <w:rPr>
          <w:rFonts w:ascii="宋体" w:hAnsi="宋体" w:cs="宋体"/>
          <w:bCs/>
          <w:szCs w:val="21"/>
        </w:rPr>
      </w:pPr>
      <w:bookmarkStart w:id="819" w:name="_Toc24801"/>
      <w:r>
        <w:rPr>
          <w:rFonts w:hint="eastAsia" w:ascii="宋体" w:hAnsi="宋体" w:cs="宋体"/>
          <w:b w:val="0"/>
          <w:szCs w:val="21"/>
        </w:rPr>
        <w:t>四、签约合同价与合同价格形式</w:t>
      </w:r>
      <w:bookmarkEnd w:id="819"/>
      <w:r>
        <w:rPr>
          <w:rFonts w:hint="eastAsia" w:ascii="宋体" w:hAnsi="宋体" w:cs="宋体"/>
          <w:b w:val="0"/>
          <w:szCs w:val="21"/>
        </w:rPr>
        <w:tab/>
      </w:r>
    </w:p>
    <w:p>
      <w:pPr>
        <w:spacing w:line="360" w:lineRule="auto"/>
        <w:ind w:firstLine="420" w:firstLineChars="200"/>
        <w:rPr>
          <w:rFonts w:ascii="宋体" w:hAnsi="宋体" w:cs="宋体"/>
          <w:szCs w:val="21"/>
        </w:rPr>
      </w:pPr>
      <w:r>
        <w:rPr>
          <w:rFonts w:hint="eastAsia" w:ascii="宋体" w:hAnsi="宋体" w:cs="宋体"/>
          <w:szCs w:val="21"/>
        </w:rPr>
        <w:t>1.签约合同价为：</w:t>
      </w:r>
    </w:p>
    <w:p>
      <w:pPr>
        <w:spacing w:line="360" w:lineRule="auto"/>
        <w:ind w:firstLine="525" w:firstLineChars="250"/>
        <w:rPr>
          <w:rFonts w:ascii="宋体" w:hAnsi="宋体" w:cs="宋体"/>
          <w:szCs w:val="21"/>
        </w:rPr>
      </w:pPr>
      <w:r>
        <w:rPr>
          <w:rFonts w:hint="eastAsia" w:ascii="宋体" w:hAnsi="宋体" w:cs="宋体"/>
          <w:szCs w:val="21"/>
        </w:rPr>
        <w:t>人民币（大写）(¥元)；</w:t>
      </w:r>
    </w:p>
    <w:p>
      <w:pPr>
        <w:spacing w:line="360" w:lineRule="auto"/>
        <w:ind w:firstLine="420" w:firstLineChars="200"/>
        <w:rPr>
          <w:rFonts w:ascii="宋体" w:hAnsi="宋体" w:cs="宋体"/>
          <w:szCs w:val="21"/>
        </w:rPr>
      </w:pPr>
      <w:r>
        <w:rPr>
          <w:rFonts w:hint="eastAsia" w:ascii="宋体" w:hAnsi="宋体" w:cs="宋体"/>
          <w:szCs w:val="21"/>
        </w:rPr>
        <w:t>其中：</w:t>
      </w:r>
    </w:p>
    <w:p>
      <w:pPr>
        <w:spacing w:line="360" w:lineRule="auto"/>
        <w:ind w:firstLine="420" w:firstLineChars="200"/>
        <w:rPr>
          <w:rFonts w:ascii="宋体" w:hAnsi="宋体" w:cs="宋体"/>
          <w:szCs w:val="21"/>
        </w:rPr>
      </w:pPr>
      <w:r>
        <w:rPr>
          <w:rFonts w:hint="eastAsia" w:ascii="宋体" w:hAnsi="宋体" w:cs="宋体"/>
          <w:szCs w:val="21"/>
        </w:rPr>
        <w:t>（1）安全文明施工费：</w:t>
      </w:r>
    </w:p>
    <w:p>
      <w:pPr>
        <w:spacing w:line="360" w:lineRule="auto"/>
        <w:ind w:firstLine="945" w:firstLineChars="450"/>
        <w:rPr>
          <w:rFonts w:ascii="宋体" w:hAnsi="宋体" w:cs="宋体"/>
          <w:szCs w:val="21"/>
        </w:rPr>
      </w:pPr>
      <w:r>
        <w:rPr>
          <w:rFonts w:hint="eastAsia" w:ascii="宋体" w:hAnsi="宋体" w:cs="宋体"/>
          <w:szCs w:val="21"/>
        </w:rPr>
        <w:t>人民币（大写） (¥元)；</w:t>
      </w:r>
    </w:p>
    <w:p>
      <w:pPr>
        <w:spacing w:line="360" w:lineRule="auto"/>
        <w:ind w:firstLine="420" w:firstLineChars="200"/>
        <w:rPr>
          <w:rFonts w:ascii="宋体" w:hAnsi="宋体" w:cs="宋体"/>
          <w:szCs w:val="21"/>
        </w:rPr>
      </w:pPr>
      <w:r>
        <w:rPr>
          <w:rFonts w:hint="eastAsia" w:ascii="宋体" w:hAnsi="宋体" w:cs="宋体"/>
          <w:szCs w:val="21"/>
        </w:rPr>
        <w:t>（2）材料和工程设备暂估价金额：</w:t>
      </w:r>
    </w:p>
    <w:p>
      <w:pPr>
        <w:spacing w:line="360" w:lineRule="auto"/>
        <w:ind w:firstLine="945" w:firstLineChars="450"/>
        <w:rPr>
          <w:rFonts w:ascii="宋体" w:hAnsi="宋体" w:cs="宋体"/>
          <w:szCs w:val="21"/>
        </w:rPr>
      </w:pPr>
      <w:r>
        <w:rPr>
          <w:rFonts w:hint="eastAsia" w:ascii="宋体" w:hAnsi="宋体" w:cs="宋体"/>
          <w:szCs w:val="21"/>
        </w:rPr>
        <w:t>人民币（大写） (¥元)；</w:t>
      </w:r>
    </w:p>
    <w:p>
      <w:pPr>
        <w:spacing w:line="360" w:lineRule="auto"/>
        <w:ind w:firstLine="420" w:firstLineChars="200"/>
        <w:rPr>
          <w:rFonts w:ascii="宋体" w:hAnsi="宋体" w:cs="宋体"/>
          <w:szCs w:val="21"/>
        </w:rPr>
      </w:pPr>
      <w:r>
        <w:rPr>
          <w:rFonts w:hint="eastAsia" w:ascii="宋体" w:hAnsi="宋体" w:cs="宋体"/>
          <w:szCs w:val="21"/>
        </w:rPr>
        <w:t>（3）专业工程暂估价金额：</w:t>
      </w:r>
    </w:p>
    <w:p>
      <w:pPr>
        <w:spacing w:line="360" w:lineRule="auto"/>
        <w:ind w:firstLine="945" w:firstLineChars="450"/>
        <w:rPr>
          <w:rFonts w:ascii="宋体" w:hAnsi="宋体" w:cs="宋体"/>
          <w:szCs w:val="21"/>
        </w:rPr>
      </w:pPr>
      <w:r>
        <w:rPr>
          <w:rFonts w:hint="eastAsia" w:ascii="宋体" w:hAnsi="宋体" w:cs="宋体"/>
          <w:szCs w:val="21"/>
        </w:rPr>
        <w:t>人民币（大写） (¥元)；</w:t>
      </w:r>
    </w:p>
    <w:p>
      <w:pPr>
        <w:spacing w:line="360" w:lineRule="auto"/>
        <w:ind w:firstLine="420" w:firstLineChars="200"/>
        <w:rPr>
          <w:rFonts w:ascii="宋体" w:hAnsi="宋体" w:cs="宋体"/>
          <w:szCs w:val="21"/>
        </w:rPr>
      </w:pPr>
      <w:r>
        <w:rPr>
          <w:rFonts w:hint="eastAsia" w:ascii="宋体" w:hAnsi="宋体" w:cs="宋体"/>
          <w:szCs w:val="21"/>
        </w:rPr>
        <w:t>（4）暂列金额：</w:t>
      </w:r>
    </w:p>
    <w:p>
      <w:pPr>
        <w:spacing w:line="360" w:lineRule="auto"/>
        <w:ind w:firstLine="945" w:firstLineChars="450"/>
        <w:rPr>
          <w:rFonts w:ascii="宋体" w:hAnsi="宋体" w:cs="宋体"/>
          <w:szCs w:val="21"/>
        </w:rPr>
      </w:pPr>
      <w:r>
        <w:rPr>
          <w:rFonts w:hint="eastAsia" w:ascii="宋体" w:hAnsi="宋体" w:cs="宋体"/>
          <w:szCs w:val="21"/>
        </w:rPr>
        <w:t>人民币（大写） (¥元)。</w:t>
      </w:r>
    </w:p>
    <w:p>
      <w:pPr>
        <w:spacing w:line="360" w:lineRule="auto"/>
        <w:ind w:firstLine="420" w:firstLineChars="200"/>
        <w:rPr>
          <w:rFonts w:ascii="宋体" w:hAnsi="宋体" w:cs="宋体"/>
          <w:szCs w:val="21"/>
        </w:rPr>
      </w:pPr>
      <w:r>
        <w:rPr>
          <w:rFonts w:hint="eastAsia" w:ascii="宋体" w:hAnsi="宋体" w:cs="宋体"/>
          <w:szCs w:val="21"/>
        </w:rPr>
        <w:t>2.合同价格形式：</w:t>
      </w:r>
      <w:r>
        <w:rPr>
          <w:rFonts w:hint="eastAsia" w:ascii="宋体" w:hAnsi="宋体" w:cs="宋体"/>
          <w:szCs w:val="21"/>
          <w:u w:val="single"/>
        </w:rPr>
        <w:t>                      </w:t>
      </w:r>
      <w:r>
        <w:rPr>
          <w:rFonts w:hint="eastAsia" w:ascii="宋体" w:hAnsi="宋体" w:cs="宋体"/>
          <w:szCs w:val="21"/>
        </w:rPr>
        <w:t>。</w:t>
      </w:r>
    </w:p>
    <w:p>
      <w:pPr>
        <w:pStyle w:val="9"/>
        <w:spacing w:before="120" w:after="120"/>
        <w:rPr>
          <w:rFonts w:ascii="宋体" w:hAnsi="宋体" w:cs="宋体"/>
          <w:b w:val="0"/>
          <w:szCs w:val="21"/>
        </w:rPr>
      </w:pPr>
      <w:bookmarkStart w:id="820" w:name="_Toc12157"/>
      <w:r>
        <w:rPr>
          <w:rFonts w:hint="eastAsia" w:ascii="宋体" w:hAnsi="宋体" w:cs="宋体"/>
          <w:b w:val="0"/>
          <w:szCs w:val="21"/>
        </w:rPr>
        <w:t>五、项目经理</w:t>
      </w:r>
      <w:bookmarkEnd w:id="820"/>
    </w:p>
    <w:p>
      <w:pPr>
        <w:spacing w:line="360" w:lineRule="auto"/>
        <w:ind w:firstLine="420" w:firstLineChars="200"/>
        <w:rPr>
          <w:rFonts w:ascii="宋体" w:hAnsi="宋体" w:cs="宋体"/>
          <w:szCs w:val="21"/>
        </w:rPr>
      </w:pPr>
      <w:r>
        <w:rPr>
          <w:rFonts w:hint="eastAsia" w:ascii="宋体" w:hAnsi="宋体" w:cs="宋体"/>
          <w:szCs w:val="21"/>
        </w:rPr>
        <w:t>承包人项目经理：</w:t>
      </w:r>
      <w:r>
        <w:rPr>
          <w:rFonts w:hint="eastAsia" w:ascii="宋体" w:hAnsi="宋体" w:cs="宋体"/>
          <w:szCs w:val="21"/>
          <w:u w:val="single"/>
        </w:rPr>
        <w:t>                     </w:t>
      </w:r>
      <w:r>
        <w:rPr>
          <w:rFonts w:hint="eastAsia" w:ascii="宋体" w:hAnsi="宋体" w:cs="宋体"/>
          <w:szCs w:val="21"/>
        </w:rPr>
        <w:t>。</w:t>
      </w:r>
    </w:p>
    <w:p>
      <w:pPr>
        <w:pStyle w:val="9"/>
        <w:spacing w:before="120" w:after="120"/>
        <w:rPr>
          <w:rFonts w:ascii="宋体" w:hAnsi="宋体" w:cs="宋体"/>
          <w:bCs/>
          <w:szCs w:val="21"/>
        </w:rPr>
      </w:pPr>
      <w:bookmarkStart w:id="821" w:name="_Toc21971"/>
      <w:r>
        <w:rPr>
          <w:rFonts w:hint="eastAsia" w:ascii="宋体" w:hAnsi="宋体" w:cs="宋体"/>
          <w:b w:val="0"/>
          <w:szCs w:val="21"/>
        </w:rPr>
        <w:t>六、合同文件构成</w:t>
      </w:r>
      <w:bookmarkEnd w:id="821"/>
    </w:p>
    <w:p>
      <w:pPr>
        <w:spacing w:line="360" w:lineRule="auto"/>
        <w:ind w:firstLine="420" w:firstLineChars="200"/>
        <w:rPr>
          <w:rFonts w:ascii="宋体" w:hAnsi="宋体" w:cs="宋体"/>
          <w:bCs/>
          <w:szCs w:val="21"/>
        </w:rPr>
      </w:pPr>
      <w:r>
        <w:rPr>
          <w:rFonts w:hint="eastAsia" w:ascii="宋体" w:hAnsi="宋体" w:cs="宋体"/>
          <w:bCs/>
          <w:szCs w:val="21"/>
        </w:rPr>
        <w:t>本协议书与下列文件一起构成合同文件：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（1）中标通知书（如果有）；</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 xml:space="preserve">（2）投标函及其附录（如果有）； </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（3）专用合同条款及其附件；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（4）通用合同条款；</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（5）技术标准和要求；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（6）图纸；</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（7）已标价工程量清单或预算书；</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（8）其他合同文件。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pPr>
        <w:pStyle w:val="9"/>
        <w:spacing w:before="120" w:after="120"/>
        <w:rPr>
          <w:rFonts w:ascii="宋体" w:hAnsi="宋体" w:cs="宋体"/>
          <w:b w:val="0"/>
          <w:bCs/>
          <w:szCs w:val="21"/>
        </w:rPr>
      </w:pPr>
      <w:bookmarkStart w:id="822" w:name="_Toc10239"/>
      <w:r>
        <w:rPr>
          <w:rFonts w:hint="eastAsia" w:ascii="宋体" w:hAnsi="宋体" w:cs="宋体"/>
          <w:b w:val="0"/>
          <w:szCs w:val="21"/>
        </w:rPr>
        <w:t>七、承诺</w:t>
      </w:r>
      <w:bookmarkEnd w:id="822"/>
    </w:p>
    <w:p>
      <w:pPr>
        <w:spacing w:line="360" w:lineRule="auto"/>
        <w:ind w:firstLine="420" w:firstLineChars="200"/>
        <w:rPr>
          <w:rFonts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pPr>
        <w:spacing w:line="360" w:lineRule="auto"/>
        <w:ind w:firstLine="420" w:firstLineChars="200"/>
        <w:rPr>
          <w:rFonts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pPr>
        <w:spacing w:line="360" w:lineRule="auto"/>
        <w:rPr>
          <w:rFonts w:ascii="宋体" w:hAnsi="宋体" w:cs="宋体"/>
          <w:bCs/>
          <w:szCs w:val="21"/>
        </w:rPr>
      </w:pPr>
      <w:r>
        <w:rPr>
          <w:rFonts w:hint="eastAsia" w:ascii="宋体" w:hAnsi="宋体" w:cs="宋体"/>
          <w:b/>
          <w:szCs w:val="21"/>
        </w:rPr>
        <w:t xml:space="preserve">    八、词语含义</w:t>
      </w:r>
    </w:p>
    <w:p>
      <w:pPr>
        <w:spacing w:line="360" w:lineRule="auto"/>
        <w:ind w:firstLine="420" w:firstLineChars="200"/>
        <w:rPr>
          <w:rFonts w:ascii="宋体" w:hAnsi="宋体" w:cs="宋体"/>
          <w:bCs/>
          <w:szCs w:val="21"/>
        </w:rPr>
      </w:pPr>
      <w:r>
        <w:rPr>
          <w:rFonts w:hint="eastAsia" w:ascii="宋体" w:hAnsi="宋体" w:cs="宋体"/>
          <w:bCs/>
          <w:szCs w:val="21"/>
        </w:rPr>
        <w:t>本协议书中词语含义与第二部分通用合同条款中赋予的含义相同。</w:t>
      </w:r>
    </w:p>
    <w:p>
      <w:pPr>
        <w:pStyle w:val="9"/>
        <w:spacing w:before="120" w:after="120"/>
        <w:rPr>
          <w:rFonts w:hint="eastAsia" w:ascii="宋体" w:hAnsi="宋体" w:eastAsia="宋体" w:cs="宋体"/>
          <w:b/>
          <w:kern w:val="2"/>
          <w:sz w:val="21"/>
          <w:szCs w:val="21"/>
          <w:lang w:val="en-US" w:eastAsia="zh-CN" w:bidi="ar-SA"/>
        </w:rPr>
      </w:pPr>
      <w:bookmarkStart w:id="823" w:name="_Toc12000"/>
      <w:r>
        <w:rPr>
          <w:rFonts w:hint="eastAsia" w:ascii="宋体" w:hAnsi="宋体" w:cs="宋体"/>
          <w:b/>
          <w:kern w:val="2"/>
          <w:sz w:val="21"/>
          <w:szCs w:val="21"/>
          <w:lang w:val="en-US" w:eastAsia="zh-CN" w:bidi="ar-SA"/>
        </w:rPr>
        <w:t xml:space="preserve">   </w:t>
      </w:r>
      <w:r>
        <w:rPr>
          <w:rFonts w:hint="eastAsia" w:ascii="宋体" w:hAnsi="宋体" w:eastAsia="宋体" w:cs="宋体"/>
          <w:b/>
          <w:kern w:val="2"/>
          <w:sz w:val="21"/>
          <w:szCs w:val="21"/>
          <w:lang w:val="en-US" w:eastAsia="zh-CN" w:bidi="ar-SA"/>
        </w:rPr>
        <w:t>九、签订时间</w:t>
      </w:r>
      <w:bookmarkEnd w:id="823"/>
    </w:p>
    <w:p>
      <w:pPr>
        <w:spacing w:line="360" w:lineRule="auto"/>
        <w:ind w:firstLine="420" w:firstLineChars="200"/>
        <w:rPr>
          <w:rFonts w:ascii="宋体" w:hAnsi="宋体" w:cs="宋体"/>
          <w:bCs/>
          <w:szCs w:val="21"/>
        </w:rPr>
      </w:pPr>
      <w:r>
        <w:rPr>
          <w:rFonts w:hint="eastAsia" w:ascii="宋体" w:hAnsi="宋体" w:cs="宋体"/>
          <w:bCs/>
          <w:szCs w:val="21"/>
        </w:rPr>
        <w:t>本合同于年月日签订。</w:t>
      </w:r>
    </w:p>
    <w:p>
      <w:pPr>
        <w:pStyle w:val="9"/>
        <w:spacing w:before="120" w:after="120"/>
        <w:rPr>
          <w:rFonts w:hint="eastAsia" w:ascii="宋体" w:hAnsi="宋体" w:eastAsia="宋体" w:cs="宋体"/>
          <w:b/>
          <w:kern w:val="2"/>
          <w:sz w:val="21"/>
          <w:szCs w:val="21"/>
          <w:lang w:val="en-US" w:eastAsia="zh-CN" w:bidi="ar-SA"/>
        </w:rPr>
      </w:pPr>
      <w:bookmarkStart w:id="824" w:name="_Toc31553"/>
      <w:r>
        <w:rPr>
          <w:rFonts w:hint="eastAsia" w:ascii="宋体" w:hAnsi="宋体" w:cs="宋体"/>
          <w:b/>
          <w:kern w:val="2"/>
          <w:sz w:val="21"/>
          <w:szCs w:val="21"/>
          <w:lang w:val="en-US" w:eastAsia="zh-CN" w:bidi="ar-SA"/>
        </w:rPr>
        <w:t xml:space="preserve">  </w:t>
      </w:r>
      <w:r>
        <w:rPr>
          <w:rFonts w:hint="eastAsia" w:ascii="宋体" w:hAnsi="宋体" w:eastAsia="宋体" w:cs="宋体"/>
          <w:b/>
          <w:kern w:val="2"/>
          <w:sz w:val="21"/>
          <w:szCs w:val="21"/>
          <w:lang w:val="en-US" w:eastAsia="zh-CN" w:bidi="ar-SA"/>
        </w:rPr>
        <w:t>十、签订地点</w:t>
      </w:r>
      <w:bookmarkEnd w:id="824"/>
    </w:p>
    <w:p>
      <w:pPr>
        <w:spacing w:line="360" w:lineRule="auto"/>
        <w:ind w:firstLine="420" w:firstLineChars="200"/>
        <w:rPr>
          <w:rFonts w:ascii="宋体" w:hAnsi="宋体" w:cs="宋体"/>
          <w:bCs/>
          <w:szCs w:val="21"/>
        </w:rPr>
      </w:pPr>
      <w:r>
        <w:rPr>
          <w:rFonts w:hint="eastAsia" w:ascii="宋体" w:hAnsi="宋体" w:cs="宋体"/>
          <w:bCs/>
          <w:szCs w:val="21"/>
        </w:rPr>
        <w:t>本合同在签订。</w:t>
      </w:r>
    </w:p>
    <w:p>
      <w:pPr>
        <w:pStyle w:val="9"/>
        <w:spacing w:before="120" w:after="120"/>
        <w:rPr>
          <w:rFonts w:hint="eastAsia" w:ascii="宋体" w:hAnsi="宋体" w:cs="宋体"/>
          <w:b/>
          <w:kern w:val="2"/>
          <w:sz w:val="21"/>
          <w:szCs w:val="21"/>
          <w:lang w:val="en-US" w:eastAsia="zh-CN" w:bidi="ar-SA"/>
        </w:rPr>
      </w:pPr>
      <w:bookmarkStart w:id="825" w:name="_Toc10117"/>
      <w:r>
        <w:rPr>
          <w:rFonts w:hint="eastAsia" w:ascii="宋体" w:hAnsi="宋体" w:cs="宋体"/>
          <w:b/>
          <w:kern w:val="2"/>
          <w:sz w:val="21"/>
          <w:szCs w:val="21"/>
          <w:lang w:val="en-US" w:eastAsia="zh-CN" w:bidi="ar-SA"/>
        </w:rPr>
        <w:t xml:space="preserve">  十一、补充协议</w:t>
      </w:r>
      <w:bookmarkEnd w:id="825"/>
    </w:p>
    <w:p>
      <w:pPr>
        <w:spacing w:line="360" w:lineRule="auto"/>
        <w:ind w:firstLine="420" w:firstLineChars="200"/>
        <w:rPr>
          <w:rFonts w:ascii="宋体" w:hAnsi="宋体" w:cs="宋体"/>
          <w:b/>
          <w:bCs/>
          <w:szCs w:val="21"/>
        </w:rPr>
      </w:pPr>
      <w:r>
        <w:rPr>
          <w:rFonts w:hint="eastAsia" w:ascii="宋体" w:hAnsi="宋体" w:cs="宋体"/>
          <w:bCs/>
          <w:szCs w:val="21"/>
        </w:rPr>
        <w:t>合同未尽事宜，合同当事人另行签订补充协议，补充协议是合同的组成部分。</w:t>
      </w:r>
    </w:p>
    <w:p>
      <w:pPr>
        <w:pStyle w:val="9"/>
        <w:spacing w:before="120" w:after="120"/>
        <w:rPr>
          <w:rFonts w:ascii="宋体" w:hAnsi="宋体" w:cs="宋体"/>
          <w:bCs/>
          <w:szCs w:val="21"/>
        </w:rPr>
      </w:pPr>
      <w:bookmarkStart w:id="826" w:name="_Toc4398"/>
      <w:r>
        <w:rPr>
          <w:rFonts w:hint="eastAsia" w:ascii="宋体" w:hAnsi="宋体" w:cs="宋体"/>
          <w:b w:val="0"/>
          <w:szCs w:val="21"/>
          <w:lang w:val="en-US" w:eastAsia="zh-CN"/>
        </w:rPr>
        <w:t xml:space="preserve"> </w:t>
      </w:r>
      <w:r>
        <w:rPr>
          <w:rFonts w:hint="eastAsia" w:ascii="宋体" w:hAnsi="宋体" w:cs="宋体"/>
          <w:b/>
          <w:kern w:val="2"/>
          <w:sz w:val="21"/>
          <w:szCs w:val="21"/>
          <w:lang w:val="en-US" w:eastAsia="zh-CN" w:bidi="ar-SA"/>
        </w:rPr>
        <w:t xml:space="preserve"> 十二、合同生效</w:t>
      </w:r>
      <w:bookmarkEnd w:id="826"/>
    </w:p>
    <w:p>
      <w:pPr>
        <w:spacing w:line="360" w:lineRule="auto"/>
        <w:ind w:firstLine="420" w:firstLineChars="200"/>
        <w:rPr>
          <w:rFonts w:ascii="宋体" w:hAnsi="宋体" w:cs="宋体"/>
          <w:bCs/>
          <w:szCs w:val="21"/>
        </w:rPr>
      </w:pPr>
      <w:r>
        <w:rPr>
          <w:rFonts w:hint="eastAsia" w:ascii="宋体" w:hAnsi="宋体" w:cs="宋体"/>
          <w:bCs/>
          <w:szCs w:val="21"/>
        </w:rPr>
        <w:t>本合同自生效。</w:t>
      </w:r>
    </w:p>
    <w:p>
      <w:pPr>
        <w:pStyle w:val="9"/>
        <w:spacing w:before="120" w:after="120"/>
        <w:rPr>
          <w:rFonts w:ascii="宋体" w:hAnsi="宋体" w:cs="宋体"/>
          <w:b/>
          <w:bCs/>
          <w:szCs w:val="21"/>
        </w:rPr>
      </w:pPr>
      <w:bookmarkStart w:id="827" w:name="_Toc24773"/>
      <w:r>
        <w:rPr>
          <w:rFonts w:hint="eastAsia" w:ascii="宋体" w:hAnsi="宋体" w:cs="宋体"/>
          <w:b/>
          <w:bCs/>
          <w:szCs w:val="21"/>
          <w:lang w:val="en-US" w:eastAsia="zh-CN"/>
        </w:rPr>
        <w:t xml:space="preserve">  </w:t>
      </w:r>
      <w:r>
        <w:rPr>
          <w:rFonts w:hint="eastAsia" w:ascii="宋体" w:hAnsi="宋体" w:cs="宋体"/>
          <w:b/>
          <w:bCs/>
          <w:szCs w:val="21"/>
        </w:rPr>
        <w:t>十三、合同份数</w:t>
      </w:r>
      <w:bookmarkEnd w:id="827"/>
    </w:p>
    <w:p>
      <w:pPr>
        <w:spacing w:line="360" w:lineRule="auto"/>
        <w:ind w:firstLine="420" w:firstLineChars="200"/>
        <w:rPr>
          <w:rFonts w:ascii="宋体" w:hAnsi="宋体" w:cs="宋体"/>
          <w:bCs/>
          <w:szCs w:val="21"/>
        </w:rPr>
      </w:pPr>
      <w:r>
        <w:rPr>
          <w:rFonts w:hint="eastAsia" w:ascii="宋体" w:hAnsi="宋体" w:cs="宋体"/>
          <w:bCs/>
          <w:szCs w:val="21"/>
        </w:rPr>
        <w:t>本合同一式份，均具有同等法律效力，发包人执份，承包人执份。</w:t>
      </w:r>
    </w:p>
    <w:p>
      <w:pPr>
        <w:spacing w:line="360" w:lineRule="auto"/>
        <w:rPr>
          <w:rFonts w:ascii="宋体" w:hAnsi="宋体" w:cs="宋体"/>
          <w:szCs w:val="21"/>
        </w:rPr>
      </w:pPr>
      <w:r>
        <w:rPr>
          <w:rFonts w:hint="eastAsia" w:ascii="宋体" w:hAnsi="宋体" w:cs="宋体"/>
          <w:szCs w:val="21"/>
        </w:rPr>
        <w:t>发包人：  (公章)                      承包人：  (公章)</w:t>
      </w:r>
    </w:p>
    <w:p>
      <w:pPr>
        <w:spacing w:line="360" w:lineRule="auto"/>
        <w:rPr>
          <w:rFonts w:ascii="宋体" w:hAnsi="宋体" w:cs="宋体"/>
          <w:szCs w:val="21"/>
          <w:u w:val="single"/>
        </w:rPr>
      </w:pPr>
    </w:p>
    <w:p>
      <w:pPr>
        <w:spacing w:line="360" w:lineRule="auto"/>
        <w:rPr>
          <w:rFonts w:ascii="宋体" w:hAnsi="宋体" w:cs="宋体"/>
          <w:szCs w:val="21"/>
        </w:rPr>
      </w:pPr>
      <w:r>
        <w:rPr>
          <w:rFonts w:hint="eastAsia" w:ascii="宋体" w:hAnsi="宋体" w:cs="宋体"/>
          <w:szCs w:val="21"/>
        </w:rPr>
        <w:t>法定代表人或其委托代理人：            法定代表人或其委托代理人：</w:t>
      </w:r>
    </w:p>
    <w:p>
      <w:pPr>
        <w:spacing w:line="360" w:lineRule="auto"/>
        <w:rPr>
          <w:rFonts w:ascii="宋体" w:hAnsi="宋体" w:cs="宋体"/>
          <w:szCs w:val="21"/>
          <w:u w:val="single"/>
        </w:rPr>
      </w:pPr>
      <w:r>
        <w:rPr>
          <w:rFonts w:hint="eastAsia" w:ascii="宋体" w:hAnsi="宋体" w:cs="宋体"/>
          <w:szCs w:val="21"/>
        </w:rPr>
        <w:t>（签字）                             （签字）</w:t>
      </w:r>
    </w:p>
    <w:p>
      <w:pPr>
        <w:tabs>
          <w:tab w:val="left" w:pos="4410"/>
        </w:tabs>
        <w:spacing w:line="360" w:lineRule="auto"/>
        <w:rPr>
          <w:rFonts w:ascii="宋体" w:hAnsi="宋体" w:cs="宋体"/>
          <w:szCs w:val="21"/>
        </w:rPr>
      </w:pPr>
      <w:r>
        <w:rPr>
          <w:rFonts w:hint="eastAsia" w:ascii="宋体" w:hAnsi="宋体" w:cs="宋体"/>
          <w:szCs w:val="21"/>
        </w:rPr>
        <w:t>组织机构代码：</w:t>
      </w:r>
      <w:r>
        <w:rPr>
          <w:rFonts w:hint="eastAsia" w:ascii="宋体" w:hAnsi="宋体" w:cs="宋体"/>
          <w:szCs w:val="21"/>
          <w:u w:val="single"/>
        </w:rPr>
        <w:t xml:space="preserve">       </w:t>
      </w:r>
      <w:r>
        <w:rPr>
          <w:rFonts w:hint="eastAsia" w:ascii="宋体" w:hAnsi="宋体" w:cs="宋体"/>
          <w:szCs w:val="21"/>
        </w:rPr>
        <w:t xml:space="preserve">           组织机构代码：</w:t>
      </w:r>
      <w:r>
        <w:rPr>
          <w:rFonts w:hint="eastAsia" w:ascii="宋体" w:hAnsi="宋体" w:cs="宋体"/>
          <w:szCs w:val="21"/>
          <w:u w:val="single"/>
        </w:rPr>
        <w:t>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     </w:t>
      </w:r>
    </w:p>
    <w:p>
      <w:pPr>
        <w:spacing w:line="360" w:lineRule="auto"/>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w:t>
      </w:r>
    </w:p>
    <w:p>
      <w:pPr>
        <w:spacing w:line="360" w:lineRule="auto"/>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      </w:t>
      </w:r>
      <w:r>
        <w:rPr>
          <w:rFonts w:hint="eastAsia" w:ascii="宋体" w:hAnsi="宋体" w:cs="宋体"/>
          <w:szCs w:val="21"/>
        </w:rPr>
        <w:t xml:space="preserve">           法定代表人：</w:t>
      </w:r>
      <w:r>
        <w:rPr>
          <w:rFonts w:hint="eastAsia" w:ascii="宋体" w:hAnsi="宋体" w:cs="宋体"/>
          <w:szCs w:val="21"/>
          <w:u w:val="single"/>
        </w:rPr>
        <w:t>            </w:t>
      </w:r>
    </w:p>
    <w:p>
      <w:pPr>
        <w:spacing w:line="360" w:lineRule="auto"/>
        <w:rPr>
          <w:rFonts w:ascii="宋体" w:hAnsi="宋体" w:cs="宋体"/>
          <w:szCs w:val="21"/>
        </w:rPr>
      </w:pPr>
      <w:r>
        <w:rPr>
          <w:rFonts w:hint="eastAsia" w:ascii="宋体" w:hAnsi="宋体" w:cs="宋体"/>
          <w:szCs w:val="21"/>
        </w:rPr>
        <w:t>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w:t>
      </w:r>
    </w:p>
    <w:p>
      <w:pPr>
        <w:spacing w:line="360" w:lineRule="auto"/>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w:t>
      </w:r>
    </w:p>
    <w:p>
      <w:pPr>
        <w:spacing w:line="360" w:lineRule="auto"/>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w:t>
      </w:r>
    </w:p>
    <w:p>
      <w:pPr>
        <w:spacing w:line="360" w:lineRule="auto"/>
        <w:rPr>
          <w:rFonts w:ascii="宋体" w:hAnsi="宋体" w:cs="宋体"/>
          <w:szCs w:val="21"/>
        </w:rPr>
      </w:pPr>
      <w:r>
        <w:rPr>
          <w:rFonts w:hint="eastAsia" w:ascii="宋体" w:hAnsi="宋体" w:cs="宋体"/>
          <w:szCs w:val="21"/>
        </w:rPr>
        <w:t>电子信箱：</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电子信箱：</w:t>
      </w:r>
      <w:r>
        <w:rPr>
          <w:rFonts w:hint="eastAsia" w:ascii="宋体" w:hAnsi="宋体" w:cs="宋体"/>
          <w:szCs w:val="21"/>
          <w:u w:val="single"/>
        </w:rPr>
        <w:t>  </w:t>
      </w:r>
    </w:p>
    <w:p>
      <w:pPr>
        <w:spacing w:line="360" w:lineRule="auto"/>
        <w:rPr>
          <w:rFonts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w:t>
      </w:r>
    </w:p>
    <w:p>
      <w:pPr>
        <w:spacing w:line="360" w:lineRule="auto"/>
        <w:rPr>
          <w:rFonts w:ascii="宋体" w:hAnsi="宋体" w:cs="宋体"/>
          <w:szCs w:val="21"/>
          <w:u w:val="single"/>
        </w:rPr>
      </w:pPr>
      <w:r>
        <w:rPr>
          <w:rFonts w:hint="eastAsia" w:ascii="宋体" w:hAnsi="宋体" w:cs="宋体"/>
          <w:szCs w:val="21"/>
        </w:rPr>
        <w:t>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w:t>
      </w:r>
    </w:p>
    <w:p>
      <w:pPr>
        <w:pStyle w:val="8"/>
        <w:jc w:val="center"/>
        <w:rPr>
          <w:rFonts w:ascii="宋体" w:hAnsi="宋体" w:cs="宋体"/>
          <w:szCs w:val="32"/>
        </w:rPr>
      </w:pPr>
      <w:bookmarkStart w:id="828" w:name="_Toc1151"/>
      <w:bookmarkStart w:id="829" w:name="_Toc8835"/>
      <w:r>
        <w:rPr>
          <w:rFonts w:hint="eastAsia" w:ascii="宋体" w:hAnsi="宋体" w:cs="宋体"/>
          <w:szCs w:val="32"/>
        </w:rPr>
        <w:t>第二部分 通用合同条款</w:t>
      </w:r>
      <w:bookmarkEnd w:id="828"/>
      <w:bookmarkEnd w:id="829"/>
      <w:bookmarkStart w:id="830" w:name="_Toc337558727"/>
    </w:p>
    <w:p>
      <w:pPr>
        <w:pStyle w:val="8"/>
        <w:jc w:val="center"/>
        <w:rPr>
          <w:rFonts w:ascii="宋体" w:hAnsi="宋体" w:cs="宋体"/>
          <w:sz w:val="30"/>
          <w:szCs w:val="30"/>
        </w:rPr>
      </w:pPr>
      <w:r>
        <w:rPr>
          <w:rFonts w:hint="eastAsia"/>
          <w:sz w:val="30"/>
          <w:szCs w:val="30"/>
        </w:rPr>
        <w:t>详见</w:t>
      </w:r>
      <w:r>
        <w:rPr>
          <w:rFonts w:hint="eastAsia" w:ascii="宋体" w:hAnsi="宋体"/>
          <w:kern w:val="0"/>
          <w:sz w:val="30"/>
          <w:szCs w:val="30"/>
        </w:rPr>
        <w:t>住房和城乡建设部、国家工商行政管理总局发布的</w:t>
      </w:r>
      <w:bookmarkStart w:id="831" w:name="_Toc31043"/>
      <w:r>
        <w:rPr>
          <w:rFonts w:hint="eastAsia" w:ascii="宋体" w:hAnsi="宋体"/>
          <w:kern w:val="0"/>
          <w:sz w:val="30"/>
          <w:szCs w:val="30"/>
        </w:rPr>
        <w:t>《建设工程施工合同（示范文本）》（GF-2017-0201）通用合同条款部分</w:t>
      </w:r>
    </w:p>
    <w:bookmarkEnd w:id="830"/>
    <w:bookmarkEnd w:id="831"/>
    <w:p>
      <w:pPr>
        <w:pStyle w:val="8"/>
        <w:jc w:val="center"/>
        <w:rPr>
          <w:rFonts w:ascii="宋体" w:hAnsi="宋体" w:cs="宋体"/>
          <w:sz w:val="21"/>
          <w:szCs w:val="21"/>
        </w:rPr>
      </w:pPr>
      <w:bookmarkStart w:id="832" w:name="_Toc22924"/>
      <w:bookmarkStart w:id="833" w:name="_Toc20793"/>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pPr>
        <w:pStyle w:val="8"/>
        <w:jc w:val="center"/>
        <w:rPr>
          <w:rFonts w:ascii="宋体" w:hAnsi="宋体" w:cs="宋体"/>
          <w:sz w:val="21"/>
          <w:szCs w:val="21"/>
        </w:rPr>
      </w:pPr>
    </w:p>
    <w:p/>
    <w:bookmarkEnd w:id="832"/>
    <w:bookmarkEnd w:id="833"/>
    <w:p>
      <w:pPr>
        <w:pStyle w:val="8"/>
        <w:ind w:firstLine="422" w:firstLineChars="200"/>
        <w:jc w:val="center"/>
        <w:rPr>
          <w:rFonts w:ascii="宋体" w:hAnsi="宋体"/>
          <w:sz w:val="21"/>
          <w:szCs w:val="21"/>
        </w:rPr>
      </w:pPr>
      <w:bookmarkStart w:id="834" w:name="_Toc25770"/>
      <w:bookmarkStart w:id="835" w:name="_Toc13129322"/>
      <w:r>
        <w:rPr>
          <w:rFonts w:hint="eastAsia" w:ascii="宋体" w:hAnsi="宋体"/>
          <w:sz w:val="21"/>
          <w:szCs w:val="21"/>
        </w:rPr>
        <w:t>第三部分 专用合同条款</w:t>
      </w:r>
      <w:bookmarkEnd w:id="834"/>
      <w:bookmarkEnd w:id="835"/>
    </w:p>
    <w:p>
      <w:pPr>
        <w:pStyle w:val="9"/>
        <w:ind w:firstLine="472" w:firstLineChars="225"/>
        <w:rPr>
          <w:rFonts w:ascii="宋体" w:hAnsi="宋体"/>
          <w:b w:val="0"/>
          <w:szCs w:val="21"/>
        </w:rPr>
      </w:pPr>
      <w:bookmarkStart w:id="836" w:name="_Toc13129323"/>
      <w:bookmarkStart w:id="837" w:name="_Toc15301"/>
      <w:bookmarkStart w:id="838" w:name="_Toc513540897"/>
      <w:bookmarkStart w:id="839" w:name="_Toc8151"/>
      <w:r>
        <w:rPr>
          <w:rFonts w:hint="eastAsia" w:ascii="宋体" w:hAnsi="宋体"/>
          <w:b w:val="0"/>
          <w:szCs w:val="21"/>
        </w:rPr>
        <w:t>1. 一般约定</w:t>
      </w:r>
      <w:bookmarkEnd w:id="836"/>
      <w:bookmarkEnd w:id="837"/>
      <w:bookmarkEnd w:id="838"/>
      <w:bookmarkEnd w:id="839"/>
    </w:p>
    <w:p>
      <w:pPr>
        <w:spacing w:line="360" w:lineRule="auto"/>
        <w:ind w:firstLine="472" w:firstLineChars="225"/>
        <w:rPr>
          <w:rFonts w:ascii="宋体" w:hAnsi="宋体"/>
          <w:szCs w:val="21"/>
        </w:rPr>
      </w:pPr>
      <w:r>
        <w:rPr>
          <w:rFonts w:hint="eastAsia" w:ascii="宋体" w:hAnsi="宋体"/>
          <w:szCs w:val="21"/>
        </w:rPr>
        <w:t>1.1 词语定义</w:t>
      </w:r>
    </w:p>
    <w:p>
      <w:pPr>
        <w:spacing w:line="360" w:lineRule="auto"/>
        <w:ind w:firstLine="472" w:firstLineChars="225"/>
        <w:rPr>
          <w:rFonts w:ascii="宋体" w:hAnsi="宋体"/>
          <w:szCs w:val="21"/>
        </w:rPr>
      </w:pPr>
      <w:r>
        <w:rPr>
          <w:rFonts w:hint="eastAsia" w:ascii="宋体" w:hAnsi="宋体"/>
          <w:szCs w:val="21"/>
        </w:rPr>
        <w:t>1.1.1合同</w:t>
      </w:r>
    </w:p>
    <w:p>
      <w:pPr>
        <w:spacing w:line="360" w:lineRule="auto"/>
        <w:ind w:firstLine="472" w:firstLineChars="225"/>
        <w:rPr>
          <w:rFonts w:ascii="宋体" w:hAnsi="宋体"/>
          <w:szCs w:val="21"/>
        </w:rPr>
      </w:pPr>
      <w:r>
        <w:rPr>
          <w:rFonts w:hint="eastAsia" w:ascii="宋体" w:hAnsi="宋体"/>
          <w:szCs w:val="21"/>
        </w:rPr>
        <w:t>1.1.1.10其他合同文件包括：</w:t>
      </w:r>
      <w:r>
        <w:rPr>
          <w:rFonts w:hint="eastAsia" w:ascii="宋体" w:hAnsi="宋体"/>
          <w:szCs w:val="21"/>
          <w:u w:val="single"/>
        </w:rPr>
        <w:t xml:space="preserve">该项合同文件所作出的补充和修改      </w:t>
      </w:r>
    </w:p>
    <w:p>
      <w:pPr>
        <w:spacing w:line="360" w:lineRule="auto"/>
        <w:ind w:firstLine="472" w:firstLineChars="225"/>
        <w:rPr>
          <w:rFonts w:ascii="宋体" w:hAnsi="宋体"/>
          <w:szCs w:val="21"/>
        </w:rPr>
      </w:pPr>
      <w:r>
        <w:rPr>
          <w:rFonts w:hint="eastAsia" w:ascii="宋体" w:hAnsi="宋体"/>
          <w:szCs w:val="21"/>
        </w:rPr>
        <w:t>1.1.2 合同当事人及其他相关方</w:t>
      </w:r>
    </w:p>
    <w:p>
      <w:pPr>
        <w:spacing w:line="360" w:lineRule="auto"/>
        <w:ind w:firstLine="472" w:firstLineChars="225"/>
        <w:rPr>
          <w:rFonts w:ascii="宋体" w:hAnsi="宋体"/>
          <w:szCs w:val="21"/>
        </w:rPr>
      </w:pPr>
      <w:r>
        <w:rPr>
          <w:rFonts w:hint="eastAsia" w:ascii="宋体" w:hAnsi="宋体"/>
          <w:szCs w:val="21"/>
        </w:rPr>
        <w:t>1.1.2.4监理人：</w:t>
      </w:r>
    </w:p>
    <w:p>
      <w:pPr>
        <w:spacing w:line="360" w:lineRule="auto"/>
        <w:ind w:firstLine="472" w:firstLineChars="225"/>
        <w:rPr>
          <w:rFonts w:ascii="宋体" w:hAnsi="宋体"/>
          <w:szCs w:val="21"/>
        </w:rPr>
      </w:pPr>
      <w:r>
        <w:rPr>
          <w:rFonts w:hint="eastAsia" w:ascii="宋体" w:hAnsi="宋体"/>
          <w:szCs w:val="21"/>
        </w:rPr>
        <w:t>名    称：</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资质类别和等级：</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联系电话：</w:t>
      </w:r>
      <w:r>
        <w:rPr>
          <w:rFonts w:hint="eastAsia" w:ascii="宋体" w:hAnsi="宋体"/>
          <w:szCs w:val="21"/>
          <w:u w:val="single"/>
        </w:rPr>
        <w:t xml:space="preserve">                </w:t>
      </w:r>
    </w:p>
    <w:p>
      <w:pPr>
        <w:spacing w:line="360" w:lineRule="auto"/>
        <w:ind w:firstLine="472" w:firstLineChars="225"/>
        <w:rPr>
          <w:rFonts w:ascii="宋体" w:hAnsi="宋体"/>
          <w:szCs w:val="21"/>
        </w:rPr>
      </w:pPr>
      <w:r>
        <w:rPr>
          <w:rFonts w:hint="eastAsia" w:ascii="宋体" w:hAnsi="宋体"/>
          <w:szCs w:val="21"/>
        </w:rPr>
        <w:t>电子信箱：</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通信地址：</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1.1.2.5 设计人：</w:t>
      </w:r>
    </w:p>
    <w:p>
      <w:pPr>
        <w:spacing w:line="360" w:lineRule="auto"/>
        <w:ind w:firstLine="472" w:firstLineChars="225"/>
        <w:rPr>
          <w:rFonts w:ascii="宋体" w:hAnsi="宋体"/>
          <w:szCs w:val="21"/>
        </w:rPr>
      </w:pPr>
      <w:r>
        <w:rPr>
          <w:rFonts w:hint="eastAsia" w:ascii="宋体" w:hAnsi="宋体"/>
          <w:szCs w:val="21"/>
        </w:rPr>
        <w:t>名    称：</w:t>
      </w:r>
      <w:r>
        <w:rPr>
          <w:rFonts w:hint="eastAsia" w:ascii="宋体" w:hAnsi="宋体"/>
          <w:szCs w:val="21"/>
          <w:u w:val="single"/>
        </w:rPr>
        <w:t xml:space="preserve">                 </w:t>
      </w:r>
    </w:p>
    <w:p>
      <w:pPr>
        <w:spacing w:line="360" w:lineRule="auto"/>
        <w:ind w:firstLine="472" w:firstLineChars="225"/>
        <w:rPr>
          <w:rFonts w:ascii="宋体" w:hAnsi="宋体"/>
          <w:szCs w:val="21"/>
          <w:u w:val="single"/>
        </w:rPr>
      </w:pPr>
      <w:r>
        <w:rPr>
          <w:rFonts w:hint="eastAsia" w:ascii="宋体" w:hAnsi="宋体"/>
          <w:szCs w:val="21"/>
        </w:rPr>
        <w:t>资质类别和等级：</w:t>
      </w:r>
      <w:r>
        <w:rPr>
          <w:rFonts w:hint="eastAsia" w:ascii="宋体" w:hAnsi="宋体"/>
          <w:szCs w:val="21"/>
          <w:u w:val="single"/>
        </w:rPr>
        <w:t>             </w:t>
      </w:r>
    </w:p>
    <w:p>
      <w:pPr>
        <w:spacing w:line="360" w:lineRule="auto"/>
        <w:ind w:firstLine="472" w:firstLineChars="225"/>
        <w:rPr>
          <w:rFonts w:ascii="宋体" w:hAnsi="宋体"/>
          <w:szCs w:val="21"/>
        </w:rPr>
      </w:pPr>
      <w:r>
        <w:rPr>
          <w:rFonts w:hint="eastAsia" w:ascii="宋体" w:hAnsi="宋体"/>
          <w:szCs w:val="21"/>
        </w:rPr>
        <w:t>联系电话：</w:t>
      </w:r>
      <w:r>
        <w:rPr>
          <w:rFonts w:hint="eastAsia" w:ascii="宋体" w:hAnsi="宋体"/>
          <w:szCs w:val="21"/>
          <w:u w:val="single"/>
        </w:rPr>
        <w:t>                 </w:t>
      </w:r>
    </w:p>
    <w:p>
      <w:pPr>
        <w:spacing w:line="360" w:lineRule="auto"/>
        <w:ind w:firstLine="472" w:firstLineChars="225"/>
        <w:rPr>
          <w:rFonts w:ascii="宋体" w:hAnsi="宋体"/>
          <w:szCs w:val="21"/>
        </w:rPr>
      </w:pPr>
      <w:r>
        <w:rPr>
          <w:rFonts w:hint="eastAsia" w:ascii="宋体" w:hAnsi="宋体"/>
          <w:szCs w:val="21"/>
        </w:rPr>
        <w:t>电子信箱：</w:t>
      </w:r>
      <w:r>
        <w:rPr>
          <w:rFonts w:hint="eastAsia" w:ascii="宋体" w:hAnsi="宋体"/>
          <w:szCs w:val="21"/>
          <w:u w:val="single"/>
        </w:rPr>
        <w:t xml:space="preserve">                 </w:t>
      </w:r>
    </w:p>
    <w:p>
      <w:pPr>
        <w:spacing w:line="360" w:lineRule="auto"/>
        <w:ind w:firstLine="472" w:firstLineChars="225"/>
        <w:rPr>
          <w:rFonts w:ascii="宋体" w:hAnsi="宋体"/>
          <w:szCs w:val="21"/>
        </w:rPr>
      </w:pPr>
      <w:r>
        <w:rPr>
          <w:rFonts w:hint="eastAsia" w:ascii="宋体" w:hAnsi="宋体"/>
          <w:szCs w:val="21"/>
        </w:rPr>
        <w:t>通信地址：</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1.1.3 工程和设备</w:t>
      </w:r>
    </w:p>
    <w:p>
      <w:pPr>
        <w:spacing w:line="360" w:lineRule="auto"/>
        <w:ind w:firstLine="472" w:firstLineChars="225"/>
        <w:rPr>
          <w:rFonts w:ascii="宋体" w:hAnsi="宋体"/>
          <w:szCs w:val="21"/>
          <w:u w:val="single"/>
        </w:rPr>
      </w:pPr>
      <w:r>
        <w:rPr>
          <w:rFonts w:hint="eastAsia" w:ascii="宋体" w:hAnsi="宋体"/>
          <w:szCs w:val="21"/>
        </w:rPr>
        <w:t>1.1.3.7 作为施工现场组成部分的其他场所包括：</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1.1.3.9 永久占地包括：</w:t>
      </w:r>
      <w:r>
        <w:rPr>
          <w:rFonts w:hint="eastAsia" w:ascii="宋体" w:hAnsi="宋体"/>
          <w:szCs w:val="21"/>
          <w:u w:val="single"/>
        </w:rPr>
        <w:t xml:space="preserve">            /                       </w:t>
      </w:r>
    </w:p>
    <w:p>
      <w:pPr>
        <w:spacing w:line="360" w:lineRule="auto"/>
        <w:ind w:firstLine="472" w:firstLineChars="225"/>
        <w:rPr>
          <w:rFonts w:ascii="宋体" w:hAnsi="宋体"/>
          <w:szCs w:val="21"/>
        </w:rPr>
      </w:pPr>
      <w:r>
        <w:rPr>
          <w:rFonts w:hint="eastAsia" w:ascii="宋体" w:hAnsi="宋体"/>
          <w:szCs w:val="21"/>
        </w:rPr>
        <w:t>1.1.3.10 临时占地包括：</w:t>
      </w:r>
      <w:r>
        <w:rPr>
          <w:rFonts w:hint="eastAsia" w:ascii="宋体" w:hAnsi="宋体"/>
          <w:szCs w:val="21"/>
          <w:u w:val="single"/>
        </w:rPr>
        <w:t xml:space="preserve">  临时设施、配料加工场地、临时道路等       </w:t>
      </w:r>
    </w:p>
    <w:p>
      <w:pPr>
        <w:spacing w:line="360" w:lineRule="auto"/>
        <w:ind w:firstLine="472" w:firstLineChars="225"/>
        <w:rPr>
          <w:rFonts w:ascii="宋体" w:hAnsi="宋体"/>
          <w:szCs w:val="21"/>
        </w:rPr>
      </w:pPr>
      <w:r>
        <w:rPr>
          <w:rFonts w:hint="eastAsia" w:ascii="宋体" w:hAnsi="宋体"/>
          <w:szCs w:val="21"/>
        </w:rPr>
        <w:t xml:space="preserve">1.3法律 </w:t>
      </w:r>
    </w:p>
    <w:p>
      <w:pPr>
        <w:autoSpaceDE w:val="0"/>
        <w:autoSpaceDN w:val="0"/>
        <w:adjustRightInd w:val="0"/>
        <w:spacing w:line="360" w:lineRule="auto"/>
        <w:ind w:firstLine="472" w:firstLineChars="225"/>
        <w:jc w:val="left"/>
        <w:rPr>
          <w:rFonts w:ascii="宋体" w:hAnsi="宋体"/>
          <w:szCs w:val="21"/>
          <w:u w:val="single"/>
        </w:rPr>
      </w:pPr>
      <w:r>
        <w:rPr>
          <w:rFonts w:hint="eastAsia" w:ascii="宋体" w:hAnsi="宋体"/>
          <w:szCs w:val="21"/>
        </w:rPr>
        <w:t>适用于合同的其他规范性文件：</w:t>
      </w:r>
      <w:r>
        <w:rPr>
          <w:rFonts w:hint="eastAsia" w:ascii="宋体" w:hAnsi="宋体"/>
          <w:szCs w:val="21"/>
          <w:u w:val="single"/>
        </w:rPr>
        <w:t xml:space="preserve">现行的国家、地方及行业标准规范。 </w:t>
      </w:r>
    </w:p>
    <w:p>
      <w:pPr>
        <w:spacing w:line="360" w:lineRule="auto"/>
        <w:ind w:firstLine="472" w:firstLineChars="225"/>
        <w:rPr>
          <w:rFonts w:ascii="宋体" w:hAnsi="宋体"/>
          <w:szCs w:val="21"/>
        </w:rPr>
      </w:pPr>
      <w:r>
        <w:rPr>
          <w:rFonts w:hint="eastAsia" w:ascii="宋体" w:hAnsi="宋体"/>
          <w:szCs w:val="21"/>
        </w:rPr>
        <w:t>1.4 标准和规范</w:t>
      </w:r>
    </w:p>
    <w:p>
      <w:pPr>
        <w:spacing w:line="360" w:lineRule="auto"/>
        <w:ind w:firstLine="472" w:firstLineChars="225"/>
        <w:rPr>
          <w:rFonts w:ascii="宋体" w:hAnsi="宋体"/>
          <w:szCs w:val="21"/>
        </w:rPr>
      </w:pPr>
      <w:r>
        <w:rPr>
          <w:rFonts w:hint="eastAsia" w:ascii="宋体" w:hAnsi="宋体"/>
          <w:szCs w:val="21"/>
        </w:rPr>
        <w:t>1.4.1适用于工程的标准规范包括：</w:t>
      </w:r>
      <w:r>
        <w:rPr>
          <w:rFonts w:hint="eastAsia" w:ascii="宋体" w:hAnsi="宋体"/>
          <w:szCs w:val="21"/>
          <w:u w:val="single"/>
        </w:rPr>
        <w:t></w:t>
      </w:r>
      <w:r>
        <w:rPr>
          <w:rFonts w:hint="eastAsia" w:ascii="宋体" w:hAnsi="宋体" w:cs="仿宋_GB2312"/>
          <w:szCs w:val="21"/>
          <w:u w:val="single"/>
        </w:rPr>
        <w:t>国家、地方及行业现行的标准和规范</w:t>
      </w:r>
    </w:p>
    <w:p>
      <w:pPr>
        <w:spacing w:line="360" w:lineRule="auto"/>
        <w:ind w:firstLine="472" w:firstLineChars="225"/>
        <w:rPr>
          <w:rFonts w:ascii="宋体" w:hAnsi="宋体"/>
          <w:kern w:val="0"/>
          <w:szCs w:val="21"/>
          <w:u w:val="single"/>
        </w:rPr>
      </w:pPr>
      <w:r>
        <w:rPr>
          <w:rFonts w:hint="eastAsia" w:ascii="宋体" w:hAnsi="宋体"/>
          <w:kern w:val="0"/>
          <w:szCs w:val="21"/>
        </w:rPr>
        <w:t>1.4.2 发包人提供国外标准、规范的名称：</w:t>
      </w:r>
      <w:r>
        <w:rPr>
          <w:rFonts w:hint="eastAsia" w:ascii="宋体" w:hAnsi="宋体"/>
          <w:kern w:val="0"/>
          <w:szCs w:val="21"/>
          <w:u w:val="single"/>
        </w:rPr>
        <w:t xml:space="preserve">     /                     </w:t>
      </w:r>
    </w:p>
    <w:p>
      <w:pPr>
        <w:spacing w:line="360" w:lineRule="auto"/>
        <w:ind w:firstLine="472" w:firstLineChars="225"/>
        <w:rPr>
          <w:rFonts w:ascii="宋体" w:hAnsi="宋体"/>
          <w:kern w:val="0"/>
          <w:szCs w:val="21"/>
        </w:rPr>
      </w:pPr>
      <w:r>
        <w:rPr>
          <w:rFonts w:hint="eastAsia" w:ascii="宋体" w:hAnsi="宋体"/>
          <w:kern w:val="0"/>
          <w:szCs w:val="21"/>
        </w:rPr>
        <w:t>发包人提供国外标准、规范的份数：</w:t>
      </w:r>
      <w:r>
        <w:rPr>
          <w:rFonts w:hint="eastAsia" w:ascii="宋体" w:hAnsi="宋体"/>
          <w:kern w:val="0"/>
          <w:szCs w:val="21"/>
          <w:u w:val="single"/>
        </w:rPr>
        <w:t xml:space="preserve">         /                        </w:t>
      </w:r>
    </w:p>
    <w:p>
      <w:pPr>
        <w:spacing w:line="360" w:lineRule="auto"/>
        <w:ind w:firstLine="472" w:firstLineChars="225"/>
        <w:rPr>
          <w:rFonts w:ascii="宋体" w:hAnsi="宋体"/>
          <w:szCs w:val="21"/>
        </w:rPr>
      </w:pPr>
      <w:r>
        <w:rPr>
          <w:rFonts w:hint="eastAsia" w:ascii="宋体" w:hAnsi="宋体"/>
          <w:kern w:val="0"/>
          <w:szCs w:val="21"/>
        </w:rPr>
        <w:t>发包人提供国外标准、规范的名称：</w:t>
      </w:r>
      <w:r>
        <w:rPr>
          <w:rFonts w:hint="eastAsia" w:ascii="宋体" w:hAnsi="宋体"/>
          <w:kern w:val="0"/>
          <w:szCs w:val="21"/>
          <w:u w:val="single"/>
        </w:rPr>
        <w:t xml:space="preserve">         /                       </w:t>
      </w:r>
    </w:p>
    <w:p>
      <w:pPr>
        <w:spacing w:line="360" w:lineRule="auto"/>
        <w:ind w:firstLine="472" w:firstLineChars="225"/>
        <w:rPr>
          <w:rFonts w:ascii="宋体" w:hAnsi="宋体"/>
          <w:szCs w:val="21"/>
          <w:u w:val="single"/>
        </w:rPr>
      </w:pPr>
      <w:r>
        <w:rPr>
          <w:rFonts w:hint="eastAsia" w:ascii="宋体" w:hAnsi="宋体"/>
          <w:szCs w:val="21"/>
        </w:rPr>
        <w:t>1.4.3发包人对工程的技术标准和功能要求的特殊要求：</w:t>
      </w:r>
    </w:p>
    <w:p>
      <w:pPr>
        <w:spacing w:line="360" w:lineRule="auto"/>
        <w:ind w:firstLine="472" w:firstLineChars="225"/>
        <w:rPr>
          <w:rFonts w:ascii="宋体" w:hAnsi="宋体"/>
          <w:szCs w:val="21"/>
        </w:rPr>
      </w:pPr>
      <w:r>
        <w:rPr>
          <w:rFonts w:hint="eastAsia" w:ascii="宋体" w:hAnsi="宋体"/>
          <w:szCs w:val="21"/>
        </w:rPr>
        <w:t>1.5 合同文件的优先顺序</w:t>
      </w:r>
    </w:p>
    <w:p>
      <w:pPr>
        <w:spacing w:line="360" w:lineRule="auto"/>
        <w:ind w:firstLine="472" w:firstLineChars="225"/>
        <w:rPr>
          <w:rFonts w:ascii="宋体" w:hAnsi="宋体"/>
          <w:szCs w:val="21"/>
        </w:rPr>
      </w:pPr>
      <w:r>
        <w:rPr>
          <w:rFonts w:hint="eastAsia" w:ascii="宋体" w:hAnsi="宋体"/>
          <w:szCs w:val="21"/>
        </w:rPr>
        <w:t>合同文件组成及优先顺序为：</w:t>
      </w:r>
      <w:r>
        <w:rPr>
          <w:rFonts w:hint="eastAsia" w:ascii="宋体" w:hAnsi="宋体"/>
          <w:szCs w:val="21"/>
          <w:u w:val="single"/>
        </w:rPr>
        <w:t>执行通用条款第1.5款  </w:t>
      </w:r>
    </w:p>
    <w:p>
      <w:pPr>
        <w:spacing w:line="360" w:lineRule="auto"/>
        <w:ind w:firstLine="472" w:firstLineChars="225"/>
        <w:rPr>
          <w:rFonts w:ascii="宋体" w:hAnsi="宋体"/>
          <w:szCs w:val="21"/>
        </w:rPr>
      </w:pPr>
      <w:r>
        <w:rPr>
          <w:rFonts w:hint="eastAsia" w:ascii="宋体" w:hAnsi="宋体"/>
          <w:szCs w:val="21"/>
        </w:rPr>
        <w:t>1.6 图纸和承包人文件</w:t>
      </w:r>
      <w:r>
        <w:rPr>
          <w:rFonts w:hint="eastAsia" w:ascii="宋体" w:hAnsi="宋体"/>
          <w:szCs w:val="21"/>
        </w:rPr>
        <w:tab/>
      </w:r>
    </w:p>
    <w:p>
      <w:pPr>
        <w:spacing w:line="360" w:lineRule="auto"/>
        <w:ind w:firstLine="472" w:firstLineChars="225"/>
        <w:rPr>
          <w:rFonts w:ascii="宋体" w:hAnsi="宋体"/>
          <w:szCs w:val="21"/>
        </w:rPr>
      </w:pPr>
      <w:r>
        <w:rPr>
          <w:rFonts w:hint="eastAsia" w:ascii="宋体" w:hAnsi="宋体"/>
          <w:szCs w:val="21"/>
        </w:rPr>
        <w:t>1.6.1 图纸的提供</w:t>
      </w:r>
    </w:p>
    <w:p>
      <w:pPr>
        <w:spacing w:line="360" w:lineRule="auto"/>
        <w:ind w:firstLine="472" w:firstLineChars="225"/>
        <w:rPr>
          <w:rFonts w:ascii="宋体" w:hAnsi="宋体"/>
          <w:szCs w:val="21"/>
        </w:rPr>
      </w:pPr>
      <w:r>
        <w:rPr>
          <w:rFonts w:hint="eastAsia" w:ascii="宋体" w:hAnsi="宋体"/>
          <w:szCs w:val="21"/>
        </w:rPr>
        <w:t>发包人向承包人提供图纸的期限：</w:t>
      </w:r>
      <w:r>
        <w:rPr>
          <w:rFonts w:hint="eastAsia" w:ascii="宋体" w:hAnsi="宋体"/>
          <w:szCs w:val="21"/>
          <w:u w:val="single"/>
        </w:rPr>
        <w:t>开工7天前                 </w:t>
      </w:r>
    </w:p>
    <w:p>
      <w:pPr>
        <w:spacing w:line="360" w:lineRule="auto"/>
        <w:ind w:firstLine="472" w:firstLineChars="225"/>
        <w:rPr>
          <w:rFonts w:ascii="宋体" w:hAnsi="宋体"/>
          <w:szCs w:val="21"/>
        </w:rPr>
      </w:pPr>
      <w:r>
        <w:rPr>
          <w:rFonts w:hint="eastAsia" w:ascii="宋体" w:hAnsi="宋体"/>
          <w:szCs w:val="21"/>
        </w:rPr>
        <w:t>发包人向承包人提供图纸的数量：</w:t>
      </w:r>
      <w:r>
        <w:rPr>
          <w:rFonts w:hint="eastAsia" w:ascii="宋体" w:hAnsi="宋体"/>
          <w:szCs w:val="21"/>
          <w:u w:val="single"/>
        </w:rPr>
        <w:t> 1套                   </w:t>
      </w:r>
    </w:p>
    <w:p>
      <w:pPr>
        <w:spacing w:line="360" w:lineRule="auto"/>
        <w:ind w:firstLine="472" w:firstLineChars="225"/>
        <w:rPr>
          <w:rFonts w:ascii="宋体" w:hAnsi="宋体"/>
          <w:szCs w:val="21"/>
        </w:rPr>
      </w:pPr>
      <w:r>
        <w:rPr>
          <w:rFonts w:hint="eastAsia" w:ascii="宋体" w:hAnsi="宋体"/>
          <w:szCs w:val="21"/>
        </w:rPr>
        <w:t>发包人向承包人提供图纸的内容：</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1.6.4 承包人文件</w:t>
      </w:r>
    </w:p>
    <w:p>
      <w:pPr>
        <w:spacing w:line="360" w:lineRule="auto"/>
        <w:ind w:firstLine="472" w:firstLineChars="225"/>
        <w:jc w:val="left"/>
        <w:rPr>
          <w:rFonts w:ascii="宋体" w:hAnsi="宋体"/>
          <w:szCs w:val="21"/>
          <w:u w:val="single"/>
        </w:rPr>
      </w:pPr>
      <w:r>
        <w:rPr>
          <w:rFonts w:hint="eastAsia" w:ascii="宋体" w:hAnsi="宋体"/>
          <w:szCs w:val="21"/>
        </w:rPr>
        <w:t>需要由承包人提供的文件，包括：</w:t>
      </w:r>
      <w:r>
        <w:rPr>
          <w:rFonts w:hint="eastAsia" w:ascii="宋体" w:hAnsi="宋体"/>
          <w:szCs w:val="21"/>
          <w:u w:val="single"/>
        </w:rPr>
        <w:t xml:space="preserve">施工组织设计、施工进度计划等     </w:t>
      </w:r>
    </w:p>
    <w:p>
      <w:pPr>
        <w:spacing w:line="360" w:lineRule="auto"/>
        <w:ind w:firstLine="472" w:firstLineChars="225"/>
        <w:rPr>
          <w:rFonts w:ascii="宋体" w:hAnsi="宋体"/>
          <w:szCs w:val="21"/>
        </w:rPr>
      </w:pPr>
      <w:r>
        <w:rPr>
          <w:rFonts w:hint="eastAsia" w:ascii="宋体" w:hAnsi="宋体"/>
          <w:szCs w:val="21"/>
        </w:rPr>
        <w:t>承包人提供的文件的期限为：</w:t>
      </w:r>
      <w:r>
        <w:rPr>
          <w:rFonts w:hint="eastAsia" w:ascii="宋体" w:hAnsi="宋体"/>
          <w:szCs w:val="21"/>
          <w:u w:val="single"/>
        </w:rPr>
        <w:t>开工7天前                   </w:t>
      </w:r>
    </w:p>
    <w:p>
      <w:pPr>
        <w:spacing w:line="360" w:lineRule="auto"/>
        <w:ind w:firstLine="472" w:firstLineChars="225"/>
        <w:rPr>
          <w:rFonts w:ascii="宋体" w:hAnsi="宋体"/>
          <w:szCs w:val="21"/>
        </w:rPr>
      </w:pPr>
      <w:r>
        <w:rPr>
          <w:rFonts w:hint="eastAsia" w:ascii="宋体" w:hAnsi="宋体"/>
          <w:szCs w:val="21"/>
        </w:rPr>
        <w:t>承包人提供的文件的数量为：</w:t>
      </w:r>
      <w:r>
        <w:rPr>
          <w:rFonts w:hint="eastAsia" w:ascii="宋体" w:hAnsi="宋体"/>
          <w:szCs w:val="21"/>
          <w:u w:val="single"/>
        </w:rPr>
        <w:t>                     </w:t>
      </w:r>
    </w:p>
    <w:p>
      <w:pPr>
        <w:spacing w:line="360" w:lineRule="auto"/>
        <w:ind w:firstLine="472" w:firstLineChars="225"/>
        <w:rPr>
          <w:rFonts w:ascii="宋体" w:hAnsi="宋体"/>
          <w:szCs w:val="21"/>
        </w:rPr>
      </w:pPr>
      <w:r>
        <w:rPr>
          <w:rFonts w:hint="eastAsia" w:ascii="宋体" w:hAnsi="宋体"/>
          <w:szCs w:val="21"/>
        </w:rPr>
        <w:t>承包人提供的文件的形式为：</w:t>
      </w:r>
      <w:r>
        <w:rPr>
          <w:rFonts w:hint="eastAsia" w:ascii="宋体" w:hAnsi="宋体"/>
          <w:szCs w:val="21"/>
          <w:u w:val="single"/>
        </w:rPr>
        <w:t> 纸质版                </w:t>
      </w:r>
    </w:p>
    <w:p>
      <w:pPr>
        <w:spacing w:line="360" w:lineRule="auto"/>
        <w:ind w:firstLine="472" w:firstLineChars="225"/>
        <w:rPr>
          <w:rFonts w:ascii="宋体" w:hAnsi="宋体"/>
          <w:szCs w:val="21"/>
        </w:rPr>
      </w:pPr>
      <w:r>
        <w:rPr>
          <w:rFonts w:hint="eastAsia" w:ascii="宋体" w:hAnsi="宋体"/>
          <w:szCs w:val="21"/>
        </w:rPr>
        <w:t>发包人审查承包人文件的期限：</w:t>
      </w:r>
      <w:r>
        <w:rPr>
          <w:rFonts w:hint="eastAsia" w:ascii="宋体" w:hAnsi="宋体"/>
          <w:szCs w:val="21"/>
          <w:u w:val="single"/>
        </w:rPr>
        <w:t>                 </w:t>
      </w:r>
    </w:p>
    <w:p>
      <w:pPr>
        <w:spacing w:line="360" w:lineRule="auto"/>
        <w:ind w:firstLine="472" w:firstLineChars="225"/>
        <w:rPr>
          <w:rFonts w:ascii="宋体" w:hAnsi="宋体"/>
          <w:szCs w:val="21"/>
        </w:rPr>
      </w:pPr>
      <w:r>
        <w:rPr>
          <w:rFonts w:hint="eastAsia" w:ascii="宋体" w:hAnsi="宋体"/>
          <w:szCs w:val="21"/>
        </w:rPr>
        <w:t>1.6.5 现场图纸准备</w:t>
      </w:r>
    </w:p>
    <w:p>
      <w:pPr>
        <w:spacing w:line="360" w:lineRule="auto"/>
        <w:ind w:firstLine="472" w:firstLineChars="225"/>
        <w:rPr>
          <w:rFonts w:ascii="宋体" w:hAnsi="宋体"/>
          <w:szCs w:val="21"/>
        </w:rPr>
      </w:pPr>
      <w:r>
        <w:rPr>
          <w:rFonts w:hint="eastAsia" w:ascii="宋体" w:hAnsi="宋体"/>
          <w:szCs w:val="21"/>
        </w:rPr>
        <w:t>关于现场图纸准备的约定：</w:t>
      </w:r>
      <w:r>
        <w:rPr>
          <w:rFonts w:hint="eastAsia" w:ascii="宋体" w:hAnsi="宋体"/>
          <w:szCs w:val="21"/>
          <w:u w:val="single"/>
        </w:rPr>
        <w:t xml:space="preserve">执行通用条款第1.6.5项         </w:t>
      </w:r>
    </w:p>
    <w:p>
      <w:pPr>
        <w:spacing w:line="360" w:lineRule="auto"/>
        <w:ind w:firstLine="472" w:firstLineChars="225"/>
        <w:rPr>
          <w:rFonts w:ascii="宋体" w:hAnsi="宋体"/>
          <w:szCs w:val="21"/>
        </w:rPr>
      </w:pPr>
      <w:r>
        <w:rPr>
          <w:rFonts w:hint="eastAsia" w:ascii="宋体" w:hAnsi="宋体"/>
          <w:szCs w:val="21"/>
        </w:rPr>
        <w:t>1.7 联络</w:t>
      </w:r>
    </w:p>
    <w:p>
      <w:pPr>
        <w:spacing w:line="360" w:lineRule="auto"/>
        <w:ind w:firstLine="472" w:firstLineChars="225"/>
        <w:rPr>
          <w:rFonts w:ascii="宋体" w:hAnsi="宋体"/>
          <w:kern w:val="0"/>
          <w:szCs w:val="21"/>
        </w:rPr>
      </w:pPr>
      <w:r>
        <w:rPr>
          <w:rFonts w:hint="eastAsia" w:ascii="宋体" w:hAnsi="宋体"/>
          <w:kern w:val="0"/>
          <w:szCs w:val="21"/>
        </w:rPr>
        <w:t>1.7.1发包人和承包人应当在</w:t>
      </w:r>
      <w:r>
        <w:rPr>
          <w:rFonts w:hint="eastAsia" w:ascii="宋体" w:hAnsi="宋体"/>
          <w:szCs w:val="21"/>
          <w:u w:val="single"/>
        </w:rPr>
        <w:t xml:space="preserve"> 1  </w:t>
      </w:r>
      <w:r>
        <w:rPr>
          <w:rFonts w:hint="eastAsia" w:ascii="宋体" w:hAnsi="宋体"/>
          <w:kern w:val="0"/>
          <w:szCs w:val="21"/>
        </w:rPr>
        <w:t>天内将与合同有关的通知、批准、证明、证书、指示、指令、要求、请求、同意、意见、确定和决定等书面函件送达对方当事人。</w:t>
      </w:r>
    </w:p>
    <w:p>
      <w:pPr>
        <w:spacing w:line="360" w:lineRule="auto"/>
        <w:ind w:firstLine="472" w:firstLineChars="225"/>
        <w:rPr>
          <w:rFonts w:ascii="宋体" w:hAnsi="宋体"/>
          <w:kern w:val="0"/>
          <w:szCs w:val="21"/>
        </w:rPr>
      </w:pPr>
      <w:r>
        <w:rPr>
          <w:rFonts w:hint="eastAsia" w:ascii="宋体" w:hAnsi="宋体"/>
          <w:kern w:val="0"/>
          <w:szCs w:val="21"/>
        </w:rPr>
        <w:t>1.7.2 发包人接收文件的地点：</w:t>
      </w:r>
      <w:r>
        <w:rPr>
          <w:rFonts w:hint="eastAsia" w:ascii="宋体" w:hAnsi="宋体"/>
          <w:szCs w:val="21"/>
          <w:u w:val="single"/>
        </w:rPr>
        <w:t>另行约定    </w:t>
      </w:r>
    </w:p>
    <w:p>
      <w:pPr>
        <w:spacing w:line="360" w:lineRule="auto"/>
        <w:ind w:firstLine="472" w:firstLineChars="225"/>
        <w:rPr>
          <w:rFonts w:ascii="宋体" w:hAnsi="宋体"/>
          <w:kern w:val="0"/>
          <w:szCs w:val="21"/>
        </w:rPr>
      </w:pPr>
      <w:r>
        <w:rPr>
          <w:rFonts w:hint="eastAsia" w:ascii="宋体" w:hAnsi="宋体"/>
          <w:kern w:val="0"/>
          <w:szCs w:val="21"/>
        </w:rPr>
        <w:t>发包人指定的接收人为：</w:t>
      </w:r>
      <w:r>
        <w:rPr>
          <w:rFonts w:hint="eastAsia" w:ascii="宋体" w:hAnsi="宋体"/>
          <w:szCs w:val="21"/>
          <w:u w:val="single"/>
        </w:rPr>
        <w:t>另行约定          </w:t>
      </w:r>
    </w:p>
    <w:p>
      <w:pPr>
        <w:spacing w:line="360" w:lineRule="auto"/>
        <w:ind w:firstLine="472" w:firstLineChars="225"/>
        <w:rPr>
          <w:rFonts w:ascii="宋体" w:hAnsi="宋体"/>
          <w:kern w:val="0"/>
          <w:szCs w:val="21"/>
        </w:rPr>
      </w:pPr>
      <w:r>
        <w:rPr>
          <w:rFonts w:hint="eastAsia" w:ascii="宋体" w:hAnsi="宋体"/>
          <w:kern w:val="0"/>
          <w:szCs w:val="21"/>
        </w:rPr>
        <w:t>承包人接收文件的地点：</w:t>
      </w:r>
      <w:r>
        <w:rPr>
          <w:rFonts w:hint="eastAsia" w:ascii="宋体" w:hAnsi="宋体"/>
          <w:szCs w:val="21"/>
          <w:u w:val="single"/>
        </w:rPr>
        <w:t>另行约定            </w:t>
      </w:r>
    </w:p>
    <w:p>
      <w:pPr>
        <w:spacing w:line="360" w:lineRule="auto"/>
        <w:ind w:firstLine="472" w:firstLineChars="225"/>
        <w:rPr>
          <w:rFonts w:ascii="宋体" w:hAnsi="宋体"/>
          <w:kern w:val="0"/>
          <w:szCs w:val="21"/>
        </w:rPr>
      </w:pPr>
      <w:r>
        <w:rPr>
          <w:rFonts w:hint="eastAsia" w:ascii="宋体" w:hAnsi="宋体"/>
          <w:kern w:val="0"/>
          <w:szCs w:val="21"/>
        </w:rPr>
        <w:t>承包人指定的接收人为：</w:t>
      </w:r>
      <w:r>
        <w:rPr>
          <w:rFonts w:hint="eastAsia" w:ascii="宋体" w:hAnsi="宋体"/>
          <w:szCs w:val="21"/>
          <w:u w:val="single"/>
        </w:rPr>
        <w:t xml:space="preserve">另行约定              </w:t>
      </w:r>
    </w:p>
    <w:p>
      <w:pPr>
        <w:spacing w:line="360" w:lineRule="auto"/>
        <w:ind w:firstLine="472" w:firstLineChars="225"/>
        <w:rPr>
          <w:rFonts w:ascii="宋体" w:hAnsi="宋体"/>
          <w:kern w:val="0"/>
          <w:szCs w:val="21"/>
        </w:rPr>
      </w:pPr>
      <w:r>
        <w:rPr>
          <w:rFonts w:hint="eastAsia" w:ascii="宋体" w:hAnsi="宋体"/>
          <w:kern w:val="0"/>
          <w:szCs w:val="21"/>
        </w:rPr>
        <w:t>监理人接收文件的地点：</w:t>
      </w:r>
      <w:r>
        <w:rPr>
          <w:rFonts w:hint="eastAsia" w:ascii="宋体" w:hAnsi="宋体"/>
          <w:szCs w:val="21"/>
          <w:u w:val="single"/>
        </w:rPr>
        <w:t>另行约定            </w:t>
      </w:r>
    </w:p>
    <w:p>
      <w:pPr>
        <w:spacing w:line="360" w:lineRule="auto"/>
        <w:ind w:firstLine="472" w:firstLineChars="225"/>
        <w:rPr>
          <w:rFonts w:ascii="宋体" w:hAnsi="宋体"/>
          <w:kern w:val="0"/>
          <w:szCs w:val="21"/>
        </w:rPr>
      </w:pPr>
      <w:r>
        <w:rPr>
          <w:rFonts w:hint="eastAsia" w:ascii="宋体" w:hAnsi="宋体"/>
          <w:kern w:val="0"/>
          <w:szCs w:val="21"/>
        </w:rPr>
        <w:t>监理人指定的接收人为：</w:t>
      </w:r>
      <w:r>
        <w:rPr>
          <w:rFonts w:hint="eastAsia" w:ascii="宋体" w:hAnsi="宋体"/>
          <w:szCs w:val="21"/>
          <w:u w:val="single"/>
        </w:rPr>
        <w:t>另行约定            </w:t>
      </w:r>
      <w:r>
        <w:rPr>
          <w:rFonts w:hint="eastAsia" w:ascii="宋体" w:hAnsi="宋体"/>
          <w:kern w:val="0"/>
          <w:szCs w:val="21"/>
        </w:rPr>
        <w:t>。</w:t>
      </w:r>
    </w:p>
    <w:p>
      <w:pPr>
        <w:spacing w:line="360" w:lineRule="auto"/>
        <w:ind w:firstLine="472" w:firstLineChars="225"/>
        <w:rPr>
          <w:rFonts w:ascii="宋体" w:hAnsi="宋体"/>
          <w:szCs w:val="21"/>
        </w:rPr>
      </w:pPr>
      <w:r>
        <w:rPr>
          <w:rFonts w:hint="eastAsia" w:ascii="宋体" w:hAnsi="宋体"/>
          <w:szCs w:val="21"/>
        </w:rPr>
        <w:t>1.10 交通运输</w:t>
      </w:r>
    </w:p>
    <w:p>
      <w:pPr>
        <w:spacing w:line="360" w:lineRule="auto"/>
        <w:ind w:firstLine="472" w:firstLineChars="225"/>
        <w:rPr>
          <w:rFonts w:ascii="宋体" w:hAnsi="宋体"/>
          <w:szCs w:val="21"/>
        </w:rPr>
      </w:pPr>
      <w:r>
        <w:rPr>
          <w:rFonts w:hint="eastAsia" w:ascii="宋体" w:hAnsi="宋体"/>
          <w:szCs w:val="21"/>
        </w:rPr>
        <w:t>1.10.1 出入现场的权利</w:t>
      </w:r>
    </w:p>
    <w:p>
      <w:pPr>
        <w:spacing w:line="360" w:lineRule="auto"/>
        <w:ind w:firstLine="472" w:firstLineChars="225"/>
        <w:rPr>
          <w:rFonts w:ascii="宋体" w:hAnsi="宋体"/>
          <w:szCs w:val="21"/>
          <w:u w:val="single"/>
        </w:rPr>
      </w:pPr>
      <w:r>
        <w:rPr>
          <w:rFonts w:hint="eastAsia" w:ascii="宋体" w:hAnsi="宋体"/>
          <w:szCs w:val="21"/>
        </w:rPr>
        <w:t>关于出入现场的权利的约定：</w:t>
      </w:r>
      <w:r>
        <w:rPr>
          <w:rFonts w:hint="eastAsia" w:ascii="宋体" w:hAnsi="宋体"/>
          <w:szCs w:val="21"/>
          <w:u w:val="single"/>
        </w:rPr>
        <w:t>执行通用条款第1.10.1项     </w:t>
      </w:r>
    </w:p>
    <w:p>
      <w:pPr>
        <w:spacing w:line="360" w:lineRule="auto"/>
        <w:ind w:firstLine="472" w:firstLineChars="225"/>
        <w:jc w:val="left"/>
        <w:rPr>
          <w:rFonts w:ascii="宋体" w:hAnsi="宋体"/>
          <w:szCs w:val="21"/>
        </w:rPr>
      </w:pPr>
      <w:r>
        <w:rPr>
          <w:rFonts w:hint="eastAsia" w:ascii="宋体" w:hAnsi="宋体"/>
          <w:szCs w:val="21"/>
        </w:rPr>
        <w:t>1.10.3 场内交通</w:t>
      </w:r>
    </w:p>
    <w:p>
      <w:pPr>
        <w:spacing w:line="360" w:lineRule="auto"/>
        <w:ind w:firstLine="472" w:firstLineChars="225"/>
        <w:jc w:val="left"/>
        <w:rPr>
          <w:rFonts w:ascii="宋体" w:hAnsi="宋体"/>
          <w:szCs w:val="21"/>
          <w:u w:val="single"/>
        </w:rPr>
      </w:pPr>
      <w:r>
        <w:rPr>
          <w:rFonts w:hint="eastAsia" w:ascii="宋体" w:hAnsi="宋体"/>
          <w:kern w:val="0"/>
          <w:szCs w:val="21"/>
        </w:rPr>
        <w:t>关于场外交通和场内交通的边界的约定：</w:t>
      </w:r>
      <w:r>
        <w:rPr>
          <w:rFonts w:hint="eastAsia" w:ascii="宋体" w:hAnsi="宋体"/>
          <w:szCs w:val="21"/>
          <w:u w:val="single"/>
        </w:rPr>
        <w:t xml:space="preserve">以施工现场大门为界           </w:t>
      </w:r>
    </w:p>
    <w:p>
      <w:pPr>
        <w:spacing w:line="360" w:lineRule="auto"/>
        <w:ind w:firstLine="472" w:firstLineChars="225"/>
        <w:jc w:val="left"/>
        <w:rPr>
          <w:rFonts w:ascii="宋体" w:hAnsi="宋体"/>
          <w:szCs w:val="21"/>
        </w:rPr>
      </w:pPr>
      <w:r>
        <w:rPr>
          <w:rFonts w:hint="eastAsia" w:ascii="宋体" w:hAnsi="宋体"/>
          <w:szCs w:val="21"/>
        </w:rPr>
        <w:t>关于发包人向承包人免费提供满足工程施工需要的场内道路和交通设施的约定：</w:t>
      </w:r>
    </w:p>
    <w:p>
      <w:pPr>
        <w:spacing w:line="360" w:lineRule="auto"/>
        <w:ind w:firstLine="472" w:firstLineChars="225"/>
        <w:jc w:val="left"/>
        <w:rPr>
          <w:rFonts w:ascii="宋体" w:hAnsi="宋体"/>
          <w:szCs w:val="21"/>
          <w:u w:val="single"/>
        </w:rPr>
      </w:pPr>
      <w:r>
        <w:rPr>
          <w:rFonts w:hint="eastAsia" w:ascii="宋体" w:hAnsi="宋体"/>
          <w:szCs w:val="21"/>
          <w:u w:val="single"/>
        </w:rPr>
        <w:t xml:space="preserve">以投标人投标时现场考察时的条件为准（包括水、电、路等等），其他需做的工作由承包人负责解决，费用自理；发包人将协助承包人解决有关问题 。                                                </w:t>
      </w:r>
    </w:p>
    <w:p>
      <w:pPr>
        <w:spacing w:line="360" w:lineRule="auto"/>
        <w:ind w:firstLine="472" w:firstLineChars="225"/>
        <w:jc w:val="left"/>
        <w:rPr>
          <w:rFonts w:ascii="宋体" w:hAnsi="宋体"/>
          <w:szCs w:val="21"/>
        </w:rPr>
      </w:pPr>
      <w:r>
        <w:rPr>
          <w:rFonts w:hint="eastAsia" w:ascii="宋体" w:hAnsi="宋体"/>
          <w:szCs w:val="21"/>
        </w:rPr>
        <w:t>1.10.4超大件和超重件的运输</w:t>
      </w:r>
    </w:p>
    <w:p>
      <w:pPr>
        <w:spacing w:line="360" w:lineRule="auto"/>
        <w:ind w:firstLine="472" w:firstLineChars="225"/>
        <w:jc w:val="left"/>
        <w:rPr>
          <w:rFonts w:ascii="宋体" w:hAnsi="宋体"/>
          <w:szCs w:val="21"/>
        </w:rPr>
      </w:pPr>
      <w:r>
        <w:rPr>
          <w:rFonts w:hint="eastAsia" w:ascii="宋体" w:hAnsi="宋体"/>
          <w:szCs w:val="21"/>
        </w:rPr>
        <w:t>运输超大件或超重件所需的道路和桥梁临时加固改造费用和其他有关费用由</w:t>
      </w:r>
      <w:r>
        <w:rPr>
          <w:rFonts w:hint="eastAsia" w:ascii="宋体" w:hAnsi="宋体"/>
          <w:szCs w:val="21"/>
          <w:u w:val="single"/>
        </w:rPr>
        <w:t xml:space="preserve"> 承包人    </w:t>
      </w:r>
      <w:r>
        <w:rPr>
          <w:rFonts w:hint="eastAsia" w:ascii="宋体" w:hAnsi="宋体"/>
          <w:szCs w:val="21"/>
        </w:rPr>
        <w:t>承担。</w:t>
      </w:r>
    </w:p>
    <w:p>
      <w:pPr>
        <w:spacing w:line="360" w:lineRule="auto"/>
        <w:ind w:firstLine="472" w:firstLineChars="225"/>
        <w:rPr>
          <w:rFonts w:ascii="宋体" w:hAnsi="宋体"/>
          <w:szCs w:val="21"/>
        </w:rPr>
      </w:pPr>
      <w:r>
        <w:rPr>
          <w:rFonts w:hint="eastAsia" w:ascii="宋体" w:hAnsi="宋体"/>
          <w:szCs w:val="21"/>
        </w:rPr>
        <w:t>1.11 知识产权</w:t>
      </w:r>
    </w:p>
    <w:p>
      <w:pPr>
        <w:spacing w:line="360" w:lineRule="auto"/>
        <w:ind w:firstLine="472" w:firstLineChars="225"/>
        <w:rPr>
          <w:rFonts w:ascii="宋体" w:hAnsi="宋体"/>
          <w:szCs w:val="21"/>
          <w:u w:val="single"/>
        </w:rPr>
      </w:pPr>
      <w:r>
        <w:rPr>
          <w:rFonts w:hint="eastAsia" w:ascii="宋体" w:hAnsi="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执行通用条款第1.11.1项                         </w:t>
      </w:r>
    </w:p>
    <w:p>
      <w:pPr>
        <w:spacing w:line="360" w:lineRule="auto"/>
        <w:ind w:firstLine="472" w:firstLineChars="225"/>
        <w:rPr>
          <w:rFonts w:ascii="宋体" w:hAnsi="宋体"/>
          <w:szCs w:val="21"/>
        </w:rPr>
      </w:pPr>
      <w:r>
        <w:rPr>
          <w:rFonts w:hint="eastAsia" w:ascii="宋体" w:hAnsi="宋体"/>
          <w:szCs w:val="21"/>
        </w:rPr>
        <w:t>关于发包人提供的上述文件的使用限制的要求：</w:t>
      </w:r>
      <w:r>
        <w:rPr>
          <w:rFonts w:hint="eastAsia" w:ascii="宋体" w:hAnsi="宋体"/>
          <w:szCs w:val="21"/>
          <w:u w:val="single"/>
        </w:rPr>
        <w:t xml:space="preserve">执行通用条款第1.11.1项  </w:t>
      </w:r>
    </w:p>
    <w:p>
      <w:pPr>
        <w:spacing w:line="360" w:lineRule="auto"/>
        <w:ind w:firstLine="472" w:firstLineChars="225"/>
        <w:rPr>
          <w:rFonts w:ascii="宋体" w:hAnsi="宋体"/>
          <w:szCs w:val="21"/>
        </w:rPr>
      </w:pPr>
      <w:r>
        <w:rPr>
          <w:rFonts w:hint="eastAsia" w:ascii="宋体" w:hAnsi="宋体"/>
          <w:szCs w:val="21"/>
        </w:rPr>
        <w:t>1.11.2 关于承包人为实施工程所编制文件的著作权的归属：</w:t>
      </w:r>
      <w:r>
        <w:rPr>
          <w:rFonts w:hint="eastAsia" w:ascii="宋体" w:hAnsi="宋体"/>
          <w:szCs w:val="21"/>
          <w:u w:val="single"/>
        </w:rPr>
        <w:t xml:space="preserve">     执行通用条款第1.11.2项      </w:t>
      </w:r>
    </w:p>
    <w:p>
      <w:pPr>
        <w:spacing w:line="360" w:lineRule="auto"/>
        <w:ind w:firstLine="472" w:firstLineChars="225"/>
        <w:rPr>
          <w:rFonts w:ascii="宋体" w:hAnsi="宋体"/>
          <w:szCs w:val="21"/>
          <w:u w:val="single"/>
        </w:rPr>
      </w:pPr>
      <w:r>
        <w:rPr>
          <w:rFonts w:hint="eastAsia" w:ascii="宋体" w:hAnsi="宋体"/>
          <w:szCs w:val="21"/>
        </w:rPr>
        <w:t>关于承包人提供的上述文件的使用限制的要求：</w:t>
      </w:r>
      <w:r>
        <w:rPr>
          <w:rFonts w:hint="eastAsia" w:ascii="宋体" w:hAnsi="宋体"/>
          <w:szCs w:val="21"/>
          <w:u w:val="single"/>
        </w:rPr>
        <w:t xml:space="preserve">执行通用条款第1.11.2项   </w:t>
      </w:r>
    </w:p>
    <w:p>
      <w:pPr>
        <w:spacing w:line="360" w:lineRule="auto"/>
        <w:ind w:firstLine="472" w:firstLineChars="225"/>
        <w:rPr>
          <w:rFonts w:ascii="宋体" w:hAnsi="宋体"/>
          <w:kern w:val="0"/>
          <w:szCs w:val="21"/>
        </w:rPr>
      </w:pPr>
      <w:r>
        <w:rPr>
          <w:rFonts w:hint="eastAsia" w:ascii="宋体" w:hAnsi="宋体"/>
          <w:szCs w:val="21"/>
        </w:rPr>
        <w:t>1.11.4 承包人在施工过程中所采用的专利、专有技术、技术秘密的使用费的承担方式：</w:t>
      </w:r>
      <w:r>
        <w:rPr>
          <w:rFonts w:hint="eastAsia" w:ascii="宋体" w:hAnsi="宋体"/>
          <w:szCs w:val="21"/>
          <w:u w:val="single"/>
        </w:rPr>
        <w:t xml:space="preserve">        执行通用条款第1.11.4项                           </w:t>
      </w:r>
    </w:p>
    <w:p>
      <w:pPr>
        <w:spacing w:line="360" w:lineRule="auto"/>
        <w:ind w:firstLine="472" w:firstLineChars="225"/>
        <w:rPr>
          <w:rFonts w:ascii="宋体" w:hAnsi="宋体"/>
          <w:szCs w:val="21"/>
        </w:rPr>
      </w:pPr>
      <w:r>
        <w:rPr>
          <w:rFonts w:hint="eastAsia" w:ascii="宋体" w:hAnsi="宋体"/>
          <w:szCs w:val="21"/>
        </w:rPr>
        <w:t>1.13工程量清单错误的修正</w:t>
      </w:r>
    </w:p>
    <w:p>
      <w:pPr>
        <w:spacing w:line="360" w:lineRule="auto"/>
        <w:ind w:firstLine="472" w:firstLineChars="225"/>
        <w:rPr>
          <w:rFonts w:ascii="宋体" w:hAnsi="宋体"/>
          <w:szCs w:val="21"/>
        </w:rPr>
      </w:pPr>
      <w:r>
        <w:rPr>
          <w:rFonts w:hint="eastAsia" w:ascii="宋体" w:hAnsi="宋体"/>
          <w:szCs w:val="21"/>
        </w:rPr>
        <w:t>出现工程量清单错误时，是否调整合同价格：</w:t>
      </w:r>
      <w:r>
        <w:rPr>
          <w:rFonts w:hint="eastAsia" w:ascii="宋体" w:hAnsi="宋体"/>
          <w:szCs w:val="21"/>
          <w:u w:val="single"/>
        </w:rPr>
        <w:t xml:space="preserve">                   </w:t>
      </w:r>
    </w:p>
    <w:p>
      <w:pPr>
        <w:spacing w:line="360" w:lineRule="auto"/>
        <w:ind w:firstLine="472" w:firstLineChars="225"/>
        <w:rPr>
          <w:rFonts w:ascii="宋体" w:hAnsi="宋体"/>
          <w:szCs w:val="21"/>
          <w:u w:val="single"/>
        </w:rPr>
      </w:pPr>
      <w:r>
        <w:rPr>
          <w:rFonts w:hint="eastAsia" w:ascii="宋体" w:hAnsi="宋体"/>
          <w:szCs w:val="21"/>
        </w:rPr>
        <w:t>允许调整合同价格的工程量偏差范围：</w:t>
      </w:r>
      <w:r>
        <w:rPr>
          <w:rFonts w:hint="eastAsia" w:ascii="宋体" w:hAnsi="宋体"/>
          <w:szCs w:val="21"/>
          <w:u w:val="single"/>
        </w:rPr>
        <w:t xml:space="preserve">                   </w:t>
      </w:r>
    </w:p>
    <w:p>
      <w:pPr>
        <w:pStyle w:val="9"/>
        <w:ind w:firstLine="472" w:firstLineChars="225"/>
        <w:rPr>
          <w:rFonts w:ascii="宋体" w:hAnsi="宋体"/>
          <w:b w:val="0"/>
          <w:szCs w:val="21"/>
        </w:rPr>
      </w:pPr>
      <w:bookmarkStart w:id="840" w:name="_Toc19039"/>
      <w:bookmarkStart w:id="841" w:name="_Toc20163"/>
      <w:bookmarkStart w:id="842" w:name="_Toc13129324"/>
      <w:bookmarkStart w:id="843" w:name="_Toc513540898"/>
      <w:r>
        <w:rPr>
          <w:rFonts w:hint="eastAsia" w:ascii="宋体" w:hAnsi="宋体"/>
          <w:b w:val="0"/>
          <w:szCs w:val="21"/>
        </w:rPr>
        <w:t>2. 发包人</w:t>
      </w:r>
      <w:bookmarkEnd w:id="840"/>
      <w:bookmarkEnd w:id="841"/>
      <w:bookmarkEnd w:id="842"/>
      <w:bookmarkEnd w:id="843"/>
    </w:p>
    <w:p>
      <w:pPr>
        <w:spacing w:line="360" w:lineRule="auto"/>
        <w:ind w:firstLine="472" w:firstLineChars="225"/>
        <w:rPr>
          <w:rFonts w:ascii="宋体" w:hAnsi="宋体"/>
          <w:szCs w:val="21"/>
        </w:rPr>
      </w:pPr>
      <w:r>
        <w:rPr>
          <w:rFonts w:hint="eastAsia" w:ascii="宋体" w:hAnsi="宋体"/>
          <w:szCs w:val="21"/>
        </w:rPr>
        <w:t>2.2 发包人代表</w:t>
      </w:r>
    </w:p>
    <w:p>
      <w:pPr>
        <w:spacing w:line="360" w:lineRule="auto"/>
        <w:ind w:firstLine="472" w:firstLineChars="225"/>
        <w:rPr>
          <w:rFonts w:ascii="宋体" w:hAnsi="宋体"/>
          <w:szCs w:val="21"/>
        </w:rPr>
      </w:pPr>
      <w:r>
        <w:rPr>
          <w:rFonts w:hint="eastAsia" w:ascii="宋体" w:hAnsi="宋体"/>
          <w:szCs w:val="21"/>
        </w:rPr>
        <w:t>发包人代表：</w:t>
      </w:r>
    </w:p>
    <w:p>
      <w:pPr>
        <w:spacing w:line="360" w:lineRule="auto"/>
        <w:ind w:firstLine="472" w:firstLineChars="225"/>
        <w:rPr>
          <w:rFonts w:ascii="宋体" w:hAnsi="宋体"/>
          <w:szCs w:val="21"/>
        </w:rPr>
      </w:pPr>
      <w:r>
        <w:rPr>
          <w:rFonts w:hint="eastAsia" w:ascii="宋体" w:hAnsi="宋体"/>
          <w:szCs w:val="21"/>
        </w:rPr>
        <w:t>姓    名：</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身份证号：</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职    务：</w:t>
      </w:r>
      <w:r>
        <w:rPr>
          <w:rFonts w:hint="eastAsia" w:ascii="宋体" w:hAnsi="宋体"/>
          <w:szCs w:val="21"/>
          <w:u w:val="single"/>
        </w:rPr>
        <w:t>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联系电话：</w:t>
      </w:r>
      <w:r>
        <w:rPr>
          <w:rFonts w:hint="eastAsia" w:ascii="宋体" w:hAnsi="宋体"/>
          <w:szCs w:val="21"/>
          <w:u w:val="single"/>
        </w:rPr>
        <w:t>  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电子信箱：</w:t>
      </w:r>
      <w:r>
        <w:rPr>
          <w:rFonts w:hint="eastAsia" w:ascii="宋体" w:hAnsi="宋体"/>
          <w:szCs w:val="21"/>
          <w:u w:val="single"/>
        </w:rPr>
        <w:t>  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通信地址：</w:t>
      </w:r>
      <w:r>
        <w:rPr>
          <w:rFonts w:hint="eastAsia" w:ascii="宋体" w:hAnsi="宋体"/>
          <w:szCs w:val="21"/>
          <w:u w:val="single"/>
        </w:rPr>
        <w:t>    </w:t>
      </w:r>
      <w:r>
        <w:rPr>
          <w:rFonts w:hint="eastAsia" w:ascii="宋体" w:hAnsi="宋体"/>
          <w:szCs w:val="21"/>
        </w:rPr>
        <w:t>。</w:t>
      </w:r>
    </w:p>
    <w:p>
      <w:pPr>
        <w:spacing w:line="360" w:lineRule="auto"/>
        <w:ind w:firstLine="472" w:firstLineChars="225"/>
        <w:rPr>
          <w:rFonts w:ascii="宋体" w:hAnsi="宋体"/>
          <w:szCs w:val="21"/>
          <w:u w:val="single"/>
        </w:rPr>
      </w:pPr>
      <w:r>
        <w:rPr>
          <w:rFonts w:hint="eastAsia" w:ascii="宋体" w:hAnsi="宋体"/>
          <w:szCs w:val="21"/>
        </w:rPr>
        <w:t>发包人对发包人代表的授权范围如下：</w:t>
      </w:r>
      <w:r>
        <w:rPr>
          <w:rFonts w:hint="eastAsia" w:ascii="宋体" w:hAnsi="宋体"/>
          <w:szCs w:val="21"/>
          <w:u w:val="single"/>
        </w:rPr>
        <w:t>     </w:t>
      </w:r>
    </w:p>
    <w:p>
      <w:pPr>
        <w:spacing w:line="360" w:lineRule="auto"/>
        <w:ind w:firstLine="472" w:firstLineChars="225"/>
        <w:rPr>
          <w:rFonts w:ascii="宋体" w:hAnsi="宋体"/>
          <w:szCs w:val="21"/>
        </w:rPr>
      </w:pPr>
      <w:r>
        <w:rPr>
          <w:rFonts w:hint="eastAsia" w:ascii="宋体" w:hAnsi="宋体"/>
          <w:szCs w:val="21"/>
        </w:rPr>
        <w:t>2.4 施工现场、施工条件和基础资料的提供</w:t>
      </w:r>
    </w:p>
    <w:p>
      <w:pPr>
        <w:spacing w:line="360" w:lineRule="auto"/>
        <w:ind w:firstLine="472" w:firstLineChars="225"/>
        <w:rPr>
          <w:rFonts w:ascii="宋体" w:hAnsi="宋体"/>
          <w:szCs w:val="21"/>
        </w:rPr>
      </w:pPr>
      <w:r>
        <w:rPr>
          <w:rFonts w:hint="eastAsia" w:ascii="宋体" w:hAnsi="宋体"/>
          <w:szCs w:val="21"/>
        </w:rPr>
        <w:t>2.4.1 提供施工现场</w:t>
      </w:r>
    </w:p>
    <w:p>
      <w:pPr>
        <w:spacing w:line="360" w:lineRule="auto"/>
        <w:ind w:firstLine="472" w:firstLineChars="225"/>
        <w:jc w:val="left"/>
        <w:rPr>
          <w:rFonts w:ascii="宋体" w:hAnsi="宋体"/>
          <w:szCs w:val="21"/>
        </w:rPr>
      </w:pPr>
      <w:r>
        <w:rPr>
          <w:rFonts w:hint="eastAsia" w:ascii="宋体" w:hAnsi="宋体"/>
          <w:szCs w:val="21"/>
        </w:rPr>
        <w:t>关于发包人移交施工现场的期限要求：</w:t>
      </w:r>
      <w:r>
        <w:rPr>
          <w:rFonts w:hint="eastAsia" w:ascii="宋体" w:hAnsi="宋体"/>
          <w:szCs w:val="21"/>
          <w:u w:val="single"/>
        </w:rPr>
        <w:t xml:space="preserve">执行通用条款第2.4.1项      </w:t>
      </w:r>
    </w:p>
    <w:p>
      <w:pPr>
        <w:spacing w:line="360" w:lineRule="auto"/>
        <w:ind w:firstLine="472" w:firstLineChars="225"/>
        <w:rPr>
          <w:rFonts w:ascii="宋体" w:hAnsi="宋体"/>
          <w:szCs w:val="21"/>
        </w:rPr>
      </w:pPr>
      <w:r>
        <w:rPr>
          <w:rFonts w:hint="eastAsia" w:ascii="宋体" w:hAnsi="宋体"/>
          <w:szCs w:val="21"/>
        </w:rPr>
        <w:t>2.4.2 提供施工条件</w:t>
      </w:r>
    </w:p>
    <w:p>
      <w:pPr>
        <w:spacing w:line="360" w:lineRule="auto"/>
        <w:ind w:firstLine="472" w:firstLineChars="225"/>
        <w:rPr>
          <w:rFonts w:ascii="宋体" w:hAnsi="宋体"/>
          <w:szCs w:val="21"/>
          <w:u w:val="single"/>
        </w:rPr>
      </w:pPr>
      <w:r>
        <w:rPr>
          <w:rFonts w:hint="eastAsia" w:ascii="宋体" w:hAnsi="宋体"/>
          <w:szCs w:val="21"/>
        </w:rPr>
        <w:t>关于发包人应负责提供施工所需要的条件，包括：</w:t>
      </w:r>
      <w:r>
        <w:rPr>
          <w:rFonts w:hint="eastAsia" w:ascii="宋体" w:hAnsi="宋体"/>
          <w:szCs w:val="21"/>
          <w:u w:val="single"/>
        </w:rPr>
        <w:t xml:space="preserve">执行通用条款第2.4.2项  </w:t>
      </w:r>
    </w:p>
    <w:p>
      <w:pPr>
        <w:spacing w:line="360" w:lineRule="auto"/>
        <w:ind w:firstLine="472" w:firstLineChars="225"/>
        <w:rPr>
          <w:rFonts w:ascii="宋体" w:hAnsi="宋体"/>
          <w:szCs w:val="21"/>
        </w:rPr>
      </w:pPr>
      <w:r>
        <w:rPr>
          <w:rFonts w:hint="eastAsia" w:ascii="宋体" w:hAnsi="宋体"/>
          <w:szCs w:val="21"/>
        </w:rPr>
        <w:t>2.5 资金来源证明及支付担保</w:t>
      </w:r>
    </w:p>
    <w:p>
      <w:pPr>
        <w:spacing w:line="360" w:lineRule="auto"/>
        <w:ind w:firstLine="472" w:firstLineChars="225"/>
        <w:rPr>
          <w:rFonts w:ascii="宋体" w:hAnsi="宋体"/>
          <w:szCs w:val="21"/>
        </w:rPr>
      </w:pPr>
      <w:r>
        <w:rPr>
          <w:rFonts w:hint="eastAsia" w:ascii="宋体" w:hAnsi="宋体"/>
          <w:szCs w:val="21"/>
        </w:rPr>
        <w:t>发包人提供资金来源证明的期限要求：</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发包人是否提供支付担保：</w:t>
      </w:r>
      <w:r>
        <w:rPr>
          <w:rFonts w:hint="eastAsia" w:ascii="宋体" w:hAnsi="宋体"/>
          <w:szCs w:val="21"/>
          <w:u w:val="single"/>
        </w:rPr>
        <w:t xml:space="preserve">        /             </w:t>
      </w:r>
      <w:r>
        <w:rPr>
          <w:rFonts w:hint="eastAsia" w:ascii="宋体" w:hAnsi="宋体"/>
          <w:szCs w:val="21"/>
        </w:rPr>
        <w:t>。</w:t>
      </w:r>
    </w:p>
    <w:p>
      <w:pPr>
        <w:spacing w:line="360" w:lineRule="auto"/>
        <w:ind w:firstLine="472" w:firstLineChars="225"/>
        <w:rPr>
          <w:rFonts w:ascii="宋体" w:hAnsi="宋体"/>
          <w:szCs w:val="21"/>
          <w:u w:val="single"/>
        </w:rPr>
      </w:pPr>
      <w:r>
        <w:rPr>
          <w:rFonts w:hint="eastAsia" w:ascii="宋体" w:hAnsi="宋体"/>
          <w:szCs w:val="21"/>
        </w:rPr>
        <w:t>发包人提供支付担保的形式：</w:t>
      </w:r>
      <w:r>
        <w:rPr>
          <w:rFonts w:hint="eastAsia" w:ascii="宋体" w:hAnsi="宋体"/>
          <w:szCs w:val="21"/>
          <w:u w:val="single"/>
        </w:rPr>
        <w:t>       /              </w:t>
      </w:r>
      <w:r>
        <w:rPr>
          <w:rFonts w:hint="eastAsia" w:ascii="宋体" w:hAnsi="宋体"/>
          <w:szCs w:val="21"/>
        </w:rPr>
        <w:t>。</w:t>
      </w:r>
    </w:p>
    <w:p>
      <w:pPr>
        <w:pStyle w:val="9"/>
        <w:ind w:firstLine="472" w:firstLineChars="225"/>
        <w:rPr>
          <w:rFonts w:ascii="宋体" w:hAnsi="宋体"/>
          <w:b w:val="0"/>
          <w:szCs w:val="21"/>
        </w:rPr>
      </w:pPr>
      <w:bookmarkStart w:id="844" w:name="_Toc20301"/>
      <w:bookmarkStart w:id="845" w:name="_Toc11659"/>
      <w:bookmarkStart w:id="846" w:name="_Toc513540899"/>
      <w:bookmarkStart w:id="847" w:name="_Toc13129325"/>
      <w:r>
        <w:rPr>
          <w:rFonts w:hint="eastAsia" w:ascii="宋体" w:hAnsi="宋体"/>
          <w:b w:val="0"/>
          <w:szCs w:val="21"/>
        </w:rPr>
        <w:t>3. 承包人</w:t>
      </w:r>
      <w:bookmarkEnd w:id="844"/>
      <w:bookmarkEnd w:id="845"/>
      <w:bookmarkEnd w:id="846"/>
      <w:bookmarkEnd w:id="847"/>
    </w:p>
    <w:p>
      <w:pPr>
        <w:spacing w:line="360" w:lineRule="auto"/>
        <w:ind w:firstLine="472" w:firstLineChars="225"/>
        <w:rPr>
          <w:rFonts w:ascii="宋体" w:hAnsi="宋体"/>
          <w:szCs w:val="21"/>
        </w:rPr>
      </w:pPr>
      <w:r>
        <w:rPr>
          <w:rFonts w:hint="eastAsia" w:ascii="宋体" w:hAnsi="宋体"/>
          <w:szCs w:val="21"/>
        </w:rPr>
        <w:t>3.1 承包人的一般义务</w:t>
      </w:r>
    </w:p>
    <w:p>
      <w:pPr>
        <w:spacing w:line="360" w:lineRule="auto"/>
        <w:ind w:firstLine="472" w:firstLineChars="225"/>
        <w:jc w:val="left"/>
        <w:rPr>
          <w:rFonts w:ascii="宋体" w:hAnsi="宋体"/>
          <w:szCs w:val="21"/>
          <w:u w:val="single"/>
        </w:rPr>
      </w:pPr>
      <w:r>
        <w:rPr>
          <w:rFonts w:hint="eastAsia" w:ascii="宋体" w:hAnsi="宋体"/>
          <w:kern w:val="0"/>
          <w:szCs w:val="21"/>
        </w:rPr>
        <w:t>（5）</w:t>
      </w:r>
      <w:r>
        <w:rPr>
          <w:rFonts w:hint="eastAsia" w:ascii="宋体" w:hAnsi="宋体"/>
          <w:szCs w:val="21"/>
        </w:rPr>
        <w:t>承包人提交的竣工资料的内容：</w:t>
      </w:r>
      <w:r>
        <w:rPr>
          <w:rFonts w:hint="eastAsia" w:ascii="宋体" w:hAnsi="宋体"/>
          <w:szCs w:val="21"/>
          <w:u w:val="single"/>
        </w:rPr>
        <w:t xml:space="preserve">竣工工程概况；图纸会审记录；施工组织方案和技术交底资料；材料、构配件、成品出厂证明和检验报告；施工记录；试验报告；检验批；竣工自检记录；隐检记录；工程质量检验评定资料；变更记录；竣工图；施工日记等   </w:t>
      </w:r>
    </w:p>
    <w:p>
      <w:pPr>
        <w:spacing w:line="360" w:lineRule="auto"/>
        <w:ind w:firstLine="472" w:firstLineChars="225"/>
        <w:jc w:val="left"/>
        <w:rPr>
          <w:rFonts w:ascii="宋体" w:hAnsi="宋体"/>
          <w:szCs w:val="21"/>
        </w:rPr>
      </w:pPr>
      <w:r>
        <w:rPr>
          <w:rFonts w:hint="eastAsia" w:ascii="宋体" w:hAnsi="宋体"/>
          <w:szCs w:val="21"/>
        </w:rPr>
        <w:t>承包人需要提交的竣工资料套数：。</w:t>
      </w:r>
    </w:p>
    <w:p>
      <w:pPr>
        <w:spacing w:line="360" w:lineRule="auto"/>
        <w:ind w:left="638" w:leftChars="304" w:firstLine="472" w:firstLineChars="225"/>
        <w:jc w:val="left"/>
        <w:rPr>
          <w:rFonts w:ascii="宋体" w:hAnsi="宋体"/>
          <w:szCs w:val="21"/>
        </w:rPr>
      </w:pPr>
      <w:r>
        <w:rPr>
          <w:rFonts w:hint="eastAsia" w:ascii="宋体" w:hAnsi="宋体"/>
          <w:szCs w:val="21"/>
        </w:rPr>
        <w:t>承包人提交的竣工资料的费用承担：</w:t>
      </w:r>
      <w:r>
        <w:rPr>
          <w:rFonts w:hint="eastAsia" w:ascii="宋体" w:hAnsi="宋体"/>
          <w:szCs w:val="21"/>
          <w:u w:val="single"/>
        </w:rPr>
        <w:t xml:space="preserve">     自行承担         </w:t>
      </w:r>
      <w:r>
        <w:rPr>
          <w:rFonts w:hint="eastAsia" w:ascii="宋体" w:hAnsi="宋体"/>
          <w:szCs w:val="21"/>
        </w:rPr>
        <w:t>。</w:t>
      </w:r>
    </w:p>
    <w:p>
      <w:pPr>
        <w:spacing w:line="360" w:lineRule="auto"/>
        <w:ind w:left="638" w:leftChars="304" w:firstLine="472" w:firstLineChars="225"/>
        <w:jc w:val="left"/>
        <w:rPr>
          <w:rFonts w:ascii="宋体" w:hAnsi="宋体"/>
          <w:szCs w:val="21"/>
        </w:rPr>
      </w:pPr>
      <w:r>
        <w:rPr>
          <w:rFonts w:hint="eastAsia" w:ascii="宋体" w:hAnsi="宋体"/>
          <w:szCs w:val="21"/>
        </w:rPr>
        <w:t>承包人提交的竣工资料移交时间：。</w:t>
      </w:r>
    </w:p>
    <w:p>
      <w:pPr>
        <w:spacing w:line="360" w:lineRule="auto"/>
        <w:ind w:firstLine="472" w:firstLineChars="225"/>
        <w:jc w:val="left"/>
        <w:rPr>
          <w:rFonts w:ascii="宋体" w:hAnsi="宋体"/>
          <w:szCs w:val="21"/>
        </w:rPr>
      </w:pPr>
      <w:r>
        <w:rPr>
          <w:rFonts w:hint="eastAsia" w:ascii="宋体" w:hAnsi="宋体"/>
          <w:szCs w:val="21"/>
        </w:rPr>
        <w:t>承包人提交的竣工资料形式要求：</w:t>
      </w:r>
      <w:r>
        <w:rPr>
          <w:rFonts w:hint="eastAsia" w:ascii="宋体" w:hAnsi="宋体"/>
          <w:szCs w:val="21"/>
          <w:u w:val="single"/>
        </w:rPr>
        <w:t xml:space="preserve">   按行业要求装订的纸质版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kern w:val="0"/>
          <w:szCs w:val="21"/>
        </w:rPr>
        <w:t>（6）承包人应履行的其他义务：</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3.2 项目经理</w:t>
      </w:r>
    </w:p>
    <w:p>
      <w:pPr>
        <w:spacing w:line="360" w:lineRule="auto"/>
        <w:ind w:firstLine="472" w:firstLineChars="225"/>
        <w:rPr>
          <w:rFonts w:ascii="宋体" w:hAnsi="宋体"/>
          <w:szCs w:val="21"/>
        </w:rPr>
      </w:pPr>
      <w:r>
        <w:rPr>
          <w:rFonts w:hint="eastAsia" w:ascii="宋体" w:hAnsi="宋体"/>
          <w:kern w:val="0"/>
          <w:szCs w:val="21"/>
        </w:rPr>
        <w:t xml:space="preserve">3.2.1 </w:t>
      </w:r>
      <w:r>
        <w:rPr>
          <w:rFonts w:hint="eastAsia" w:ascii="宋体" w:hAnsi="宋体"/>
          <w:szCs w:val="21"/>
        </w:rPr>
        <w:t>项目经理：</w:t>
      </w:r>
    </w:p>
    <w:p>
      <w:pPr>
        <w:spacing w:line="360" w:lineRule="auto"/>
        <w:ind w:firstLine="472" w:firstLineChars="225"/>
        <w:rPr>
          <w:rFonts w:ascii="宋体" w:hAnsi="宋体"/>
          <w:szCs w:val="21"/>
        </w:rPr>
      </w:pPr>
      <w:r>
        <w:rPr>
          <w:rFonts w:hint="eastAsia" w:ascii="宋体" w:hAnsi="宋体"/>
          <w:szCs w:val="21"/>
        </w:rPr>
        <w:t>姓    名：</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身份证号：</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建造师执业资格等级：</w:t>
      </w:r>
      <w:r>
        <w:rPr>
          <w:rFonts w:hint="eastAsia" w:ascii="宋体" w:hAnsi="宋体"/>
          <w:szCs w:val="21"/>
          <w:u w:val="single"/>
        </w:rPr>
        <w:t>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建造师注册证书号：</w:t>
      </w:r>
      <w:r>
        <w:rPr>
          <w:rFonts w:hint="eastAsia" w:ascii="宋体" w:hAnsi="宋体"/>
          <w:szCs w:val="21"/>
          <w:u w:val="single"/>
        </w:rPr>
        <w:t>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建造师执业印章号：</w:t>
      </w:r>
      <w:r>
        <w:rPr>
          <w:rFonts w:hint="eastAsia" w:ascii="宋体" w:hAnsi="宋体"/>
          <w:szCs w:val="21"/>
          <w:u w:val="single"/>
        </w:rPr>
        <w:t>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安全生产考核合格证书号：</w:t>
      </w:r>
      <w:r>
        <w:rPr>
          <w:rFonts w:hint="eastAsia" w:ascii="宋体" w:hAnsi="宋体"/>
          <w:szCs w:val="21"/>
          <w:u w:val="single"/>
        </w:rPr>
        <w:t>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联系电话：</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电子信箱：</w:t>
      </w:r>
      <w:r>
        <w:rPr>
          <w:rFonts w:hint="eastAsia" w:ascii="宋体" w:hAnsi="宋体"/>
          <w:szCs w:val="21"/>
          <w:u w:val="single"/>
        </w:rPr>
        <w:t>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通信地址：</w:t>
      </w:r>
      <w:r>
        <w:rPr>
          <w:rFonts w:hint="eastAsia" w:ascii="宋体" w:hAnsi="宋体"/>
          <w:szCs w:val="21"/>
          <w:u w:val="single"/>
        </w:rPr>
        <w:t>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承包人对项目经理的授权范围如下：</w:t>
      </w:r>
      <w:r>
        <w:rPr>
          <w:rFonts w:hint="eastAsia" w:ascii="宋体" w:hAnsi="宋体"/>
          <w:szCs w:val="21"/>
          <w:u w:val="single"/>
        </w:rPr>
        <w:t xml:space="preserve"> </w:t>
      </w:r>
    </w:p>
    <w:p>
      <w:pPr>
        <w:spacing w:line="360" w:lineRule="auto"/>
        <w:ind w:firstLine="472" w:firstLineChars="225"/>
        <w:jc w:val="left"/>
        <w:rPr>
          <w:rFonts w:ascii="宋体" w:hAnsi="宋体"/>
          <w:kern w:val="0"/>
          <w:szCs w:val="21"/>
        </w:rPr>
      </w:pPr>
      <w:r>
        <w:rPr>
          <w:rFonts w:hint="eastAsia" w:ascii="宋体" w:hAnsi="宋体"/>
          <w:kern w:val="0"/>
          <w:szCs w:val="21"/>
        </w:rPr>
        <w:t>关于项目经理每月在施工现场的时间要求：</w:t>
      </w:r>
      <w:r>
        <w:rPr>
          <w:rFonts w:hint="eastAsia" w:ascii="宋体" w:hAnsi="宋体"/>
          <w:szCs w:val="21"/>
          <w:u w:val="single"/>
        </w:rPr>
        <w:t xml:space="preserve">    不少于25天         </w:t>
      </w:r>
    </w:p>
    <w:p>
      <w:pPr>
        <w:spacing w:line="360" w:lineRule="auto"/>
        <w:ind w:firstLine="472" w:firstLineChars="225"/>
        <w:rPr>
          <w:rFonts w:ascii="宋体" w:hAnsi="宋体"/>
          <w:kern w:val="0"/>
          <w:szCs w:val="21"/>
        </w:rPr>
      </w:pPr>
      <w:r>
        <w:rPr>
          <w:rFonts w:hint="eastAsia" w:ascii="宋体" w:hAnsi="宋体"/>
          <w:kern w:val="0"/>
          <w:szCs w:val="21"/>
        </w:rPr>
        <w:t>承包人未提交劳动合同，以及没有为项目经理缴纳社会保险证明的违约责任：</w:t>
      </w:r>
      <w:r>
        <w:rPr>
          <w:rFonts w:hint="eastAsia" w:ascii="宋体" w:hAnsi="宋体"/>
          <w:szCs w:val="21"/>
          <w:u w:val="single"/>
        </w:rPr>
        <w:t xml:space="preserve">          执行通用条款第3.2.1项                           </w:t>
      </w:r>
    </w:p>
    <w:p>
      <w:pPr>
        <w:spacing w:line="360" w:lineRule="auto"/>
        <w:ind w:firstLine="472" w:firstLineChars="225"/>
        <w:rPr>
          <w:rFonts w:ascii="宋体" w:hAnsi="宋体"/>
          <w:szCs w:val="21"/>
        </w:rPr>
      </w:pPr>
      <w:r>
        <w:rPr>
          <w:rFonts w:hint="eastAsia" w:ascii="宋体" w:hAnsi="宋体"/>
          <w:kern w:val="0"/>
          <w:szCs w:val="21"/>
        </w:rPr>
        <w:t>项目经理未经批准，擅自离开施工现场的违约责任：</w:t>
      </w:r>
      <w:r>
        <w:rPr>
          <w:rFonts w:hint="eastAsia" w:ascii="宋体" w:hAnsi="宋体"/>
          <w:szCs w:val="21"/>
          <w:u w:val="single"/>
        </w:rPr>
        <w:t xml:space="preserve"> 每次处以1000元人民币罚款</w:t>
      </w:r>
    </w:p>
    <w:p>
      <w:pPr>
        <w:spacing w:line="360" w:lineRule="auto"/>
        <w:ind w:firstLine="472" w:firstLineChars="225"/>
        <w:rPr>
          <w:rFonts w:ascii="宋体" w:hAnsi="宋体"/>
          <w:szCs w:val="21"/>
        </w:rPr>
      </w:pPr>
      <w:r>
        <w:rPr>
          <w:rFonts w:hint="eastAsia" w:ascii="宋体" w:hAnsi="宋体"/>
          <w:szCs w:val="21"/>
        </w:rPr>
        <w:t>3.2.3 承包人擅自更换项目经理的违约责任：</w:t>
      </w:r>
      <w:r>
        <w:rPr>
          <w:rFonts w:hint="eastAsia" w:ascii="宋体" w:hAnsi="宋体"/>
          <w:szCs w:val="21"/>
          <w:u w:val="single"/>
        </w:rPr>
        <w:t xml:space="preserve">   处以合同金额5%的罚款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3.2.4 承包人无正当理由拒绝更换项目经理的违约责任：</w:t>
      </w:r>
    </w:p>
    <w:p>
      <w:pPr>
        <w:spacing w:line="360" w:lineRule="auto"/>
        <w:ind w:firstLine="472" w:firstLineChars="225"/>
        <w:rPr>
          <w:rFonts w:ascii="宋体" w:hAnsi="宋体"/>
          <w:szCs w:val="21"/>
        </w:rPr>
      </w:pPr>
      <w:r>
        <w:rPr>
          <w:rFonts w:hint="eastAsia" w:ascii="宋体" w:hAnsi="宋体"/>
          <w:szCs w:val="21"/>
        </w:rPr>
        <w:t>3.3 承包人人员</w:t>
      </w:r>
    </w:p>
    <w:p>
      <w:pPr>
        <w:spacing w:line="360" w:lineRule="auto"/>
        <w:ind w:firstLine="472" w:firstLineChars="225"/>
        <w:rPr>
          <w:rFonts w:ascii="宋体" w:hAnsi="宋体"/>
          <w:szCs w:val="21"/>
        </w:rPr>
      </w:pPr>
      <w:r>
        <w:rPr>
          <w:rFonts w:hint="eastAsia" w:ascii="宋体" w:hAnsi="宋体"/>
          <w:szCs w:val="21"/>
        </w:rPr>
        <w:t>3.3.1 承包人提交项目管理机构及施工现场管理人员安排报告的期限：</w:t>
      </w:r>
      <w:r>
        <w:rPr>
          <w:rFonts w:hint="eastAsia" w:ascii="宋体" w:hAnsi="宋体"/>
          <w:szCs w:val="21"/>
          <w:u w:val="single"/>
        </w:rPr>
        <w:t xml:space="preserve">   接到开工通知后7天内                        </w:t>
      </w:r>
    </w:p>
    <w:p>
      <w:pPr>
        <w:spacing w:line="360" w:lineRule="auto"/>
        <w:ind w:firstLine="472" w:firstLineChars="225"/>
        <w:rPr>
          <w:rFonts w:ascii="宋体" w:hAnsi="宋体"/>
          <w:szCs w:val="21"/>
        </w:rPr>
      </w:pPr>
      <w:r>
        <w:rPr>
          <w:rFonts w:hint="eastAsia" w:ascii="宋体" w:hAnsi="宋体"/>
          <w:szCs w:val="21"/>
        </w:rPr>
        <w:t>3.3.3 承包人无正当理由拒绝撤换主要施工管理人员的违约责任：</w:t>
      </w:r>
    </w:p>
    <w:p>
      <w:pPr>
        <w:spacing w:line="360" w:lineRule="auto"/>
        <w:ind w:firstLine="472" w:firstLineChars="225"/>
        <w:jc w:val="left"/>
        <w:rPr>
          <w:rFonts w:ascii="宋体" w:hAnsi="宋体"/>
          <w:szCs w:val="21"/>
        </w:rPr>
      </w:pPr>
      <w:r>
        <w:rPr>
          <w:rFonts w:hint="eastAsia" w:ascii="宋体" w:hAnsi="宋体"/>
          <w:szCs w:val="21"/>
        </w:rPr>
        <w:t>3.3.4 承包人主要施工管理人员离开施工现场的批准要求：</w:t>
      </w:r>
      <w:r>
        <w:rPr>
          <w:rFonts w:hint="eastAsia" w:ascii="宋体" w:hAnsi="宋体"/>
          <w:szCs w:val="21"/>
          <w:u w:val="single"/>
        </w:rPr>
        <w:t xml:space="preserve">  报监理人并征得发包人书面同意                          </w:t>
      </w:r>
    </w:p>
    <w:p>
      <w:pPr>
        <w:spacing w:line="360" w:lineRule="auto"/>
        <w:ind w:firstLine="472" w:firstLineChars="225"/>
        <w:rPr>
          <w:rFonts w:ascii="宋体" w:hAnsi="宋体"/>
          <w:szCs w:val="21"/>
          <w:u w:val="single"/>
        </w:rPr>
      </w:pPr>
      <w:r>
        <w:rPr>
          <w:rFonts w:hint="eastAsia" w:ascii="宋体" w:hAnsi="宋体"/>
          <w:szCs w:val="21"/>
        </w:rPr>
        <w:t>3.3.5承包人擅自更换主要施工管理人员的违约责任：</w:t>
      </w:r>
      <w:r>
        <w:rPr>
          <w:rFonts w:hint="eastAsia" w:ascii="宋体" w:hAnsi="宋体"/>
          <w:szCs w:val="21"/>
          <w:u w:val="single"/>
        </w:rPr>
        <w:t xml:space="preserve">  每人次处以5000元人民币罚款</w:t>
      </w:r>
    </w:p>
    <w:p>
      <w:pPr>
        <w:spacing w:line="360" w:lineRule="auto"/>
        <w:ind w:firstLine="472" w:firstLineChars="225"/>
        <w:rPr>
          <w:rFonts w:ascii="宋体" w:hAnsi="宋体"/>
          <w:szCs w:val="21"/>
        </w:rPr>
      </w:pPr>
      <w:r>
        <w:rPr>
          <w:rFonts w:hint="eastAsia" w:ascii="宋体" w:hAnsi="宋体"/>
          <w:szCs w:val="21"/>
        </w:rPr>
        <w:t>承包人主要施工管理人员擅自离开施工现场的违约责任：</w:t>
      </w:r>
      <w:r>
        <w:rPr>
          <w:rFonts w:hint="eastAsia" w:ascii="宋体" w:hAnsi="宋体"/>
          <w:szCs w:val="21"/>
          <w:u w:val="single"/>
        </w:rPr>
        <w:t xml:space="preserve"> 每人次处以2000元人民币罚款                           </w:t>
      </w:r>
    </w:p>
    <w:p>
      <w:pPr>
        <w:spacing w:line="360" w:lineRule="auto"/>
        <w:ind w:firstLine="472" w:firstLineChars="225"/>
        <w:rPr>
          <w:rFonts w:ascii="宋体" w:hAnsi="宋体"/>
          <w:szCs w:val="21"/>
        </w:rPr>
      </w:pPr>
      <w:r>
        <w:rPr>
          <w:rFonts w:hint="eastAsia" w:ascii="宋体" w:hAnsi="宋体"/>
          <w:szCs w:val="21"/>
        </w:rPr>
        <w:t>3.5 分包</w:t>
      </w:r>
    </w:p>
    <w:p>
      <w:pPr>
        <w:spacing w:line="360" w:lineRule="auto"/>
        <w:ind w:firstLine="472" w:firstLineChars="225"/>
        <w:rPr>
          <w:rFonts w:ascii="宋体" w:hAnsi="宋体"/>
          <w:szCs w:val="21"/>
        </w:rPr>
      </w:pPr>
      <w:r>
        <w:rPr>
          <w:rFonts w:hint="eastAsia" w:ascii="宋体" w:hAnsi="宋体"/>
          <w:szCs w:val="21"/>
        </w:rPr>
        <w:t>3.5.1 分包的一般约定</w:t>
      </w:r>
    </w:p>
    <w:p>
      <w:pPr>
        <w:spacing w:line="360" w:lineRule="auto"/>
        <w:ind w:firstLine="472" w:firstLineChars="225"/>
        <w:jc w:val="left"/>
        <w:rPr>
          <w:rFonts w:ascii="宋体" w:hAnsi="宋体"/>
          <w:szCs w:val="21"/>
        </w:rPr>
      </w:pPr>
      <w:r>
        <w:rPr>
          <w:rFonts w:hint="eastAsia" w:ascii="宋体" w:hAnsi="宋体"/>
          <w:szCs w:val="21"/>
        </w:rPr>
        <w:t>禁止分包的工程包括：</w:t>
      </w:r>
      <w:r>
        <w:rPr>
          <w:rFonts w:hint="eastAsia" w:ascii="宋体" w:hAnsi="宋体"/>
          <w:szCs w:val="21"/>
          <w:u w:val="single"/>
        </w:rPr>
        <w:t xml:space="preserve">  工程主体结构、关键性工作                    </w:t>
      </w:r>
    </w:p>
    <w:p>
      <w:pPr>
        <w:spacing w:line="360" w:lineRule="auto"/>
        <w:ind w:firstLine="472" w:firstLineChars="225"/>
        <w:jc w:val="left"/>
        <w:rPr>
          <w:rFonts w:ascii="宋体" w:hAnsi="宋体"/>
          <w:szCs w:val="21"/>
          <w:u w:val="single"/>
        </w:rPr>
      </w:pPr>
      <w:r>
        <w:rPr>
          <w:rFonts w:hint="eastAsia" w:ascii="宋体" w:hAnsi="宋体"/>
          <w:szCs w:val="21"/>
        </w:rPr>
        <w:t>主体结构、关键性工作的范围：</w:t>
      </w:r>
      <w:r>
        <w:rPr>
          <w:rFonts w:hint="eastAsia" w:ascii="宋体" w:hAnsi="宋体"/>
          <w:szCs w:val="21"/>
          <w:u w:val="single"/>
        </w:rPr>
        <w:t xml:space="preserve">                                      </w:t>
      </w:r>
    </w:p>
    <w:p>
      <w:pPr>
        <w:spacing w:line="360" w:lineRule="auto"/>
        <w:ind w:firstLine="472" w:firstLineChars="225"/>
        <w:rPr>
          <w:rFonts w:ascii="宋体" w:hAnsi="宋体"/>
          <w:szCs w:val="21"/>
        </w:rPr>
      </w:pPr>
      <w:r>
        <w:rPr>
          <w:rFonts w:hint="eastAsia" w:ascii="宋体" w:hAnsi="宋体"/>
          <w:szCs w:val="21"/>
        </w:rPr>
        <w:t>3.5.2分包的确定</w:t>
      </w:r>
    </w:p>
    <w:p>
      <w:pPr>
        <w:spacing w:line="360" w:lineRule="auto"/>
        <w:ind w:firstLine="472" w:firstLineChars="225"/>
        <w:rPr>
          <w:rFonts w:ascii="宋体" w:hAnsi="宋体"/>
          <w:szCs w:val="21"/>
          <w:u w:val="single"/>
        </w:rPr>
      </w:pPr>
      <w:r>
        <w:rPr>
          <w:rFonts w:hint="eastAsia" w:ascii="宋体" w:hAnsi="宋体"/>
          <w:szCs w:val="21"/>
        </w:rPr>
        <w:t>允许分包的专业工程包括：</w:t>
      </w:r>
      <w:r>
        <w:rPr>
          <w:rFonts w:hint="eastAsia" w:ascii="宋体" w:hAnsi="宋体"/>
          <w:szCs w:val="21"/>
          <w:u w:val="single"/>
        </w:rPr>
        <w:t xml:space="preserve">/                                        </w:t>
      </w:r>
    </w:p>
    <w:p>
      <w:pPr>
        <w:spacing w:line="360" w:lineRule="auto"/>
        <w:ind w:firstLine="472" w:firstLineChars="225"/>
        <w:rPr>
          <w:rFonts w:ascii="宋体" w:hAnsi="宋体"/>
          <w:szCs w:val="21"/>
          <w:u w:val="single"/>
        </w:rPr>
      </w:pPr>
      <w:r>
        <w:rPr>
          <w:rFonts w:hint="eastAsia" w:ascii="宋体" w:hAnsi="宋体"/>
          <w:szCs w:val="21"/>
        </w:rPr>
        <w:t>其他关于分包的约定：</w:t>
      </w:r>
    </w:p>
    <w:p>
      <w:pPr>
        <w:spacing w:line="360" w:lineRule="auto"/>
        <w:ind w:firstLine="472" w:firstLineChars="225"/>
        <w:rPr>
          <w:rFonts w:ascii="宋体" w:hAnsi="宋体"/>
          <w:szCs w:val="21"/>
        </w:rPr>
      </w:pPr>
      <w:r>
        <w:rPr>
          <w:rFonts w:hint="eastAsia" w:ascii="宋体" w:hAnsi="宋体"/>
          <w:szCs w:val="21"/>
        </w:rPr>
        <w:t>3.5.4 分包合同价款</w:t>
      </w:r>
    </w:p>
    <w:p>
      <w:pPr>
        <w:spacing w:line="360" w:lineRule="auto"/>
        <w:ind w:firstLine="472" w:firstLineChars="225"/>
        <w:rPr>
          <w:rFonts w:ascii="宋体" w:hAnsi="宋体"/>
          <w:szCs w:val="21"/>
          <w:u w:val="single"/>
        </w:rPr>
      </w:pPr>
      <w:r>
        <w:rPr>
          <w:rFonts w:hint="eastAsia" w:ascii="宋体" w:hAnsi="宋体"/>
          <w:szCs w:val="21"/>
        </w:rPr>
        <w:t>关于分包合同价款支付的约定：</w:t>
      </w:r>
      <w:r>
        <w:rPr>
          <w:rFonts w:hint="eastAsia" w:ascii="宋体" w:hAnsi="宋体"/>
          <w:szCs w:val="21"/>
          <w:u w:val="single"/>
        </w:rPr>
        <w:t>执行通用条款第3.5.4项第（1）目。</w:t>
      </w:r>
    </w:p>
    <w:p>
      <w:pPr>
        <w:spacing w:line="360" w:lineRule="auto"/>
        <w:ind w:firstLine="472" w:firstLineChars="225"/>
        <w:rPr>
          <w:rFonts w:ascii="宋体" w:hAnsi="宋体"/>
          <w:szCs w:val="21"/>
        </w:rPr>
      </w:pPr>
      <w:r>
        <w:rPr>
          <w:rFonts w:hint="eastAsia" w:ascii="宋体" w:hAnsi="宋体"/>
          <w:szCs w:val="21"/>
        </w:rPr>
        <w:t>3.6 工程照管与成品、半成品保护</w:t>
      </w:r>
    </w:p>
    <w:p>
      <w:pPr>
        <w:spacing w:line="360" w:lineRule="auto"/>
        <w:ind w:firstLine="472" w:firstLineChars="225"/>
        <w:jc w:val="left"/>
        <w:rPr>
          <w:rFonts w:ascii="宋体" w:hAnsi="宋体"/>
          <w:kern w:val="0"/>
          <w:szCs w:val="21"/>
          <w:u w:val="single"/>
        </w:rPr>
      </w:pPr>
      <w:r>
        <w:rPr>
          <w:rFonts w:hint="eastAsia" w:ascii="宋体" w:hAnsi="宋体"/>
          <w:kern w:val="0"/>
          <w:szCs w:val="21"/>
        </w:rPr>
        <w:t>承包人负责照管工程及工程相关的材料、工程设备的起始时间：</w:t>
      </w:r>
      <w:r>
        <w:rPr>
          <w:rFonts w:hint="eastAsia" w:ascii="宋体" w:hAnsi="宋体"/>
          <w:kern w:val="0"/>
          <w:szCs w:val="21"/>
          <w:u w:val="single"/>
        </w:rPr>
        <w:t xml:space="preserve">执行通用条款第3.6款                          </w:t>
      </w:r>
    </w:p>
    <w:p>
      <w:pPr>
        <w:spacing w:line="360" w:lineRule="auto"/>
        <w:ind w:firstLine="472" w:firstLineChars="225"/>
        <w:rPr>
          <w:rFonts w:ascii="宋体" w:hAnsi="宋体"/>
          <w:szCs w:val="21"/>
        </w:rPr>
      </w:pPr>
      <w:r>
        <w:rPr>
          <w:rFonts w:hint="eastAsia" w:ascii="宋体" w:hAnsi="宋体"/>
          <w:szCs w:val="21"/>
        </w:rPr>
        <w:t>3.7 履约担保</w:t>
      </w:r>
    </w:p>
    <w:p>
      <w:pPr>
        <w:spacing w:line="360" w:lineRule="auto"/>
        <w:ind w:firstLine="472" w:firstLineChars="225"/>
        <w:jc w:val="left"/>
        <w:rPr>
          <w:rFonts w:ascii="宋体" w:hAnsi="宋体"/>
          <w:szCs w:val="21"/>
        </w:rPr>
      </w:pPr>
      <w:r>
        <w:rPr>
          <w:rFonts w:hint="eastAsia" w:ascii="宋体" w:hAnsi="宋体"/>
          <w:szCs w:val="21"/>
        </w:rPr>
        <w:t>承包人是否提供履约担保：</w:t>
      </w:r>
      <w:r>
        <w:rPr>
          <w:rFonts w:hint="eastAsia" w:ascii="宋体" w:hAnsi="宋体"/>
          <w:szCs w:val="21"/>
          <w:u w:val="single"/>
        </w:rPr>
        <w:t xml:space="preserve">        是                      </w:t>
      </w:r>
      <w:r>
        <w:rPr>
          <w:rFonts w:hint="eastAsia" w:ascii="宋体" w:hAnsi="宋体"/>
          <w:szCs w:val="21"/>
        </w:rPr>
        <w:t>。</w:t>
      </w:r>
    </w:p>
    <w:p>
      <w:pPr>
        <w:spacing w:line="360" w:lineRule="auto"/>
        <w:ind w:firstLine="472" w:firstLineChars="225"/>
        <w:jc w:val="left"/>
        <w:rPr>
          <w:rFonts w:ascii="宋体" w:hAnsi="宋体"/>
          <w:szCs w:val="21"/>
          <w:u w:val="single"/>
        </w:rPr>
      </w:pPr>
      <w:r>
        <w:rPr>
          <w:rFonts w:hint="eastAsia" w:ascii="宋体" w:hAnsi="宋体"/>
          <w:szCs w:val="21"/>
        </w:rPr>
        <w:t>承包人提供履约担保的形式、金额及期限的：</w:t>
      </w:r>
      <w:r>
        <w:rPr>
          <w:rFonts w:hint="eastAsia" w:ascii="宋体" w:hAnsi="宋体"/>
          <w:szCs w:val="21"/>
          <w:u w:val="single"/>
        </w:rPr>
        <w:t xml:space="preserve">  履约担保的形式：现金或转账或保函；</w:t>
      </w:r>
    </w:p>
    <w:p>
      <w:pPr>
        <w:spacing w:line="360" w:lineRule="auto"/>
        <w:ind w:firstLine="472" w:firstLineChars="225"/>
        <w:jc w:val="left"/>
        <w:rPr>
          <w:rFonts w:ascii="宋体" w:hAnsi="宋体"/>
          <w:szCs w:val="21"/>
          <w:u w:val="single"/>
        </w:rPr>
      </w:pPr>
      <w:r>
        <w:rPr>
          <w:rFonts w:hint="eastAsia" w:ascii="宋体" w:hAnsi="宋体"/>
          <w:szCs w:val="21"/>
          <w:u w:val="single"/>
        </w:rPr>
        <w:t>金额：中标价的</w:t>
      </w:r>
      <w:r>
        <w:rPr>
          <w:rFonts w:hint="eastAsia" w:ascii="宋体" w:hAnsi="宋体"/>
          <w:szCs w:val="21"/>
          <w:u w:val="single"/>
          <w:lang w:val="en-US" w:eastAsia="zh-CN"/>
        </w:rPr>
        <w:t>3</w:t>
      </w:r>
      <w:r>
        <w:rPr>
          <w:rFonts w:hint="eastAsia" w:ascii="宋体" w:hAnsi="宋体"/>
          <w:szCs w:val="21"/>
          <w:u w:val="single"/>
        </w:rPr>
        <w:t xml:space="preserve">%；交付时间：签订合同前。                           </w:t>
      </w:r>
    </w:p>
    <w:p>
      <w:pPr>
        <w:pStyle w:val="9"/>
        <w:ind w:firstLine="472" w:firstLineChars="225"/>
        <w:rPr>
          <w:rFonts w:ascii="宋体" w:hAnsi="宋体"/>
          <w:b w:val="0"/>
          <w:szCs w:val="21"/>
        </w:rPr>
      </w:pPr>
      <w:bookmarkStart w:id="848" w:name="_Toc12312"/>
      <w:bookmarkStart w:id="849" w:name="_Toc13129326"/>
      <w:bookmarkStart w:id="850" w:name="_Toc10468"/>
      <w:bookmarkStart w:id="851" w:name="_Toc513540900"/>
      <w:r>
        <w:rPr>
          <w:rFonts w:hint="eastAsia" w:ascii="宋体" w:hAnsi="宋体"/>
          <w:b w:val="0"/>
          <w:szCs w:val="21"/>
        </w:rPr>
        <w:t>4. 监理人</w:t>
      </w:r>
      <w:bookmarkEnd w:id="848"/>
      <w:bookmarkEnd w:id="849"/>
      <w:bookmarkEnd w:id="850"/>
      <w:bookmarkEnd w:id="851"/>
    </w:p>
    <w:p>
      <w:pPr>
        <w:spacing w:line="360" w:lineRule="auto"/>
        <w:ind w:firstLine="472" w:firstLineChars="225"/>
        <w:rPr>
          <w:rFonts w:ascii="宋体" w:hAnsi="宋体"/>
          <w:szCs w:val="21"/>
        </w:rPr>
      </w:pPr>
      <w:r>
        <w:rPr>
          <w:rFonts w:hint="eastAsia" w:ascii="宋体" w:hAnsi="宋体"/>
          <w:szCs w:val="21"/>
        </w:rPr>
        <w:t>4.1监理人的一般规定</w:t>
      </w:r>
    </w:p>
    <w:p>
      <w:pPr>
        <w:spacing w:line="360" w:lineRule="auto"/>
        <w:ind w:firstLine="472" w:firstLineChars="225"/>
        <w:jc w:val="left"/>
        <w:rPr>
          <w:rFonts w:ascii="宋体" w:hAnsi="宋体"/>
          <w:szCs w:val="21"/>
        </w:rPr>
      </w:pPr>
      <w:r>
        <w:rPr>
          <w:rFonts w:hint="eastAsia" w:ascii="宋体" w:hAnsi="宋体"/>
          <w:szCs w:val="21"/>
        </w:rPr>
        <w:t>关于监理人的监理内容：</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关于监理人的监理权限：</w:t>
      </w:r>
      <w:r>
        <w:rPr>
          <w:rFonts w:hint="eastAsia" w:ascii="宋体" w:hAnsi="宋体"/>
          <w:szCs w:val="21"/>
          <w:u w:val="single"/>
        </w:rPr>
        <w:t xml:space="preserve">    执行通用条款第4.1款        </w:t>
      </w:r>
      <w:r>
        <w:rPr>
          <w:rFonts w:hint="eastAsia" w:ascii="宋体" w:hAnsi="宋体"/>
          <w:szCs w:val="21"/>
        </w:rPr>
        <w:t xml:space="preserve">。 </w:t>
      </w:r>
    </w:p>
    <w:p>
      <w:pPr>
        <w:spacing w:line="360" w:lineRule="auto"/>
        <w:ind w:firstLine="472" w:firstLineChars="225"/>
        <w:jc w:val="left"/>
        <w:rPr>
          <w:rFonts w:ascii="宋体" w:hAnsi="宋体"/>
          <w:szCs w:val="21"/>
          <w:u w:val="single"/>
        </w:rPr>
      </w:pPr>
      <w:r>
        <w:rPr>
          <w:rFonts w:hint="eastAsia" w:ascii="宋体" w:hAnsi="宋体"/>
          <w:szCs w:val="21"/>
        </w:rPr>
        <w:t>关于监理人在施工现场的办公场所、生活场所的提供和费用承担的约定：</w:t>
      </w:r>
      <w:r>
        <w:rPr>
          <w:rFonts w:hint="eastAsia" w:ascii="宋体" w:hAnsi="宋体"/>
          <w:szCs w:val="21"/>
          <w:u w:val="single"/>
        </w:rPr>
        <w:t xml:space="preserve">  由承包人承担        </w:t>
      </w:r>
    </w:p>
    <w:p>
      <w:pPr>
        <w:spacing w:line="360" w:lineRule="auto"/>
        <w:ind w:firstLine="472" w:firstLineChars="225"/>
        <w:rPr>
          <w:rFonts w:ascii="宋体" w:hAnsi="宋体"/>
          <w:szCs w:val="21"/>
        </w:rPr>
      </w:pPr>
      <w:r>
        <w:rPr>
          <w:rFonts w:hint="eastAsia" w:ascii="宋体" w:hAnsi="宋体"/>
          <w:szCs w:val="21"/>
        </w:rPr>
        <w:t>4.2 监理人员</w:t>
      </w:r>
    </w:p>
    <w:p>
      <w:pPr>
        <w:spacing w:line="360" w:lineRule="auto"/>
        <w:ind w:firstLine="472" w:firstLineChars="225"/>
        <w:rPr>
          <w:rFonts w:ascii="宋体" w:hAnsi="宋体"/>
          <w:szCs w:val="21"/>
        </w:rPr>
      </w:pPr>
      <w:r>
        <w:rPr>
          <w:rFonts w:hint="eastAsia" w:ascii="宋体" w:hAnsi="宋体"/>
          <w:szCs w:val="21"/>
        </w:rPr>
        <w:t>总监理工程师：</w:t>
      </w:r>
    </w:p>
    <w:p>
      <w:pPr>
        <w:spacing w:line="360" w:lineRule="auto"/>
        <w:ind w:firstLine="472" w:firstLineChars="225"/>
        <w:rPr>
          <w:rFonts w:ascii="宋体" w:hAnsi="宋体"/>
          <w:szCs w:val="21"/>
        </w:rPr>
      </w:pPr>
      <w:r>
        <w:rPr>
          <w:rFonts w:hint="eastAsia" w:ascii="宋体" w:hAnsi="宋体"/>
          <w:szCs w:val="21"/>
        </w:rPr>
        <w:t>姓    名：</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职    务：</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监理工程师执业资格证书号：</w:t>
      </w:r>
      <w:r>
        <w:rPr>
          <w:rFonts w:hint="eastAsia" w:ascii="宋体" w:hAnsi="宋体"/>
          <w:szCs w:val="21"/>
          <w:u w:val="single"/>
        </w:rPr>
        <w:t>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联系电话：</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电子信箱：</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通信地址：</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关于监理人的其他约定：</w:t>
      </w:r>
      <w:r>
        <w:rPr>
          <w:rFonts w:hint="eastAsia" w:ascii="宋体" w:hAnsi="宋体"/>
          <w:szCs w:val="21"/>
          <w:u w:val="single"/>
        </w:rPr>
        <w:t> 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4.4 商定或确定</w:t>
      </w:r>
    </w:p>
    <w:p>
      <w:pPr>
        <w:spacing w:line="360" w:lineRule="auto"/>
        <w:ind w:firstLine="472" w:firstLineChars="225"/>
        <w:rPr>
          <w:rFonts w:ascii="宋体" w:hAnsi="宋体"/>
          <w:szCs w:val="21"/>
          <w:u w:val="single"/>
        </w:rPr>
      </w:pPr>
      <w:r>
        <w:rPr>
          <w:rFonts w:hint="eastAsia" w:ascii="宋体" w:hAnsi="宋体"/>
          <w:szCs w:val="21"/>
        </w:rPr>
        <w:t>在发包人和承包人不能通过协商达成一致意见时，发包人授权监理人对以下事项进行确定：</w:t>
      </w:r>
      <w:r>
        <w:rPr>
          <w:rFonts w:hint="eastAsia" w:ascii="宋体" w:hAnsi="宋体"/>
          <w:szCs w:val="21"/>
          <w:u w:val="single"/>
        </w:rPr>
        <w:t>（1）   执行通用条款第4.4项             ；</w:t>
      </w:r>
    </w:p>
    <w:p>
      <w:pPr>
        <w:spacing w:line="360" w:lineRule="auto"/>
        <w:ind w:firstLine="472" w:firstLineChars="225"/>
        <w:rPr>
          <w:rFonts w:ascii="宋体" w:hAnsi="宋体"/>
          <w:szCs w:val="21"/>
          <w:u w:val="single"/>
        </w:rPr>
      </w:pPr>
      <w:r>
        <w:rPr>
          <w:rFonts w:hint="eastAsia" w:ascii="宋体" w:hAnsi="宋体"/>
          <w:szCs w:val="21"/>
          <w:u w:val="single"/>
        </w:rPr>
        <w:t>（2）       执行通用条款第4.4项             ；</w:t>
      </w:r>
    </w:p>
    <w:p>
      <w:pPr>
        <w:spacing w:line="360" w:lineRule="auto"/>
        <w:ind w:firstLine="472" w:firstLineChars="225"/>
        <w:rPr>
          <w:rFonts w:ascii="宋体" w:hAnsi="宋体"/>
          <w:szCs w:val="21"/>
          <w:u w:val="single"/>
        </w:rPr>
      </w:pPr>
      <w:r>
        <w:rPr>
          <w:rFonts w:hint="eastAsia" w:ascii="宋体" w:hAnsi="宋体"/>
          <w:szCs w:val="21"/>
          <w:u w:val="single"/>
        </w:rPr>
        <w:t>（3）       执行通用条款第4.4项             。</w:t>
      </w:r>
    </w:p>
    <w:p>
      <w:pPr>
        <w:spacing w:line="360" w:lineRule="auto"/>
        <w:ind w:firstLine="472" w:firstLineChars="225"/>
        <w:rPr>
          <w:rFonts w:ascii="宋体" w:hAnsi="宋体"/>
          <w:szCs w:val="21"/>
        </w:rPr>
      </w:pPr>
      <w:r>
        <w:rPr>
          <w:rFonts w:hint="eastAsia" w:ascii="宋体" w:hAnsi="宋体"/>
          <w:szCs w:val="21"/>
        </w:rPr>
        <w:t>5. 工程质量</w:t>
      </w:r>
    </w:p>
    <w:p>
      <w:pPr>
        <w:spacing w:line="360" w:lineRule="auto"/>
        <w:ind w:firstLine="472" w:firstLineChars="225"/>
        <w:rPr>
          <w:rFonts w:ascii="宋体" w:hAnsi="宋体"/>
          <w:szCs w:val="21"/>
        </w:rPr>
      </w:pPr>
      <w:r>
        <w:rPr>
          <w:rFonts w:hint="eastAsia" w:ascii="宋体" w:hAnsi="宋体"/>
          <w:szCs w:val="21"/>
        </w:rPr>
        <w:t>5.1 质量要求</w:t>
      </w:r>
    </w:p>
    <w:p>
      <w:pPr>
        <w:spacing w:line="360" w:lineRule="auto"/>
        <w:ind w:firstLine="472" w:firstLineChars="225"/>
        <w:jc w:val="left"/>
        <w:rPr>
          <w:rFonts w:ascii="宋体" w:hAnsi="宋体"/>
          <w:szCs w:val="21"/>
          <w:u w:val="single"/>
        </w:rPr>
      </w:pPr>
      <w:r>
        <w:rPr>
          <w:rFonts w:hint="eastAsia" w:ascii="宋体" w:hAnsi="宋体"/>
          <w:szCs w:val="21"/>
        </w:rPr>
        <w:t>5.1.1 特殊质量标准和要求：</w:t>
      </w:r>
    </w:p>
    <w:p>
      <w:pPr>
        <w:spacing w:line="360" w:lineRule="auto"/>
        <w:ind w:firstLine="472" w:firstLineChars="225"/>
        <w:jc w:val="left"/>
        <w:rPr>
          <w:rFonts w:ascii="宋体" w:hAnsi="宋体"/>
          <w:szCs w:val="21"/>
          <w:u w:val="single"/>
        </w:rPr>
      </w:pPr>
      <w:r>
        <w:rPr>
          <w:rFonts w:hint="eastAsia" w:ascii="宋体" w:hAnsi="宋体"/>
          <w:szCs w:val="21"/>
        </w:rPr>
        <w:t>关于工程奖项的约定：</w:t>
      </w:r>
    </w:p>
    <w:p>
      <w:pPr>
        <w:spacing w:line="360" w:lineRule="auto"/>
        <w:ind w:firstLine="472" w:firstLineChars="225"/>
        <w:rPr>
          <w:rFonts w:ascii="宋体" w:hAnsi="宋体"/>
          <w:szCs w:val="21"/>
        </w:rPr>
      </w:pPr>
      <w:r>
        <w:rPr>
          <w:rFonts w:hint="eastAsia" w:ascii="宋体" w:hAnsi="宋体"/>
          <w:szCs w:val="21"/>
        </w:rPr>
        <w:t>5.3 隐蔽工程检查</w:t>
      </w:r>
    </w:p>
    <w:p>
      <w:pPr>
        <w:spacing w:line="360" w:lineRule="auto"/>
        <w:ind w:firstLine="472" w:firstLineChars="225"/>
        <w:jc w:val="left"/>
        <w:rPr>
          <w:rFonts w:ascii="宋体" w:hAnsi="宋体"/>
          <w:szCs w:val="21"/>
          <w:u w:val="single"/>
        </w:rPr>
      </w:pPr>
      <w:r>
        <w:rPr>
          <w:rFonts w:hint="eastAsia" w:ascii="宋体" w:hAnsi="宋体"/>
          <w:szCs w:val="21"/>
        </w:rPr>
        <w:t>5.3.2承包人提前通知监理人隐蔽工程检查的期限的约定：</w:t>
      </w:r>
      <w:r>
        <w:rPr>
          <w:rFonts w:hint="eastAsia" w:ascii="宋体" w:hAnsi="宋体"/>
          <w:szCs w:val="21"/>
          <w:u w:val="single"/>
        </w:rPr>
        <w:t xml:space="preserve">   收到隐蔽验收书面通知24小时内       </w:t>
      </w:r>
    </w:p>
    <w:p>
      <w:pPr>
        <w:spacing w:line="360" w:lineRule="auto"/>
        <w:ind w:firstLine="472" w:firstLineChars="225"/>
        <w:jc w:val="left"/>
        <w:rPr>
          <w:rFonts w:ascii="宋体" w:hAnsi="宋体"/>
          <w:szCs w:val="21"/>
        </w:rPr>
      </w:pPr>
      <w:r>
        <w:rPr>
          <w:rFonts w:hint="eastAsia" w:ascii="宋体" w:hAnsi="宋体"/>
          <w:szCs w:val="21"/>
        </w:rPr>
        <w:t>监理人不能按时进行检查时，应提前小时提交书面延期要求。</w:t>
      </w:r>
    </w:p>
    <w:p>
      <w:pPr>
        <w:spacing w:line="360" w:lineRule="auto"/>
        <w:ind w:firstLine="472" w:firstLineChars="225"/>
        <w:jc w:val="left"/>
        <w:rPr>
          <w:rFonts w:ascii="宋体" w:hAnsi="宋体"/>
          <w:szCs w:val="21"/>
        </w:rPr>
      </w:pPr>
      <w:r>
        <w:rPr>
          <w:rFonts w:hint="eastAsia" w:ascii="宋体" w:hAnsi="宋体"/>
          <w:szCs w:val="21"/>
        </w:rPr>
        <w:t>关于延期最长不得超过：小时。</w:t>
      </w:r>
    </w:p>
    <w:p>
      <w:pPr>
        <w:pStyle w:val="9"/>
        <w:ind w:firstLine="472" w:firstLineChars="225"/>
        <w:rPr>
          <w:rFonts w:ascii="宋体" w:hAnsi="宋体"/>
          <w:b w:val="0"/>
          <w:szCs w:val="21"/>
        </w:rPr>
      </w:pPr>
      <w:bookmarkStart w:id="852" w:name="_Toc22835"/>
      <w:bookmarkStart w:id="853" w:name="_Toc16681"/>
      <w:bookmarkStart w:id="854" w:name="_Toc513540901"/>
      <w:bookmarkStart w:id="855" w:name="_Toc13129327"/>
      <w:r>
        <w:rPr>
          <w:rFonts w:hint="eastAsia" w:ascii="宋体" w:hAnsi="宋体"/>
          <w:b w:val="0"/>
          <w:szCs w:val="21"/>
        </w:rPr>
        <w:t>6. 安全文明施工与环境保护</w:t>
      </w:r>
      <w:bookmarkEnd w:id="852"/>
      <w:bookmarkEnd w:id="853"/>
      <w:bookmarkEnd w:id="854"/>
      <w:bookmarkEnd w:id="855"/>
    </w:p>
    <w:p>
      <w:pPr>
        <w:spacing w:line="360" w:lineRule="auto"/>
        <w:ind w:firstLine="472" w:firstLineChars="225"/>
        <w:rPr>
          <w:rFonts w:ascii="宋体" w:hAnsi="宋体"/>
          <w:szCs w:val="21"/>
        </w:rPr>
      </w:pPr>
      <w:r>
        <w:rPr>
          <w:rFonts w:hint="eastAsia" w:ascii="宋体" w:hAnsi="宋体"/>
          <w:szCs w:val="21"/>
        </w:rPr>
        <w:t>6.1安全文明施工</w:t>
      </w:r>
    </w:p>
    <w:p>
      <w:pPr>
        <w:spacing w:line="360" w:lineRule="auto"/>
        <w:ind w:firstLine="472" w:firstLineChars="225"/>
        <w:jc w:val="left"/>
        <w:rPr>
          <w:rFonts w:ascii="宋体" w:hAnsi="宋体"/>
          <w:szCs w:val="21"/>
          <w:u w:val="single"/>
        </w:rPr>
      </w:pPr>
      <w:r>
        <w:rPr>
          <w:rFonts w:hint="eastAsia" w:ascii="宋体" w:hAnsi="宋体"/>
          <w:szCs w:val="21"/>
        </w:rPr>
        <w:t>6.1.1 项目安全生产的达标目标及相应事项的约定：</w:t>
      </w:r>
      <w:r>
        <w:rPr>
          <w:rFonts w:hint="eastAsia" w:ascii="宋体" w:hAnsi="宋体"/>
          <w:szCs w:val="21"/>
          <w:u w:val="single"/>
        </w:rPr>
        <w:t xml:space="preserve">  合同当事人均应当遵守国家和工程所在地有关安全生产要求       </w:t>
      </w:r>
    </w:p>
    <w:p>
      <w:pPr>
        <w:spacing w:line="360" w:lineRule="auto"/>
        <w:ind w:firstLine="472" w:firstLineChars="225"/>
        <w:jc w:val="left"/>
        <w:rPr>
          <w:rFonts w:ascii="宋体" w:hAnsi="宋体"/>
          <w:szCs w:val="21"/>
          <w:u w:val="single"/>
        </w:rPr>
      </w:pPr>
      <w:r>
        <w:rPr>
          <w:rFonts w:hint="eastAsia" w:ascii="宋体" w:hAnsi="宋体"/>
          <w:szCs w:val="21"/>
        </w:rPr>
        <w:t>6.1.4 关于治安保卫的特别约定：</w:t>
      </w:r>
      <w:r>
        <w:rPr>
          <w:rFonts w:hint="eastAsia" w:ascii="宋体" w:hAnsi="宋体"/>
          <w:szCs w:val="21"/>
          <w:u w:val="single"/>
        </w:rPr>
        <w:t xml:space="preserve">  承包人应与当地公安部门协商在现场建立治安管理机构或联防组织统一管理施工场地的治安保卫事项，履行合同工程的治安保卫责任   </w:t>
      </w:r>
    </w:p>
    <w:p>
      <w:pPr>
        <w:spacing w:line="360" w:lineRule="auto"/>
        <w:ind w:firstLine="472" w:firstLineChars="225"/>
        <w:jc w:val="left"/>
        <w:rPr>
          <w:rFonts w:ascii="宋体" w:hAnsi="宋体"/>
          <w:szCs w:val="21"/>
          <w:u w:val="single"/>
        </w:rPr>
      </w:pPr>
      <w:r>
        <w:rPr>
          <w:rFonts w:hint="eastAsia" w:ascii="宋体" w:hAnsi="宋体"/>
          <w:szCs w:val="21"/>
        </w:rPr>
        <w:t>关于编制施工场地治安管理计划的约定：</w:t>
      </w:r>
      <w:r>
        <w:rPr>
          <w:rFonts w:hint="eastAsia" w:ascii="宋体" w:hAnsi="宋体"/>
          <w:szCs w:val="21"/>
          <w:u w:val="single"/>
        </w:rPr>
        <w:t xml:space="preserve">   执行通用条款第6.1.4项       </w:t>
      </w:r>
    </w:p>
    <w:p>
      <w:pPr>
        <w:spacing w:line="360" w:lineRule="auto"/>
        <w:ind w:firstLine="472" w:firstLineChars="225"/>
        <w:jc w:val="left"/>
        <w:rPr>
          <w:rFonts w:ascii="宋体" w:hAnsi="宋体"/>
          <w:szCs w:val="21"/>
        </w:rPr>
      </w:pPr>
      <w:r>
        <w:rPr>
          <w:rFonts w:hint="eastAsia" w:ascii="宋体" w:hAnsi="宋体"/>
          <w:szCs w:val="21"/>
        </w:rPr>
        <w:t>6.1.5 文明施工</w:t>
      </w:r>
    </w:p>
    <w:p>
      <w:pPr>
        <w:spacing w:line="360" w:lineRule="auto"/>
        <w:ind w:firstLine="472" w:firstLineChars="225"/>
        <w:jc w:val="left"/>
        <w:rPr>
          <w:rFonts w:ascii="宋体" w:hAnsi="宋体"/>
          <w:szCs w:val="21"/>
          <w:u w:val="single"/>
        </w:rPr>
      </w:pPr>
      <w:r>
        <w:rPr>
          <w:rFonts w:hint="eastAsia" w:ascii="宋体" w:hAnsi="宋体"/>
          <w:szCs w:val="21"/>
        </w:rPr>
        <w:t>合同当事人对文明施工的要求：</w:t>
      </w:r>
      <w:r>
        <w:rPr>
          <w:rFonts w:hint="eastAsia" w:ascii="宋体" w:hAnsi="宋体"/>
          <w:szCs w:val="21"/>
          <w:u w:val="single"/>
        </w:rPr>
        <w:t xml:space="preserve">执行通用条款第6.1.5项，并需满足现行国家、地方及行业标准及规范       </w:t>
      </w:r>
    </w:p>
    <w:p>
      <w:pPr>
        <w:spacing w:line="360" w:lineRule="auto"/>
        <w:ind w:firstLine="472" w:firstLineChars="225"/>
        <w:jc w:val="left"/>
        <w:rPr>
          <w:rFonts w:ascii="宋体" w:hAnsi="宋体"/>
          <w:szCs w:val="21"/>
        </w:rPr>
      </w:pPr>
      <w:r>
        <w:rPr>
          <w:rFonts w:hint="eastAsia" w:ascii="宋体" w:hAnsi="宋体"/>
          <w:szCs w:val="21"/>
        </w:rPr>
        <w:t>6.1.6 关于安全文明施工费支付比例和支付期限的约定：</w:t>
      </w:r>
    </w:p>
    <w:p>
      <w:pPr>
        <w:pStyle w:val="9"/>
        <w:ind w:firstLine="472" w:firstLineChars="225"/>
        <w:rPr>
          <w:rFonts w:ascii="宋体" w:hAnsi="宋体"/>
          <w:b w:val="0"/>
          <w:szCs w:val="21"/>
        </w:rPr>
      </w:pPr>
      <w:bookmarkStart w:id="856" w:name="_Toc513540902"/>
      <w:bookmarkStart w:id="857" w:name="_Toc13129328"/>
      <w:bookmarkStart w:id="858" w:name="_Toc25420"/>
      <w:bookmarkStart w:id="859" w:name="_Toc4839"/>
      <w:r>
        <w:rPr>
          <w:rFonts w:hint="eastAsia" w:ascii="宋体" w:hAnsi="宋体"/>
          <w:b w:val="0"/>
          <w:szCs w:val="21"/>
        </w:rPr>
        <w:t>7. 工期和进度</w:t>
      </w:r>
      <w:bookmarkEnd w:id="856"/>
      <w:bookmarkEnd w:id="857"/>
      <w:bookmarkEnd w:id="858"/>
      <w:bookmarkEnd w:id="859"/>
    </w:p>
    <w:p>
      <w:pPr>
        <w:spacing w:line="360" w:lineRule="auto"/>
        <w:ind w:firstLine="472" w:firstLineChars="225"/>
        <w:rPr>
          <w:rFonts w:ascii="宋体" w:hAnsi="宋体"/>
          <w:szCs w:val="21"/>
        </w:rPr>
      </w:pPr>
      <w:r>
        <w:rPr>
          <w:rFonts w:hint="eastAsia" w:ascii="宋体" w:hAnsi="宋体"/>
          <w:szCs w:val="21"/>
        </w:rPr>
        <w:t>7.1 施工组织设计</w:t>
      </w:r>
    </w:p>
    <w:p>
      <w:pPr>
        <w:autoSpaceDE w:val="0"/>
        <w:autoSpaceDN w:val="0"/>
        <w:adjustRightInd w:val="0"/>
        <w:spacing w:line="360" w:lineRule="auto"/>
        <w:ind w:firstLine="472" w:firstLineChars="225"/>
        <w:jc w:val="left"/>
        <w:rPr>
          <w:rFonts w:ascii="宋体" w:hAnsi="宋体"/>
          <w:szCs w:val="21"/>
          <w:u w:val="single"/>
        </w:rPr>
      </w:pPr>
      <w:r>
        <w:rPr>
          <w:rFonts w:hint="eastAsia" w:ascii="宋体" w:hAnsi="宋体"/>
          <w:szCs w:val="21"/>
        </w:rPr>
        <w:t>7.1.1 合</w:t>
      </w:r>
      <w:r>
        <w:rPr>
          <w:rFonts w:hint="eastAsia" w:ascii="宋体" w:hAnsi="宋体"/>
          <w:kern w:val="0"/>
          <w:szCs w:val="21"/>
        </w:rPr>
        <w:t>同当事人约定的施工组织设计应包括的其他内容：</w:t>
      </w:r>
      <w:r>
        <w:rPr>
          <w:rFonts w:hint="eastAsia" w:ascii="宋体" w:hAnsi="宋体"/>
          <w:szCs w:val="21"/>
          <w:u w:val="single"/>
        </w:rPr>
        <w:t xml:space="preserve">成品保护和工程保修工作的管理措施；任何可能的紧急情况的处理措施、预案及抵抗风险的措施；与发包人、监理人及设计人的配合   </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szCs w:val="21"/>
        </w:rPr>
        <w:t xml:space="preserve">7.1.2 </w:t>
      </w:r>
      <w:r>
        <w:rPr>
          <w:rFonts w:hint="eastAsia" w:ascii="宋体" w:hAnsi="宋体"/>
          <w:kern w:val="0"/>
          <w:szCs w:val="21"/>
        </w:rPr>
        <w:t>施工组织设计的提交和修改</w:t>
      </w:r>
    </w:p>
    <w:p>
      <w:pPr>
        <w:autoSpaceDE w:val="0"/>
        <w:autoSpaceDN w:val="0"/>
        <w:adjustRightInd w:val="0"/>
        <w:spacing w:line="360" w:lineRule="auto"/>
        <w:ind w:firstLine="472" w:firstLineChars="225"/>
        <w:jc w:val="left"/>
        <w:rPr>
          <w:rFonts w:ascii="宋体" w:hAnsi="宋体"/>
          <w:szCs w:val="21"/>
          <w:u w:val="single"/>
        </w:rPr>
      </w:pPr>
      <w:r>
        <w:rPr>
          <w:rFonts w:hint="eastAsia" w:ascii="宋体" w:hAnsi="宋体"/>
          <w:kern w:val="0"/>
          <w:szCs w:val="21"/>
        </w:rPr>
        <w:t>承包人提交详细施工组织设计的期限的约定：</w:t>
      </w:r>
      <w:r>
        <w:rPr>
          <w:rFonts w:hint="eastAsia" w:ascii="宋体" w:hAnsi="宋体"/>
          <w:szCs w:val="21"/>
          <w:u w:val="single"/>
        </w:rPr>
        <w:t xml:space="preserve">  开工7天前                 </w:t>
      </w:r>
    </w:p>
    <w:p>
      <w:pPr>
        <w:spacing w:line="360" w:lineRule="auto"/>
        <w:ind w:firstLine="472" w:firstLineChars="225"/>
        <w:jc w:val="left"/>
        <w:rPr>
          <w:rFonts w:ascii="宋体" w:hAnsi="宋体"/>
          <w:szCs w:val="21"/>
        </w:rPr>
      </w:pPr>
      <w:r>
        <w:rPr>
          <w:rFonts w:hint="eastAsia" w:ascii="宋体" w:hAnsi="宋体"/>
          <w:szCs w:val="21"/>
        </w:rPr>
        <w:t>发包人和监理人在收到详细的施工组织设计后确认或提出修改意见的期限：</w:t>
      </w:r>
      <w:r>
        <w:rPr>
          <w:rFonts w:hint="eastAsia" w:ascii="宋体" w:hAnsi="宋体"/>
          <w:szCs w:val="21"/>
          <w:u w:val="single"/>
        </w:rPr>
        <w:t xml:space="preserve">收到详细的施工组织设计后7天内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7.2 施工进度计划</w:t>
      </w:r>
    </w:p>
    <w:p>
      <w:pPr>
        <w:spacing w:line="360" w:lineRule="auto"/>
        <w:ind w:firstLine="472" w:firstLineChars="225"/>
        <w:jc w:val="left"/>
        <w:rPr>
          <w:rFonts w:ascii="宋体" w:hAnsi="宋体"/>
          <w:szCs w:val="21"/>
        </w:rPr>
      </w:pPr>
      <w:r>
        <w:rPr>
          <w:rFonts w:hint="eastAsia" w:ascii="宋体" w:hAnsi="宋体"/>
          <w:szCs w:val="21"/>
        </w:rPr>
        <w:t>7.2.2 施工进度计划的修订</w:t>
      </w:r>
    </w:p>
    <w:p>
      <w:pPr>
        <w:spacing w:line="360" w:lineRule="auto"/>
        <w:ind w:firstLine="472" w:firstLineChars="225"/>
        <w:jc w:val="left"/>
        <w:rPr>
          <w:rFonts w:ascii="宋体" w:hAnsi="宋体"/>
          <w:szCs w:val="21"/>
        </w:rPr>
      </w:pPr>
      <w:r>
        <w:rPr>
          <w:rFonts w:hint="eastAsia" w:ascii="宋体" w:hAnsi="宋体"/>
          <w:szCs w:val="21"/>
        </w:rPr>
        <w:t>发包人和监理人在收到修订的施工进度计划后确认或提出修改意见的期限：</w:t>
      </w:r>
      <w:r>
        <w:rPr>
          <w:rFonts w:hint="eastAsia" w:ascii="宋体" w:hAnsi="宋体"/>
          <w:szCs w:val="21"/>
          <w:u w:val="single"/>
        </w:rPr>
        <w:t xml:space="preserve">收到修订的施工进度计划后7天内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7.3 开工</w:t>
      </w:r>
    </w:p>
    <w:p>
      <w:pPr>
        <w:spacing w:line="360" w:lineRule="auto"/>
        <w:ind w:firstLine="472" w:firstLineChars="225"/>
        <w:jc w:val="left"/>
        <w:rPr>
          <w:rFonts w:ascii="宋体" w:hAnsi="宋体"/>
          <w:szCs w:val="21"/>
        </w:rPr>
      </w:pPr>
      <w:r>
        <w:rPr>
          <w:rFonts w:hint="eastAsia" w:ascii="宋体" w:hAnsi="宋体"/>
          <w:szCs w:val="21"/>
        </w:rPr>
        <w:t>7.3.1 开工准备</w:t>
      </w:r>
    </w:p>
    <w:p>
      <w:pPr>
        <w:spacing w:line="360" w:lineRule="auto"/>
        <w:ind w:firstLine="472" w:firstLineChars="225"/>
        <w:jc w:val="left"/>
        <w:rPr>
          <w:rFonts w:ascii="宋体" w:hAnsi="宋体"/>
          <w:szCs w:val="21"/>
          <w:u w:val="single"/>
        </w:rPr>
      </w:pPr>
      <w:r>
        <w:rPr>
          <w:rFonts w:hint="eastAsia" w:ascii="宋体" w:hAnsi="宋体"/>
          <w:szCs w:val="21"/>
        </w:rPr>
        <w:t>关于承包人提交</w:t>
      </w:r>
      <w:r>
        <w:rPr>
          <w:rFonts w:hint="eastAsia" w:ascii="宋体" w:hAnsi="宋体"/>
          <w:kern w:val="0"/>
          <w:szCs w:val="21"/>
        </w:rPr>
        <w:t>工程开工报审表的期限：</w:t>
      </w:r>
      <w:r>
        <w:rPr>
          <w:rFonts w:hint="eastAsia" w:ascii="宋体" w:hAnsi="宋体"/>
          <w:szCs w:val="21"/>
          <w:u w:val="single"/>
        </w:rPr>
        <w:t xml:space="preserve">  开工7天前                  </w:t>
      </w:r>
    </w:p>
    <w:p>
      <w:pPr>
        <w:spacing w:line="360" w:lineRule="auto"/>
        <w:ind w:firstLine="472" w:firstLineChars="225"/>
        <w:jc w:val="left"/>
        <w:rPr>
          <w:rFonts w:ascii="宋体" w:hAnsi="宋体"/>
          <w:szCs w:val="21"/>
          <w:u w:val="single"/>
        </w:rPr>
      </w:pPr>
      <w:r>
        <w:rPr>
          <w:rFonts w:hint="eastAsia" w:ascii="宋体" w:hAnsi="宋体"/>
          <w:szCs w:val="21"/>
        </w:rPr>
        <w:t>关于发包人应完成的其他开工准备工作及期限：</w:t>
      </w:r>
      <w:r>
        <w:rPr>
          <w:rFonts w:hint="eastAsia" w:ascii="宋体" w:hAnsi="宋体"/>
          <w:szCs w:val="21"/>
          <w:u w:val="single"/>
        </w:rPr>
        <w:t xml:space="preserve">   另行约定             </w:t>
      </w:r>
    </w:p>
    <w:p>
      <w:pPr>
        <w:spacing w:line="360" w:lineRule="auto"/>
        <w:ind w:firstLine="472" w:firstLineChars="225"/>
        <w:jc w:val="left"/>
        <w:rPr>
          <w:rFonts w:ascii="宋体" w:hAnsi="宋体"/>
          <w:szCs w:val="21"/>
          <w:u w:val="single"/>
        </w:rPr>
      </w:pPr>
      <w:r>
        <w:rPr>
          <w:rFonts w:hint="eastAsia" w:ascii="宋体" w:hAnsi="宋体"/>
          <w:szCs w:val="21"/>
        </w:rPr>
        <w:t>关于承包人应完成的其他开工准备工作及期限：</w:t>
      </w:r>
      <w:r>
        <w:rPr>
          <w:rFonts w:hint="eastAsia" w:ascii="宋体" w:hAnsi="宋体"/>
          <w:szCs w:val="21"/>
          <w:u w:val="single"/>
        </w:rPr>
        <w:t xml:space="preserve">     依据发包人要求     </w:t>
      </w:r>
    </w:p>
    <w:p>
      <w:pPr>
        <w:spacing w:line="360" w:lineRule="auto"/>
        <w:ind w:firstLine="472" w:firstLineChars="225"/>
        <w:jc w:val="left"/>
        <w:rPr>
          <w:rFonts w:ascii="宋体" w:hAnsi="宋体"/>
          <w:szCs w:val="21"/>
        </w:rPr>
      </w:pPr>
      <w:r>
        <w:rPr>
          <w:rFonts w:hint="eastAsia" w:ascii="宋体" w:hAnsi="宋体"/>
          <w:szCs w:val="21"/>
        </w:rPr>
        <w:t>7.3.2开工通知</w:t>
      </w:r>
    </w:p>
    <w:p>
      <w:pPr>
        <w:spacing w:line="360" w:lineRule="auto"/>
        <w:ind w:firstLine="472" w:firstLineChars="225"/>
        <w:jc w:val="left"/>
        <w:rPr>
          <w:rFonts w:ascii="宋体" w:hAnsi="宋体"/>
          <w:szCs w:val="21"/>
        </w:rPr>
      </w:pPr>
      <w:r>
        <w:rPr>
          <w:rFonts w:hint="eastAsia" w:ascii="宋体" w:hAnsi="宋体"/>
          <w:szCs w:val="21"/>
        </w:rPr>
        <w:t>因发包人原因造成监理人未能在计划开工日期之日起天内发出开工通知的，承包人有权提出价格调整要求，或者解除合同。</w:t>
      </w:r>
    </w:p>
    <w:p>
      <w:pPr>
        <w:spacing w:line="360" w:lineRule="auto"/>
        <w:ind w:firstLine="472" w:firstLineChars="225"/>
        <w:rPr>
          <w:rFonts w:ascii="宋体" w:hAnsi="宋体"/>
          <w:szCs w:val="21"/>
        </w:rPr>
      </w:pPr>
      <w:r>
        <w:rPr>
          <w:rFonts w:hint="eastAsia" w:ascii="宋体" w:hAnsi="宋体"/>
          <w:szCs w:val="21"/>
        </w:rPr>
        <w:t>7.4 测量放线</w:t>
      </w:r>
    </w:p>
    <w:p>
      <w:pPr>
        <w:spacing w:line="360" w:lineRule="auto"/>
        <w:ind w:firstLine="472" w:firstLineChars="225"/>
        <w:jc w:val="left"/>
        <w:rPr>
          <w:rFonts w:ascii="宋体" w:hAnsi="宋体"/>
          <w:szCs w:val="21"/>
          <w:u w:val="single"/>
        </w:rPr>
      </w:pPr>
      <w:r>
        <w:rPr>
          <w:rFonts w:hint="eastAsia" w:ascii="宋体" w:hAnsi="宋体"/>
          <w:szCs w:val="21"/>
        </w:rPr>
        <w:t>7.4.1发包人通过监理人向承包人提供测量基准点、基准线和水准点及其书面资料的期限：</w:t>
      </w:r>
      <w:r>
        <w:rPr>
          <w:rFonts w:hint="eastAsia" w:ascii="宋体" w:hAnsi="宋体"/>
          <w:szCs w:val="21"/>
          <w:u w:val="single"/>
        </w:rPr>
        <w:t xml:space="preserve">         开工3天前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7.5 工期延误</w:t>
      </w:r>
    </w:p>
    <w:p>
      <w:pPr>
        <w:spacing w:line="360" w:lineRule="auto"/>
        <w:ind w:firstLine="472" w:firstLineChars="225"/>
        <w:jc w:val="left"/>
        <w:rPr>
          <w:rFonts w:ascii="宋体" w:hAnsi="宋体"/>
          <w:szCs w:val="21"/>
        </w:rPr>
      </w:pPr>
      <w:r>
        <w:rPr>
          <w:rFonts w:hint="eastAsia" w:ascii="宋体" w:hAnsi="宋体"/>
          <w:szCs w:val="21"/>
        </w:rPr>
        <w:t>7.5.1 因发包人原因导致工期延误</w:t>
      </w:r>
    </w:p>
    <w:p>
      <w:pPr>
        <w:spacing w:line="360" w:lineRule="auto"/>
        <w:ind w:firstLine="472" w:firstLineChars="225"/>
        <w:jc w:val="left"/>
        <w:rPr>
          <w:rFonts w:ascii="宋体" w:hAnsi="宋体"/>
          <w:szCs w:val="21"/>
          <w:u w:val="single"/>
        </w:rPr>
      </w:pPr>
      <w:r>
        <w:rPr>
          <w:rFonts w:hint="eastAsia" w:ascii="宋体" w:hAnsi="宋体"/>
          <w:szCs w:val="21"/>
        </w:rPr>
        <w:t>（7）因发包人原因导致工期延误的其他情形：</w:t>
      </w:r>
      <w:r>
        <w:rPr>
          <w:rFonts w:hint="eastAsia" w:ascii="宋体" w:hAnsi="宋体"/>
          <w:szCs w:val="21"/>
          <w:u w:val="single"/>
        </w:rPr>
        <w:t xml:space="preserve">   /                    </w:t>
      </w:r>
    </w:p>
    <w:p>
      <w:pPr>
        <w:spacing w:line="360" w:lineRule="auto"/>
        <w:ind w:firstLine="472" w:firstLineChars="225"/>
        <w:jc w:val="left"/>
        <w:rPr>
          <w:rFonts w:ascii="宋体" w:hAnsi="宋体"/>
          <w:szCs w:val="21"/>
        </w:rPr>
      </w:pPr>
      <w:r>
        <w:rPr>
          <w:rFonts w:hint="eastAsia" w:ascii="宋体" w:hAnsi="宋体"/>
          <w:szCs w:val="21"/>
        </w:rPr>
        <w:t>7.5.2 因承包人原因导致工期延误</w:t>
      </w:r>
    </w:p>
    <w:p>
      <w:pPr>
        <w:spacing w:line="360" w:lineRule="auto"/>
        <w:ind w:firstLine="472" w:firstLineChars="225"/>
        <w:jc w:val="left"/>
        <w:rPr>
          <w:rFonts w:ascii="宋体" w:hAnsi="宋体"/>
          <w:szCs w:val="21"/>
          <w:u w:val="single"/>
        </w:rPr>
      </w:pPr>
      <w:r>
        <w:rPr>
          <w:rFonts w:hint="eastAsia" w:ascii="宋体" w:hAnsi="宋体"/>
          <w:szCs w:val="21"/>
        </w:rPr>
        <w:t>因承包人原因造成工期延误，逾期竣工违约金的计算方法为：</w:t>
      </w:r>
    </w:p>
    <w:p>
      <w:pPr>
        <w:spacing w:line="360" w:lineRule="auto"/>
        <w:ind w:firstLine="472" w:firstLineChars="225"/>
        <w:jc w:val="left"/>
        <w:rPr>
          <w:rFonts w:ascii="宋体" w:hAnsi="宋体"/>
          <w:szCs w:val="21"/>
        </w:rPr>
      </w:pPr>
      <w:r>
        <w:rPr>
          <w:rFonts w:hint="eastAsia" w:ascii="宋体" w:hAnsi="宋体"/>
          <w:szCs w:val="21"/>
          <w:u w:val="single"/>
        </w:rPr>
        <w:t xml:space="preserve">      每拖延一天应向发包人支付人民币1000元整（40天以内）                    </w:t>
      </w:r>
    </w:p>
    <w:p>
      <w:pPr>
        <w:spacing w:line="360" w:lineRule="auto"/>
        <w:ind w:firstLine="472" w:firstLineChars="225"/>
        <w:jc w:val="left"/>
        <w:rPr>
          <w:rFonts w:ascii="宋体" w:hAnsi="宋体"/>
          <w:szCs w:val="21"/>
        </w:rPr>
      </w:pPr>
      <w:r>
        <w:rPr>
          <w:rFonts w:hint="eastAsia" w:ascii="宋体" w:hAnsi="宋体"/>
          <w:szCs w:val="21"/>
        </w:rPr>
        <w:t>因承包人原因造成工期延误，逾期竣工违约金的上限：</w:t>
      </w:r>
      <w:r>
        <w:rPr>
          <w:rFonts w:hint="eastAsia" w:ascii="宋体" w:hAnsi="宋体"/>
          <w:szCs w:val="21"/>
          <w:u w:val="single"/>
        </w:rPr>
        <w:t xml:space="preserve">逾期竣工违约金累计金额最高不超过签约合同价的10%  </w:t>
      </w:r>
    </w:p>
    <w:p>
      <w:pPr>
        <w:spacing w:line="360" w:lineRule="auto"/>
        <w:ind w:firstLine="472" w:firstLineChars="225"/>
        <w:rPr>
          <w:rFonts w:ascii="宋体" w:hAnsi="宋体"/>
          <w:szCs w:val="21"/>
        </w:rPr>
      </w:pPr>
      <w:r>
        <w:rPr>
          <w:rFonts w:hint="eastAsia" w:ascii="宋体" w:hAnsi="宋体"/>
          <w:szCs w:val="21"/>
        </w:rPr>
        <w:t>7.6 不利物质条件</w:t>
      </w:r>
    </w:p>
    <w:p>
      <w:pPr>
        <w:spacing w:line="360" w:lineRule="auto"/>
        <w:ind w:firstLine="472" w:firstLineChars="225"/>
        <w:jc w:val="left"/>
        <w:rPr>
          <w:rFonts w:ascii="宋体" w:hAnsi="宋体"/>
          <w:szCs w:val="21"/>
          <w:u w:val="single"/>
        </w:rPr>
      </w:pPr>
      <w:r>
        <w:rPr>
          <w:rFonts w:hint="eastAsia" w:ascii="宋体" w:hAnsi="宋体"/>
          <w:szCs w:val="21"/>
        </w:rPr>
        <w:t>不利物质条件的其他情形和有关约定：</w:t>
      </w:r>
      <w:r>
        <w:rPr>
          <w:rFonts w:hint="eastAsia" w:ascii="宋体" w:hAnsi="宋体"/>
          <w:szCs w:val="21"/>
          <w:u w:val="single"/>
        </w:rPr>
        <w:t xml:space="preserve">      执行通用条款第7.6款              </w:t>
      </w:r>
    </w:p>
    <w:p>
      <w:pPr>
        <w:spacing w:line="360" w:lineRule="auto"/>
        <w:ind w:firstLine="472" w:firstLineChars="225"/>
        <w:rPr>
          <w:rFonts w:ascii="宋体" w:hAnsi="宋体"/>
          <w:szCs w:val="21"/>
        </w:rPr>
      </w:pPr>
      <w:r>
        <w:rPr>
          <w:rFonts w:hint="eastAsia" w:ascii="宋体" w:hAnsi="宋体"/>
          <w:szCs w:val="21"/>
        </w:rPr>
        <w:t>7.7异常恶劣的气候条件</w:t>
      </w:r>
    </w:p>
    <w:p>
      <w:pPr>
        <w:spacing w:line="360" w:lineRule="auto"/>
        <w:ind w:firstLine="472" w:firstLineChars="225"/>
        <w:jc w:val="left"/>
        <w:rPr>
          <w:rFonts w:ascii="宋体" w:hAnsi="宋体"/>
          <w:szCs w:val="21"/>
        </w:rPr>
      </w:pPr>
      <w:r>
        <w:rPr>
          <w:rFonts w:hint="eastAsia" w:ascii="宋体" w:hAnsi="宋体"/>
          <w:szCs w:val="21"/>
        </w:rPr>
        <w:t>发包人和承包人同意以下情形视为异常恶劣的气候条件：</w:t>
      </w:r>
    </w:p>
    <w:p>
      <w:pPr>
        <w:spacing w:line="360" w:lineRule="auto"/>
        <w:ind w:firstLine="472" w:firstLineChars="225"/>
        <w:jc w:val="left"/>
        <w:rPr>
          <w:rFonts w:ascii="宋体" w:hAnsi="宋体"/>
          <w:szCs w:val="21"/>
        </w:rPr>
      </w:pPr>
      <w:r>
        <w:rPr>
          <w:rFonts w:hint="eastAsia" w:ascii="宋体" w:hAnsi="宋体"/>
          <w:szCs w:val="21"/>
        </w:rPr>
        <w:t>（1）</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（2）</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（3）</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7.9 提前竣工的奖励</w:t>
      </w:r>
    </w:p>
    <w:p>
      <w:pPr>
        <w:spacing w:line="360" w:lineRule="auto"/>
        <w:ind w:firstLine="472" w:firstLineChars="225"/>
        <w:jc w:val="left"/>
        <w:rPr>
          <w:rFonts w:ascii="宋体" w:hAnsi="宋体"/>
          <w:szCs w:val="21"/>
        </w:rPr>
      </w:pPr>
      <w:r>
        <w:rPr>
          <w:rFonts w:hint="eastAsia" w:ascii="宋体" w:hAnsi="宋体"/>
          <w:szCs w:val="21"/>
        </w:rPr>
        <w:t>7.9.2提前竣工的奖励：</w:t>
      </w:r>
      <w:r>
        <w:rPr>
          <w:rFonts w:hint="eastAsia" w:ascii="宋体" w:hAnsi="宋体"/>
          <w:szCs w:val="21"/>
          <w:u w:val="single"/>
        </w:rPr>
        <w:t xml:space="preserve">             /                   </w:t>
      </w:r>
      <w:r>
        <w:rPr>
          <w:rFonts w:hint="eastAsia" w:ascii="宋体" w:hAnsi="宋体"/>
          <w:szCs w:val="21"/>
        </w:rPr>
        <w:t>。</w:t>
      </w:r>
    </w:p>
    <w:p>
      <w:pPr>
        <w:pStyle w:val="9"/>
        <w:ind w:firstLine="472" w:firstLineChars="225"/>
        <w:rPr>
          <w:rFonts w:ascii="宋体" w:hAnsi="宋体"/>
          <w:b w:val="0"/>
          <w:szCs w:val="21"/>
        </w:rPr>
      </w:pPr>
      <w:bookmarkStart w:id="860" w:name="_Toc12514"/>
      <w:bookmarkStart w:id="861" w:name="_Toc13129329"/>
      <w:bookmarkStart w:id="862" w:name="_Toc513540903"/>
      <w:bookmarkStart w:id="863" w:name="_Toc11701"/>
      <w:r>
        <w:rPr>
          <w:rFonts w:hint="eastAsia" w:ascii="宋体" w:hAnsi="宋体"/>
          <w:b w:val="0"/>
          <w:szCs w:val="21"/>
        </w:rPr>
        <w:t>8. 材料与设备</w:t>
      </w:r>
      <w:bookmarkEnd w:id="860"/>
      <w:bookmarkEnd w:id="861"/>
      <w:bookmarkEnd w:id="862"/>
      <w:bookmarkEnd w:id="863"/>
    </w:p>
    <w:p>
      <w:pPr>
        <w:spacing w:line="360" w:lineRule="auto"/>
        <w:ind w:firstLine="472" w:firstLineChars="225"/>
        <w:rPr>
          <w:rFonts w:ascii="宋体" w:hAnsi="宋体"/>
          <w:szCs w:val="21"/>
        </w:rPr>
      </w:pPr>
      <w:r>
        <w:rPr>
          <w:rFonts w:hint="eastAsia" w:ascii="宋体" w:hAnsi="宋体"/>
          <w:szCs w:val="21"/>
        </w:rPr>
        <w:t>8.4材料与工程设备的保管与使用</w:t>
      </w:r>
    </w:p>
    <w:p>
      <w:pPr>
        <w:spacing w:line="360" w:lineRule="auto"/>
        <w:ind w:firstLine="472" w:firstLineChars="225"/>
        <w:jc w:val="left"/>
        <w:rPr>
          <w:rFonts w:ascii="宋体" w:hAnsi="宋体"/>
          <w:szCs w:val="21"/>
          <w:u w:val="single"/>
        </w:rPr>
      </w:pPr>
      <w:r>
        <w:rPr>
          <w:rFonts w:hint="eastAsia" w:ascii="宋体" w:hAnsi="宋体"/>
          <w:szCs w:val="21"/>
        </w:rPr>
        <w:t>8.4.1发包人供应的材料设备的保管费用的承担：</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8.6 样品</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8.6.1</w:t>
      </w:r>
      <w:r>
        <w:rPr>
          <w:rFonts w:hint="eastAsia" w:ascii="宋体" w:hAnsi="宋体"/>
          <w:kern w:val="0"/>
          <w:szCs w:val="21"/>
        </w:rPr>
        <w:tab/>
      </w:r>
      <w:r>
        <w:rPr>
          <w:rFonts w:hint="eastAsia" w:ascii="宋体" w:hAnsi="宋体"/>
          <w:kern w:val="0"/>
          <w:szCs w:val="21"/>
        </w:rPr>
        <w:t>样品的报送与封存</w:t>
      </w:r>
    </w:p>
    <w:p>
      <w:pPr>
        <w:autoSpaceDE w:val="0"/>
        <w:autoSpaceDN w:val="0"/>
        <w:adjustRightInd w:val="0"/>
        <w:spacing w:line="360" w:lineRule="auto"/>
        <w:ind w:firstLine="472" w:firstLineChars="225"/>
        <w:jc w:val="left"/>
        <w:rPr>
          <w:rFonts w:ascii="宋体" w:hAnsi="宋体"/>
          <w:szCs w:val="21"/>
          <w:u w:val="single"/>
        </w:rPr>
      </w:pPr>
      <w:r>
        <w:rPr>
          <w:rFonts w:hint="eastAsia" w:ascii="宋体" w:hAnsi="宋体"/>
          <w:kern w:val="0"/>
          <w:szCs w:val="21"/>
        </w:rPr>
        <w:t>需要承包人报送样品的材料或工程设备，样品的种类、名称、规格、数量要求：</w:t>
      </w:r>
    </w:p>
    <w:p>
      <w:pPr>
        <w:autoSpaceDE w:val="0"/>
        <w:autoSpaceDN w:val="0"/>
        <w:adjustRightInd w:val="0"/>
        <w:spacing w:line="360" w:lineRule="auto"/>
        <w:ind w:firstLine="472" w:firstLineChars="225"/>
        <w:jc w:val="left"/>
        <w:rPr>
          <w:rFonts w:ascii="宋体" w:hAnsi="宋体"/>
          <w:szCs w:val="21"/>
          <w:u w:val="single"/>
        </w:rPr>
      </w:pPr>
    </w:p>
    <w:p>
      <w:pPr>
        <w:spacing w:line="360" w:lineRule="auto"/>
        <w:ind w:firstLine="472" w:firstLineChars="225"/>
        <w:rPr>
          <w:rFonts w:ascii="宋体" w:hAnsi="宋体"/>
          <w:szCs w:val="21"/>
        </w:rPr>
      </w:pPr>
      <w:r>
        <w:rPr>
          <w:rFonts w:hint="eastAsia" w:ascii="宋体" w:hAnsi="宋体"/>
          <w:szCs w:val="21"/>
        </w:rPr>
        <w:t>8.8 施工设备和临时设施</w:t>
      </w:r>
    </w:p>
    <w:p>
      <w:pPr>
        <w:autoSpaceDE w:val="0"/>
        <w:autoSpaceDN w:val="0"/>
        <w:adjustRightInd w:val="0"/>
        <w:spacing w:line="360" w:lineRule="auto"/>
        <w:ind w:firstLine="472" w:firstLineChars="225"/>
        <w:jc w:val="left"/>
        <w:rPr>
          <w:rFonts w:ascii="宋体" w:hAnsi="宋体"/>
          <w:szCs w:val="21"/>
        </w:rPr>
      </w:pPr>
      <w:r>
        <w:rPr>
          <w:rFonts w:hint="eastAsia" w:ascii="宋体" w:hAnsi="宋体"/>
          <w:szCs w:val="21"/>
        </w:rPr>
        <w:t>8.8.1 承包人提供的施工设备和临时设施</w:t>
      </w:r>
    </w:p>
    <w:p>
      <w:pPr>
        <w:autoSpaceDE w:val="0"/>
        <w:autoSpaceDN w:val="0"/>
        <w:adjustRightInd w:val="0"/>
        <w:spacing w:line="360" w:lineRule="auto"/>
        <w:ind w:firstLine="472" w:firstLineChars="225"/>
        <w:jc w:val="left"/>
        <w:rPr>
          <w:rFonts w:ascii="宋体" w:hAnsi="宋体"/>
          <w:szCs w:val="21"/>
          <w:u w:val="single"/>
        </w:rPr>
      </w:pPr>
      <w:r>
        <w:rPr>
          <w:rFonts w:hint="eastAsia" w:ascii="宋体" w:hAnsi="宋体"/>
          <w:szCs w:val="21"/>
        </w:rPr>
        <w:t>关于修建临时设施费用承担的约定：</w:t>
      </w:r>
      <w:r>
        <w:rPr>
          <w:rFonts w:hint="eastAsia" w:ascii="宋体" w:hAnsi="宋体"/>
          <w:szCs w:val="21"/>
          <w:u w:val="single"/>
        </w:rPr>
        <w:t xml:space="preserve">     由承包人承担                </w:t>
      </w:r>
    </w:p>
    <w:p>
      <w:pPr>
        <w:pStyle w:val="9"/>
        <w:ind w:firstLine="472" w:firstLineChars="225"/>
        <w:rPr>
          <w:rFonts w:ascii="宋体" w:hAnsi="宋体"/>
          <w:b w:val="0"/>
          <w:szCs w:val="21"/>
        </w:rPr>
      </w:pPr>
      <w:bookmarkStart w:id="864" w:name="_Toc513540904"/>
      <w:bookmarkStart w:id="865" w:name="_Toc17422"/>
      <w:bookmarkStart w:id="866" w:name="_Toc27022"/>
      <w:bookmarkStart w:id="867" w:name="_Toc13129330"/>
      <w:r>
        <w:rPr>
          <w:rFonts w:hint="eastAsia" w:ascii="宋体" w:hAnsi="宋体"/>
          <w:b w:val="0"/>
          <w:szCs w:val="21"/>
        </w:rPr>
        <w:t>9. 试验与检验</w:t>
      </w:r>
      <w:bookmarkEnd w:id="864"/>
      <w:bookmarkEnd w:id="865"/>
      <w:bookmarkEnd w:id="866"/>
      <w:bookmarkEnd w:id="867"/>
    </w:p>
    <w:p>
      <w:pPr>
        <w:spacing w:line="360" w:lineRule="auto"/>
        <w:ind w:firstLine="472" w:firstLineChars="225"/>
        <w:rPr>
          <w:rFonts w:ascii="宋体" w:hAnsi="宋体"/>
          <w:szCs w:val="21"/>
        </w:rPr>
      </w:pPr>
      <w:r>
        <w:rPr>
          <w:rFonts w:hint="eastAsia" w:ascii="宋体" w:hAnsi="宋体"/>
          <w:szCs w:val="21"/>
        </w:rPr>
        <w:t>9.1试验设备与试验人员</w:t>
      </w:r>
    </w:p>
    <w:p>
      <w:pPr>
        <w:spacing w:line="360" w:lineRule="auto"/>
        <w:ind w:firstLine="472" w:firstLineChars="225"/>
        <w:jc w:val="left"/>
        <w:rPr>
          <w:rFonts w:ascii="宋体" w:hAnsi="宋体"/>
          <w:szCs w:val="21"/>
        </w:rPr>
      </w:pPr>
      <w:r>
        <w:rPr>
          <w:rFonts w:hint="eastAsia" w:ascii="宋体" w:hAnsi="宋体"/>
          <w:szCs w:val="21"/>
        </w:rPr>
        <w:t>9.1.2 试验设备</w:t>
      </w:r>
    </w:p>
    <w:p>
      <w:pPr>
        <w:spacing w:line="360" w:lineRule="auto"/>
        <w:ind w:firstLine="472" w:firstLineChars="225"/>
        <w:jc w:val="left"/>
        <w:rPr>
          <w:rFonts w:ascii="宋体" w:hAnsi="宋体"/>
          <w:szCs w:val="21"/>
          <w:u w:val="single"/>
        </w:rPr>
      </w:pPr>
      <w:r>
        <w:rPr>
          <w:rFonts w:hint="eastAsia" w:ascii="宋体" w:hAnsi="宋体"/>
          <w:szCs w:val="21"/>
        </w:rPr>
        <w:t>施工现场需要配置的试验场所：</w:t>
      </w:r>
      <w:r>
        <w:rPr>
          <w:rFonts w:hint="eastAsia" w:ascii="宋体" w:hAnsi="宋体"/>
          <w:szCs w:val="21"/>
          <w:u w:val="single"/>
        </w:rPr>
        <w:t xml:space="preserve">     /                          </w:t>
      </w:r>
    </w:p>
    <w:p>
      <w:pPr>
        <w:spacing w:line="360" w:lineRule="auto"/>
        <w:ind w:firstLine="472" w:firstLineChars="225"/>
        <w:jc w:val="left"/>
        <w:rPr>
          <w:rFonts w:ascii="宋体" w:hAnsi="宋体"/>
          <w:szCs w:val="21"/>
          <w:u w:val="single"/>
        </w:rPr>
      </w:pPr>
      <w:r>
        <w:rPr>
          <w:rFonts w:hint="eastAsia" w:ascii="宋体" w:hAnsi="宋体"/>
          <w:szCs w:val="21"/>
        </w:rPr>
        <w:t>施工现场需要配备的试验设备：</w:t>
      </w:r>
      <w:r>
        <w:rPr>
          <w:rFonts w:hint="eastAsia" w:ascii="宋体" w:hAnsi="宋体"/>
          <w:szCs w:val="21"/>
          <w:u w:val="single"/>
        </w:rPr>
        <w:t xml:space="preserve">      /                         </w:t>
      </w:r>
    </w:p>
    <w:p>
      <w:pPr>
        <w:spacing w:line="360" w:lineRule="auto"/>
        <w:ind w:firstLine="472" w:firstLineChars="225"/>
        <w:jc w:val="left"/>
        <w:rPr>
          <w:rFonts w:ascii="宋体" w:hAnsi="宋体"/>
          <w:szCs w:val="21"/>
          <w:u w:val="single"/>
        </w:rPr>
      </w:pPr>
      <w:r>
        <w:rPr>
          <w:rFonts w:hint="eastAsia" w:ascii="宋体" w:hAnsi="宋体"/>
          <w:szCs w:val="21"/>
        </w:rPr>
        <w:t>施工现场需要具备的其他试验条件：</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 xml:space="preserve">9.4 现场工艺试验 </w:t>
      </w:r>
    </w:p>
    <w:p>
      <w:pPr>
        <w:spacing w:line="360" w:lineRule="auto"/>
        <w:ind w:firstLine="472" w:firstLineChars="225"/>
        <w:jc w:val="left"/>
        <w:rPr>
          <w:rFonts w:ascii="宋体" w:hAnsi="宋体"/>
          <w:szCs w:val="21"/>
          <w:u w:val="single"/>
        </w:rPr>
      </w:pPr>
      <w:r>
        <w:rPr>
          <w:rFonts w:hint="eastAsia" w:ascii="宋体" w:hAnsi="宋体"/>
          <w:szCs w:val="21"/>
        </w:rPr>
        <w:t>现场工艺试验的有关约定：</w:t>
      </w:r>
      <w:r>
        <w:rPr>
          <w:rFonts w:hint="eastAsia" w:ascii="宋体" w:hAnsi="宋体"/>
          <w:szCs w:val="21"/>
          <w:u w:val="single"/>
        </w:rPr>
        <w:t xml:space="preserve">          执行通用条款第9.4款              </w:t>
      </w:r>
    </w:p>
    <w:p>
      <w:pPr>
        <w:pStyle w:val="9"/>
        <w:ind w:firstLine="472" w:firstLineChars="225"/>
        <w:rPr>
          <w:rFonts w:ascii="宋体" w:hAnsi="宋体"/>
          <w:b w:val="0"/>
          <w:szCs w:val="21"/>
        </w:rPr>
      </w:pPr>
      <w:bookmarkStart w:id="868" w:name="_Toc13129331"/>
      <w:bookmarkStart w:id="869" w:name="_Toc513540905"/>
      <w:bookmarkStart w:id="870" w:name="_Toc9525"/>
      <w:bookmarkStart w:id="871" w:name="_Toc7080"/>
      <w:r>
        <w:rPr>
          <w:rFonts w:hint="eastAsia" w:ascii="宋体" w:hAnsi="宋体"/>
          <w:b w:val="0"/>
          <w:szCs w:val="21"/>
        </w:rPr>
        <w:t>10. 变更</w:t>
      </w:r>
      <w:bookmarkEnd w:id="868"/>
      <w:bookmarkEnd w:id="869"/>
      <w:bookmarkEnd w:id="870"/>
      <w:bookmarkEnd w:id="871"/>
    </w:p>
    <w:p>
      <w:pPr>
        <w:spacing w:line="360" w:lineRule="auto"/>
        <w:ind w:firstLine="472" w:firstLineChars="225"/>
        <w:rPr>
          <w:rFonts w:ascii="宋体" w:hAnsi="宋体"/>
          <w:szCs w:val="21"/>
        </w:rPr>
      </w:pPr>
      <w:r>
        <w:rPr>
          <w:rFonts w:hint="eastAsia" w:ascii="宋体" w:hAnsi="宋体"/>
          <w:szCs w:val="21"/>
        </w:rPr>
        <w:t>10.1变更的范围</w:t>
      </w:r>
    </w:p>
    <w:p>
      <w:pPr>
        <w:spacing w:line="360" w:lineRule="auto"/>
        <w:ind w:firstLine="472" w:firstLineChars="225"/>
        <w:jc w:val="left"/>
        <w:rPr>
          <w:rFonts w:ascii="宋体" w:hAnsi="宋体"/>
          <w:szCs w:val="21"/>
          <w:u w:val="single"/>
        </w:rPr>
      </w:pPr>
      <w:r>
        <w:rPr>
          <w:rFonts w:hint="eastAsia" w:ascii="宋体" w:hAnsi="宋体"/>
          <w:szCs w:val="21"/>
        </w:rPr>
        <w:t>关于变更的范围的约定：</w:t>
      </w:r>
      <w:r>
        <w:rPr>
          <w:rFonts w:hint="eastAsia" w:ascii="宋体" w:hAnsi="宋体"/>
          <w:szCs w:val="21"/>
          <w:u w:val="single"/>
        </w:rPr>
        <w:t xml:space="preserve">            执行通用条款第10.1款                </w:t>
      </w:r>
    </w:p>
    <w:p>
      <w:pPr>
        <w:spacing w:line="360" w:lineRule="auto"/>
        <w:ind w:firstLine="472" w:firstLineChars="225"/>
        <w:rPr>
          <w:rFonts w:ascii="宋体" w:hAnsi="宋体"/>
          <w:szCs w:val="21"/>
        </w:rPr>
      </w:pPr>
      <w:r>
        <w:rPr>
          <w:rFonts w:hint="eastAsia" w:ascii="宋体" w:hAnsi="宋体"/>
          <w:szCs w:val="21"/>
        </w:rPr>
        <w:t>10.4 变更估价</w:t>
      </w:r>
    </w:p>
    <w:p>
      <w:pPr>
        <w:spacing w:line="360" w:lineRule="auto"/>
        <w:ind w:firstLine="472" w:firstLineChars="225"/>
        <w:jc w:val="left"/>
        <w:rPr>
          <w:rFonts w:ascii="宋体" w:hAnsi="宋体"/>
          <w:szCs w:val="21"/>
        </w:rPr>
      </w:pPr>
      <w:r>
        <w:rPr>
          <w:rFonts w:hint="eastAsia" w:ascii="宋体" w:hAnsi="宋体"/>
          <w:szCs w:val="21"/>
        </w:rPr>
        <w:t>10.4.1 变更估价原则</w:t>
      </w:r>
    </w:p>
    <w:p>
      <w:pPr>
        <w:spacing w:line="360" w:lineRule="auto"/>
        <w:ind w:firstLine="472" w:firstLineChars="225"/>
        <w:jc w:val="left"/>
        <w:rPr>
          <w:rFonts w:ascii="宋体" w:hAnsi="宋体"/>
          <w:szCs w:val="21"/>
          <w:u w:val="single"/>
        </w:rPr>
      </w:pPr>
      <w:r>
        <w:rPr>
          <w:rFonts w:hint="eastAsia" w:ascii="宋体" w:hAnsi="宋体"/>
          <w:szCs w:val="21"/>
        </w:rPr>
        <w:t xml:space="preserve">关于变更估价的约定: </w:t>
      </w:r>
    </w:p>
    <w:p>
      <w:pPr>
        <w:spacing w:line="360" w:lineRule="auto"/>
        <w:ind w:firstLine="472" w:firstLineChars="225"/>
        <w:rPr>
          <w:rFonts w:ascii="宋体" w:hAnsi="宋体"/>
          <w:szCs w:val="21"/>
        </w:rPr>
      </w:pPr>
      <w:r>
        <w:rPr>
          <w:rFonts w:hint="eastAsia" w:ascii="宋体" w:hAnsi="宋体"/>
          <w:szCs w:val="21"/>
        </w:rPr>
        <w:t>10.5承包人的合理化建议</w:t>
      </w:r>
    </w:p>
    <w:p>
      <w:pPr>
        <w:spacing w:line="360" w:lineRule="auto"/>
        <w:ind w:firstLine="472" w:firstLineChars="225"/>
        <w:jc w:val="left"/>
        <w:rPr>
          <w:rFonts w:ascii="宋体" w:hAnsi="宋体"/>
          <w:szCs w:val="21"/>
        </w:rPr>
      </w:pPr>
      <w:r>
        <w:rPr>
          <w:rFonts w:hint="eastAsia" w:ascii="宋体" w:hAnsi="宋体"/>
          <w:szCs w:val="21"/>
        </w:rPr>
        <w:t>监理人审查承包人合理化建议的期限：</w:t>
      </w:r>
      <w:r>
        <w:rPr>
          <w:rFonts w:hint="eastAsia" w:ascii="宋体" w:hAnsi="宋体"/>
          <w:szCs w:val="21"/>
          <w:u w:val="single"/>
        </w:rPr>
        <w:t xml:space="preserve">    7天内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发包人审批承包人合理化建议的期限：</w:t>
      </w:r>
      <w:r>
        <w:rPr>
          <w:rFonts w:hint="eastAsia" w:ascii="宋体" w:hAnsi="宋体"/>
          <w:szCs w:val="21"/>
          <w:u w:val="single"/>
        </w:rPr>
        <w:t xml:space="preserve">    7天内                        </w:t>
      </w:r>
      <w:r>
        <w:rPr>
          <w:rFonts w:hint="eastAsia" w:ascii="宋体" w:hAnsi="宋体"/>
          <w:szCs w:val="21"/>
        </w:rPr>
        <w:t>。</w:t>
      </w:r>
    </w:p>
    <w:p>
      <w:pPr>
        <w:spacing w:line="360" w:lineRule="auto"/>
        <w:ind w:firstLine="472" w:firstLineChars="225"/>
        <w:jc w:val="left"/>
        <w:rPr>
          <w:rFonts w:ascii="宋体" w:hAnsi="宋体"/>
          <w:szCs w:val="21"/>
          <w:u w:val="single"/>
        </w:rPr>
      </w:pPr>
      <w:r>
        <w:rPr>
          <w:rFonts w:hint="eastAsia" w:ascii="宋体" w:hAnsi="宋体"/>
          <w:szCs w:val="21"/>
        </w:rPr>
        <w:t>承包人提出的合理化建议降低了合同价格或者提高了工程经济效益的奖励的方法和金额为：</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10.7 暂估价</w:t>
      </w:r>
    </w:p>
    <w:p>
      <w:pPr>
        <w:spacing w:line="360" w:lineRule="auto"/>
        <w:ind w:firstLine="472" w:firstLineChars="225"/>
        <w:jc w:val="left"/>
        <w:rPr>
          <w:rFonts w:ascii="宋体" w:hAnsi="宋体"/>
          <w:szCs w:val="21"/>
        </w:rPr>
      </w:pPr>
      <w:r>
        <w:rPr>
          <w:rFonts w:hint="eastAsia" w:ascii="宋体" w:hAnsi="宋体"/>
          <w:kern w:val="0"/>
          <w:szCs w:val="21"/>
        </w:rPr>
        <w:t>暂估价材料和工程设备的明细详见附件11：《</w:t>
      </w:r>
      <w:r>
        <w:rPr>
          <w:rFonts w:hint="eastAsia" w:ascii="宋体" w:hAnsi="宋体"/>
          <w:szCs w:val="21"/>
        </w:rPr>
        <w:t>暂估价一览表》</w:t>
      </w:r>
      <w:r>
        <w:rPr>
          <w:rFonts w:hint="eastAsia" w:ascii="宋体" w:hAnsi="宋体"/>
          <w:kern w:val="0"/>
          <w:szCs w:val="21"/>
        </w:rPr>
        <w:t>。</w:t>
      </w:r>
    </w:p>
    <w:p>
      <w:pPr>
        <w:spacing w:line="360" w:lineRule="auto"/>
        <w:ind w:firstLine="472" w:firstLineChars="225"/>
        <w:jc w:val="left"/>
        <w:rPr>
          <w:rFonts w:ascii="宋体" w:hAnsi="宋体"/>
          <w:szCs w:val="21"/>
        </w:rPr>
      </w:pPr>
      <w:r>
        <w:rPr>
          <w:rFonts w:hint="eastAsia" w:ascii="宋体" w:hAnsi="宋体"/>
          <w:szCs w:val="21"/>
        </w:rPr>
        <w:t>10.7.1 依法必须招标的暂估价项目</w:t>
      </w:r>
    </w:p>
    <w:p>
      <w:pPr>
        <w:spacing w:line="360" w:lineRule="auto"/>
        <w:ind w:firstLine="472" w:firstLineChars="225"/>
        <w:jc w:val="left"/>
        <w:rPr>
          <w:rFonts w:ascii="宋体" w:hAnsi="宋体"/>
          <w:szCs w:val="21"/>
        </w:rPr>
      </w:pPr>
      <w:r>
        <w:rPr>
          <w:rFonts w:hint="eastAsia" w:ascii="宋体" w:hAnsi="宋体"/>
          <w:szCs w:val="21"/>
        </w:rPr>
        <w:t>对于依法必须招标的暂估价项目的确认和批准采取第种方式确定。</w:t>
      </w:r>
    </w:p>
    <w:p>
      <w:pPr>
        <w:spacing w:line="360" w:lineRule="auto"/>
        <w:ind w:firstLine="472" w:firstLineChars="225"/>
        <w:jc w:val="left"/>
        <w:rPr>
          <w:rFonts w:ascii="宋体" w:hAnsi="宋体"/>
          <w:szCs w:val="21"/>
        </w:rPr>
      </w:pPr>
      <w:r>
        <w:rPr>
          <w:rFonts w:hint="eastAsia" w:ascii="宋体" w:hAnsi="宋体"/>
          <w:szCs w:val="21"/>
        </w:rPr>
        <w:t>10.7.2 不属于依法必须招标的暂估价项目</w:t>
      </w:r>
    </w:p>
    <w:p>
      <w:pPr>
        <w:spacing w:line="360" w:lineRule="auto"/>
        <w:ind w:firstLine="472" w:firstLineChars="225"/>
        <w:jc w:val="left"/>
        <w:rPr>
          <w:rFonts w:ascii="宋体" w:hAnsi="宋体"/>
          <w:szCs w:val="21"/>
        </w:rPr>
      </w:pPr>
      <w:r>
        <w:rPr>
          <w:rFonts w:hint="eastAsia" w:ascii="宋体" w:hAnsi="宋体"/>
          <w:szCs w:val="21"/>
        </w:rPr>
        <w:t>对于不属于依法必须招标的暂估价项目的确认和批准采取第 种方式确定。</w:t>
      </w:r>
    </w:p>
    <w:p>
      <w:pPr>
        <w:spacing w:line="360" w:lineRule="auto"/>
        <w:ind w:firstLine="472" w:firstLineChars="225"/>
        <w:jc w:val="left"/>
        <w:rPr>
          <w:rFonts w:ascii="宋体" w:hAnsi="宋体"/>
          <w:kern w:val="0"/>
          <w:szCs w:val="21"/>
        </w:rPr>
      </w:pPr>
      <w:r>
        <w:rPr>
          <w:rFonts w:hint="eastAsia" w:ascii="宋体" w:hAnsi="宋体"/>
          <w:szCs w:val="21"/>
        </w:rPr>
        <w:t>第3种方式：</w:t>
      </w:r>
      <w:r>
        <w:rPr>
          <w:rFonts w:hint="eastAsia" w:ascii="宋体" w:hAnsi="宋体"/>
          <w:kern w:val="0"/>
          <w:szCs w:val="21"/>
        </w:rPr>
        <w:t>承包人直接实施的暂估价项目</w:t>
      </w:r>
    </w:p>
    <w:p>
      <w:pPr>
        <w:spacing w:line="360" w:lineRule="auto"/>
        <w:ind w:firstLine="472" w:firstLineChars="225"/>
        <w:jc w:val="left"/>
        <w:rPr>
          <w:rFonts w:ascii="宋体" w:hAnsi="宋体"/>
          <w:szCs w:val="21"/>
        </w:rPr>
      </w:pPr>
      <w:r>
        <w:rPr>
          <w:rFonts w:hint="eastAsia" w:ascii="宋体" w:hAnsi="宋体"/>
          <w:szCs w:val="21"/>
        </w:rPr>
        <w:t>承包人直接实施的暂估价项目的约定：</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10.8 暂列金额</w:t>
      </w:r>
    </w:p>
    <w:p>
      <w:pPr>
        <w:autoSpaceDE w:val="0"/>
        <w:autoSpaceDN w:val="0"/>
        <w:adjustRightInd w:val="0"/>
        <w:spacing w:line="360" w:lineRule="auto"/>
        <w:ind w:firstLine="472" w:firstLineChars="225"/>
        <w:jc w:val="left"/>
        <w:rPr>
          <w:rFonts w:ascii="宋体" w:hAnsi="宋体"/>
          <w:szCs w:val="21"/>
          <w:u w:val="single"/>
        </w:rPr>
      </w:pPr>
      <w:r>
        <w:rPr>
          <w:rFonts w:hint="eastAsia" w:ascii="宋体" w:hAnsi="宋体"/>
          <w:kern w:val="0"/>
          <w:szCs w:val="21"/>
        </w:rPr>
        <w:t>合同当事人关于暂列金额使用的约定：</w:t>
      </w:r>
      <w:r>
        <w:rPr>
          <w:rFonts w:hint="eastAsia" w:ascii="宋体" w:hAnsi="宋体"/>
          <w:szCs w:val="21"/>
          <w:u w:val="single"/>
        </w:rPr>
        <w:t xml:space="preserve">     按发包人的要求使用             </w:t>
      </w:r>
    </w:p>
    <w:p>
      <w:pPr>
        <w:pStyle w:val="9"/>
        <w:ind w:firstLine="472" w:firstLineChars="225"/>
        <w:rPr>
          <w:rFonts w:ascii="宋体" w:hAnsi="宋体"/>
          <w:b w:val="0"/>
          <w:szCs w:val="21"/>
        </w:rPr>
      </w:pPr>
      <w:bookmarkStart w:id="872" w:name="_Toc9056"/>
      <w:bookmarkStart w:id="873" w:name="_Toc513540906"/>
      <w:bookmarkStart w:id="874" w:name="_Toc13129332"/>
      <w:bookmarkStart w:id="875" w:name="_Toc6192"/>
      <w:r>
        <w:rPr>
          <w:rFonts w:hint="eastAsia" w:ascii="宋体" w:hAnsi="宋体"/>
          <w:b w:val="0"/>
          <w:szCs w:val="21"/>
        </w:rPr>
        <w:t>11. 价格调整</w:t>
      </w:r>
      <w:bookmarkEnd w:id="872"/>
      <w:bookmarkEnd w:id="873"/>
      <w:bookmarkEnd w:id="874"/>
      <w:bookmarkEnd w:id="875"/>
    </w:p>
    <w:p>
      <w:pPr>
        <w:spacing w:line="360" w:lineRule="auto"/>
        <w:ind w:firstLine="472" w:firstLineChars="225"/>
        <w:rPr>
          <w:rFonts w:ascii="宋体" w:hAnsi="宋体"/>
          <w:szCs w:val="21"/>
        </w:rPr>
      </w:pPr>
      <w:r>
        <w:rPr>
          <w:rFonts w:hint="eastAsia" w:ascii="宋体" w:hAnsi="宋体"/>
          <w:szCs w:val="21"/>
        </w:rPr>
        <w:t>11.1 市场价格波动引起的调整</w:t>
      </w:r>
    </w:p>
    <w:p>
      <w:pPr>
        <w:spacing w:line="360" w:lineRule="auto"/>
        <w:ind w:firstLine="472" w:firstLineChars="225"/>
        <w:jc w:val="left"/>
        <w:rPr>
          <w:rFonts w:ascii="宋体" w:hAnsi="宋体"/>
          <w:szCs w:val="21"/>
        </w:rPr>
      </w:pPr>
      <w:r>
        <w:rPr>
          <w:rFonts w:hint="eastAsia" w:ascii="宋体" w:hAnsi="宋体"/>
          <w:kern w:val="0"/>
          <w:szCs w:val="21"/>
        </w:rPr>
        <w:t>市场价格波动是否调整合同价格的约定：</w:t>
      </w:r>
      <w:r>
        <w:rPr>
          <w:rFonts w:hint="eastAsia" w:ascii="宋体" w:hAnsi="宋体"/>
          <w:szCs w:val="21"/>
          <w:u w:val="single"/>
        </w:rPr>
        <w:t xml:space="preserve">     否                          </w:t>
      </w:r>
    </w:p>
    <w:p>
      <w:pPr>
        <w:spacing w:line="360" w:lineRule="auto"/>
        <w:ind w:firstLine="472" w:firstLineChars="225"/>
        <w:jc w:val="left"/>
        <w:rPr>
          <w:rFonts w:ascii="宋体" w:hAnsi="宋体"/>
          <w:szCs w:val="21"/>
        </w:rPr>
      </w:pPr>
      <w:r>
        <w:rPr>
          <w:rFonts w:hint="eastAsia" w:ascii="宋体" w:hAnsi="宋体"/>
          <w:szCs w:val="21"/>
        </w:rPr>
        <w:t>因市场价格波动调整合同价格，采用以下第种方式对合同价格进行调整：</w:t>
      </w:r>
    </w:p>
    <w:p>
      <w:pPr>
        <w:spacing w:line="360" w:lineRule="auto"/>
        <w:ind w:firstLine="472" w:firstLineChars="225"/>
        <w:jc w:val="left"/>
        <w:rPr>
          <w:rFonts w:ascii="宋体" w:hAnsi="宋体"/>
          <w:szCs w:val="21"/>
        </w:rPr>
      </w:pPr>
      <w:r>
        <w:rPr>
          <w:rFonts w:hint="eastAsia" w:ascii="宋体" w:hAnsi="宋体"/>
          <w:szCs w:val="21"/>
        </w:rPr>
        <w:t>第1种方式：采用价格指数进行价格调整。</w:t>
      </w:r>
    </w:p>
    <w:p>
      <w:pPr>
        <w:spacing w:line="360" w:lineRule="auto"/>
        <w:ind w:firstLine="472" w:firstLineChars="225"/>
        <w:jc w:val="left"/>
        <w:rPr>
          <w:rFonts w:ascii="宋体" w:hAnsi="宋体"/>
          <w:szCs w:val="21"/>
        </w:rPr>
      </w:pPr>
      <w:r>
        <w:rPr>
          <w:rFonts w:hint="eastAsia" w:ascii="宋体" w:hAnsi="宋体"/>
          <w:szCs w:val="21"/>
        </w:rPr>
        <w:t>关于各可调因子、定值和变值权重，以及基本价格指数及其来源的约定：</w:t>
      </w:r>
      <w:r>
        <w:rPr>
          <w:rFonts w:hint="eastAsia" w:ascii="宋体" w:hAnsi="宋体"/>
          <w:szCs w:val="21"/>
          <w:u w:val="single"/>
        </w:rPr>
        <w:t xml:space="preserve"> /   </w:t>
      </w:r>
    </w:p>
    <w:p>
      <w:pPr>
        <w:spacing w:line="360" w:lineRule="auto"/>
        <w:ind w:firstLine="472" w:firstLineChars="225"/>
        <w:jc w:val="left"/>
        <w:rPr>
          <w:rFonts w:ascii="宋体" w:hAnsi="宋体"/>
          <w:szCs w:val="21"/>
        </w:rPr>
      </w:pPr>
      <w:r>
        <w:rPr>
          <w:rFonts w:hint="eastAsia" w:ascii="宋体" w:hAnsi="宋体"/>
          <w:szCs w:val="21"/>
        </w:rPr>
        <w:t>第2种方式：采用造价信息进行价格调整。</w:t>
      </w:r>
    </w:p>
    <w:p>
      <w:pPr>
        <w:spacing w:line="360" w:lineRule="auto"/>
        <w:ind w:firstLine="472" w:firstLineChars="225"/>
        <w:jc w:val="left"/>
        <w:rPr>
          <w:rFonts w:ascii="宋体" w:hAnsi="宋体"/>
          <w:szCs w:val="21"/>
        </w:rPr>
      </w:pPr>
      <w:r>
        <w:rPr>
          <w:rFonts w:hint="eastAsia" w:ascii="宋体" w:hAnsi="宋体"/>
          <w:szCs w:val="21"/>
        </w:rPr>
        <w:t>（2）关于基准价格的约定：</w:t>
      </w:r>
      <w:r>
        <w:rPr>
          <w:rFonts w:hint="eastAsia" w:ascii="宋体" w:hAnsi="宋体"/>
          <w:szCs w:val="21"/>
          <w:u w:val="single"/>
        </w:rPr>
        <w:t xml:space="preserve">        /                 </w:t>
      </w:r>
    </w:p>
    <w:p>
      <w:pPr>
        <w:spacing w:line="360" w:lineRule="auto"/>
        <w:ind w:firstLine="472" w:firstLineChars="225"/>
        <w:jc w:val="left"/>
        <w:rPr>
          <w:rFonts w:ascii="宋体" w:hAnsi="宋体"/>
          <w:szCs w:val="21"/>
        </w:rPr>
      </w:pPr>
      <w:r>
        <w:rPr>
          <w:rFonts w:hint="eastAsia" w:ascii="宋体" w:hAnsi="宋体"/>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szCs w:val="21"/>
          <w:u w:val="single"/>
        </w:rPr>
        <w:t xml:space="preserve">     / </w:t>
      </w:r>
      <w:r>
        <w:rPr>
          <w:rFonts w:hint="eastAsia" w:ascii="宋体" w:hAnsi="宋体"/>
          <w:szCs w:val="21"/>
        </w:rPr>
        <w:t xml:space="preserve"> %时，或材料单价跌幅以已标价工程量清单或预算书中载明材料单价为基础超过 </w:t>
      </w:r>
      <w:r>
        <w:rPr>
          <w:rFonts w:hint="eastAsia" w:ascii="宋体" w:hAnsi="宋体"/>
          <w:szCs w:val="21"/>
          <w:u w:val="single"/>
        </w:rPr>
        <w:t xml:space="preserve">/  </w:t>
      </w:r>
      <w:r>
        <w:rPr>
          <w:rFonts w:hint="eastAsia" w:ascii="宋体" w:hAnsi="宋体"/>
          <w:szCs w:val="21"/>
        </w:rPr>
        <w:t>%时，其超过部分据实调整。</w:t>
      </w:r>
    </w:p>
    <w:p>
      <w:pPr>
        <w:spacing w:line="360" w:lineRule="auto"/>
        <w:ind w:firstLine="472" w:firstLineChars="225"/>
        <w:jc w:val="left"/>
        <w:rPr>
          <w:rFonts w:ascii="宋体" w:hAnsi="宋体"/>
          <w:szCs w:val="21"/>
        </w:rPr>
      </w:pPr>
      <w:r>
        <w:rPr>
          <w:rFonts w:hint="eastAsia" w:ascii="宋体" w:hAnsi="宋体"/>
          <w:szCs w:val="21"/>
        </w:rPr>
        <w:t>②承包人在已标价工程量清单或预算书中载明的材料单价高于基准价格的：专用合同条款合同履行期间材料单价跌幅以基准价格为基础超过</w:t>
      </w:r>
      <w:r>
        <w:rPr>
          <w:rFonts w:hint="eastAsia" w:ascii="宋体" w:hAnsi="宋体"/>
          <w:szCs w:val="21"/>
          <w:u w:val="single"/>
        </w:rPr>
        <w:t xml:space="preserve"> /  </w:t>
      </w:r>
      <w:r>
        <w:rPr>
          <w:rFonts w:hint="eastAsia" w:ascii="宋体" w:hAnsi="宋体"/>
          <w:szCs w:val="21"/>
        </w:rPr>
        <w:t>%时，材料单价涨幅以已标价工程量清单或预算书中载明材料单价为基础超过</w:t>
      </w:r>
      <w:r>
        <w:rPr>
          <w:rFonts w:hint="eastAsia" w:ascii="宋体" w:hAnsi="宋体"/>
          <w:szCs w:val="21"/>
          <w:u w:val="single"/>
        </w:rPr>
        <w:t xml:space="preserve"> /  </w:t>
      </w:r>
      <w:r>
        <w:rPr>
          <w:rFonts w:hint="eastAsia" w:ascii="宋体" w:hAnsi="宋体"/>
          <w:szCs w:val="21"/>
        </w:rPr>
        <w:t>%时，其超过部分据实调整。</w:t>
      </w:r>
    </w:p>
    <w:p>
      <w:pPr>
        <w:spacing w:line="360" w:lineRule="auto"/>
        <w:ind w:firstLine="472" w:firstLineChars="225"/>
        <w:jc w:val="left"/>
        <w:rPr>
          <w:rFonts w:ascii="宋体" w:hAnsi="宋体"/>
          <w:szCs w:val="21"/>
        </w:rPr>
      </w:pPr>
      <w:r>
        <w:rPr>
          <w:rFonts w:hint="eastAsia" w:ascii="宋体" w:hAnsi="宋体"/>
          <w:szCs w:val="21"/>
        </w:rPr>
        <w:t>③承包人在已标价工程量清单或预算书中载明的材料单价等于基准单价的：专用合同条款合同履行期间材料单价涨跌幅以基准单价为基础超过±</w:t>
      </w:r>
      <w:r>
        <w:rPr>
          <w:rFonts w:hint="eastAsia" w:ascii="宋体" w:hAnsi="宋体"/>
          <w:szCs w:val="21"/>
          <w:u w:val="single"/>
        </w:rPr>
        <w:t xml:space="preserve"> /  </w:t>
      </w:r>
      <w:r>
        <w:rPr>
          <w:rFonts w:hint="eastAsia" w:ascii="宋体" w:hAnsi="宋体"/>
          <w:szCs w:val="21"/>
        </w:rPr>
        <w:t>%时，其超过部分据实调整。</w:t>
      </w:r>
    </w:p>
    <w:p>
      <w:pPr>
        <w:spacing w:line="360" w:lineRule="auto"/>
        <w:ind w:firstLine="472" w:firstLineChars="225"/>
        <w:jc w:val="left"/>
        <w:rPr>
          <w:rFonts w:ascii="宋体" w:hAnsi="宋体"/>
          <w:szCs w:val="21"/>
        </w:rPr>
      </w:pPr>
      <w:r>
        <w:rPr>
          <w:rFonts w:hint="eastAsia" w:ascii="宋体" w:hAnsi="宋体"/>
          <w:szCs w:val="21"/>
        </w:rPr>
        <w:t>第3种方式：其他价格调整方式：</w:t>
      </w:r>
      <w:r>
        <w:rPr>
          <w:rFonts w:hint="eastAsia" w:ascii="宋体" w:hAnsi="宋体"/>
          <w:szCs w:val="21"/>
          <w:u w:val="single"/>
        </w:rPr>
        <w:t xml:space="preserve">           /             </w:t>
      </w:r>
    </w:p>
    <w:p>
      <w:pPr>
        <w:pStyle w:val="9"/>
        <w:ind w:firstLine="472" w:firstLineChars="225"/>
        <w:rPr>
          <w:rFonts w:ascii="宋体" w:hAnsi="宋体"/>
          <w:b w:val="0"/>
          <w:szCs w:val="21"/>
        </w:rPr>
      </w:pPr>
      <w:bookmarkStart w:id="876" w:name="_Toc13445"/>
      <w:bookmarkStart w:id="877" w:name="_Toc22893"/>
      <w:bookmarkStart w:id="878" w:name="_Toc513540907"/>
      <w:bookmarkStart w:id="879" w:name="_Toc13129333"/>
      <w:r>
        <w:rPr>
          <w:rFonts w:hint="eastAsia" w:ascii="宋体" w:hAnsi="宋体"/>
          <w:b w:val="0"/>
          <w:szCs w:val="21"/>
        </w:rPr>
        <w:t>12. 合同价格、计量与支付</w:t>
      </w:r>
      <w:bookmarkEnd w:id="876"/>
      <w:bookmarkEnd w:id="877"/>
      <w:bookmarkEnd w:id="878"/>
      <w:bookmarkEnd w:id="879"/>
    </w:p>
    <w:p>
      <w:pPr>
        <w:spacing w:line="360" w:lineRule="auto"/>
        <w:ind w:firstLine="472" w:firstLineChars="225"/>
        <w:rPr>
          <w:rFonts w:ascii="宋体" w:hAnsi="宋体"/>
          <w:szCs w:val="21"/>
        </w:rPr>
      </w:pPr>
      <w:r>
        <w:rPr>
          <w:rFonts w:hint="eastAsia" w:ascii="宋体" w:hAnsi="宋体"/>
          <w:szCs w:val="21"/>
        </w:rPr>
        <w:t>12.1 合同价格形式</w:t>
      </w:r>
    </w:p>
    <w:p>
      <w:pPr>
        <w:spacing w:line="360" w:lineRule="auto"/>
        <w:ind w:firstLine="472" w:firstLineChars="225"/>
        <w:jc w:val="left"/>
        <w:rPr>
          <w:rFonts w:ascii="宋体" w:hAnsi="宋体"/>
          <w:szCs w:val="21"/>
        </w:rPr>
      </w:pPr>
      <w:r>
        <w:rPr>
          <w:rFonts w:hint="eastAsia" w:ascii="宋体" w:hAnsi="宋体"/>
          <w:szCs w:val="21"/>
        </w:rPr>
        <w:t>1、单价合同。</w:t>
      </w:r>
      <w:bookmarkStart w:id="1338" w:name="_GoBack"/>
      <w:bookmarkEnd w:id="1338"/>
    </w:p>
    <w:p>
      <w:pPr>
        <w:spacing w:line="360" w:lineRule="auto"/>
        <w:ind w:firstLine="472" w:firstLineChars="225"/>
        <w:jc w:val="left"/>
        <w:rPr>
          <w:rFonts w:ascii="宋体" w:hAnsi="宋体"/>
          <w:szCs w:val="21"/>
          <w:u w:val="single"/>
        </w:rPr>
      </w:pPr>
      <w:r>
        <w:rPr>
          <w:rFonts w:hint="eastAsia" w:ascii="宋体" w:hAnsi="宋体"/>
          <w:szCs w:val="21"/>
        </w:rPr>
        <w:t>综合单价包含的风险范围：</w:t>
      </w:r>
      <w:r>
        <w:rPr>
          <w:rFonts w:hint="eastAsia" w:ascii="宋体" w:hAnsi="宋体"/>
          <w:szCs w:val="21"/>
          <w:u w:val="single"/>
        </w:rPr>
        <w:t xml:space="preserve">    /                                     </w:t>
      </w:r>
    </w:p>
    <w:p>
      <w:pPr>
        <w:spacing w:line="360" w:lineRule="auto"/>
        <w:ind w:firstLine="472" w:firstLineChars="225"/>
        <w:jc w:val="left"/>
        <w:rPr>
          <w:rFonts w:ascii="宋体" w:hAnsi="宋体"/>
          <w:szCs w:val="21"/>
          <w:u w:val="single"/>
        </w:rPr>
      </w:pPr>
      <w:r>
        <w:rPr>
          <w:rFonts w:hint="eastAsia" w:ascii="宋体" w:hAnsi="宋体"/>
          <w:szCs w:val="21"/>
        </w:rPr>
        <w:t>风险费用的计算方法：</w:t>
      </w:r>
      <w:r>
        <w:rPr>
          <w:rFonts w:hint="eastAsia" w:ascii="宋体" w:hAnsi="宋体"/>
          <w:szCs w:val="21"/>
          <w:u w:val="single"/>
        </w:rPr>
        <w:t xml:space="preserve">          /                                   </w:t>
      </w:r>
    </w:p>
    <w:p>
      <w:pPr>
        <w:spacing w:line="360" w:lineRule="auto"/>
        <w:ind w:firstLine="472" w:firstLineChars="225"/>
        <w:jc w:val="left"/>
        <w:rPr>
          <w:rFonts w:ascii="宋体" w:hAnsi="宋体"/>
          <w:szCs w:val="21"/>
        </w:rPr>
      </w:pPr>
      <w:r>
        <w:rPr>
          <w:rFonts w:hint="eastAsia" w:ascii="宋体" w:hAnsi="宋体"/>
          <w:szCs w:val="21"/>
        </w:rPr>
        <w:t>风险范围以外合同价格的调整方法：</w:t>
      </w:r>
      <w:r>
        <w:rPr>
          <w:rFonts w:hint="eastAsia" w:ascii="宋体" w:hAnsi="宋体"/>
          <w:szCs w:val="21"/>
          <w:u w:val="single"/>
        </w:rPr>
        <w:t xml:space="preserve">       /                          </w:t>
      </w:r>
    </w:p>
    <w:p>
      <w:pPr>
        <w:spacing w:line="360" w:lineRule="auto"/>
        <w:ind w:firstLine="472" w:firstLineChars="225"/>
        <w:jc w:val="left"/>
        <w:rPr>
          <w:rFonts w:ascii="宋体" w:hAnsi="宋体"/>
          <w:szCs w:val="21"/>
        </w:rPr>
      </w:pPr>
      <w:r>
        <w:rPr>
          <w:rFonts w:hint="eastAsia" w:ascii="宋体" w:hAnsi="宋体"/>
          <w:szCs w:val="21"/>
        </w:rPr>
        <w:t>2、总价合同。</w:t>
      </w:r>
    </w:p>
    <w:p>
      <w:pPr>
        <w:spacing w:line="360" w:lineRule="auto"/>
        <w:ind w:firstLine="472" w:firstLineChars="225"/>
        <w:jc w:val="left"/>
        <w:rPr>
          <w:rFonts w:ascii="宋体" w:hAnsi="宋体"/>
          <w:szCs w:val="21"/>
          <w:u w:val="single"/>
        </w:rPr>
      </w:pPr>
      <w:r>
        <w:rPr>
          <w:rFonts w:hint="eastAsia" w:ascii="宋体" w:hAnsi="宋体"/>
          <w:szCs w:val="21"/>
        </w:rPr>
        <w:t>总价包含的风险范围：</w:t>
      </w:r>
      <w:r>
        <w:rPr>
          <w:rFonts w:hint="eastAsia" w:ascii="宋体" w:hAnsi="宋体"/>
          <w:szCs w:val="21"/>
          <w:u w:val="single"/>
        </w:rPr>
        <w:t xml:space="preserve">  包含但不限于a、当地原材料价格及人工费上涨可能对项目实施带来一定的影响；b、工程施工过程中可能存在工程价款不能按时结算的风险；c、可能会存在一定的汇率风险。  </w:t>
      </w:r>
    </w:p>
    <w:p>
      <w:pPr>
        <w:spacing w:line="360" w:lineRule="auto"/>
        <w:ind w:firstLine="472" w:firstLineChars="225"/>
        <w:jc w:val="left"/>
        <w:rPr>
          <w:rFonts w:ascii="宋体" w:hAnsi="宋体"/>
          <w:szCs w:val="21"/>
          <w:u w:val="single"/>
        </w:rPr>
      </w:pPr>
      <w:r>
        <w:rPr>
          <w:rFonts w:hint="eastAsia" w:ascii="宋体" w:hAnsi="宋体"/>
          <w:szCs w:val="21"/>
        </w:rPr>
        <w:t>风险费用的计算方法：</w:t>
      </w:r>
      <w:r>
        <w:rPr>
          <w:rFonts w:hint="eastAsia" w:ascii="宋体" w:hAnsi="宋体"/>
          <w:szCs w:val="21"/>
          <w:u w:val="single"/>
        </w:rPr>
        <w:t xml:space="preserve">   /</w:t>
      </w:r>
    </w:p>
    <w:p>
      <w:pPr>
        <w:spacing w:line="360" w:lineRule="auto"/>
        <w:ind w:firstLine="472" w:firstLineChars="225"/>
        <w:jc w:val="left"/>
        <w:rPr>
          <w:rFonts w:ascii="宋体" w:hAnsi="宋体"/>
          <w:szCs w:val="21"/>
        </w:rPr>
      </w:pPr>
      <w:r>
        <w:rPr>
          <w:rFonts w:hint="eastAsia" w:ascii="宋体" w:hAnsi="宋体"/>
          <w:szCs w:val="21"/>
        </w:rPr>
        <w:t>风险范围以外合同价格的调整方法：</w:t>
      </w:r>
      <w:r>
        <w:rPr>
          <w:rFonts w:hint="eastAsia" w:ascii="宋体" w:hAnsi="宋体"/>
          <w:szCs w:val="21"/>
          <w:u w:val="single"/>
        </w:rPr>
        <w:t xml:space="preserve">    /                                 </w:t>
      </w:r>
    </w:p>
    <w:p>
      <w:pPr>
        <w:spacing w:line="360" w:lineRule="auto"/>
        <w:ind w:firstLine="472" w:firstLineChars="225"/>
        <w:jc w:val="left"/>
        <w:rPr>
          <w:rFonts w:ascii="宋体" w:hAnsi="宋体"/>
          <w:szCs w:val="21"/>
          <w:u w:val="single"/>
        </w:rPr>
      </w:pPr>
      <w:r>
        <w:rPr>
          <w:rFonts w:hint="eastAsia" w:ascii="宋体" w:hAnsi="宋体"/>
          <w:szCs w:val="21"/>
        </w:rPr>
        <w:t>3、其他价格方式：</w:t>
      </w:r>
      <w:r>
        <w:rPr>
          <w:rFonts w:hint="eastAsia" w:ascii="宋体" w:hAnsi="宋体"/>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12.2 预付款</w:t>
      </w:r>
    </w:p>
    <w:p>
      <w:pPr>
        <w:spacing w:line="360" w:lineRule="auto"/>
        <w:ind w:firstLine="472" w:firstLineChars="225"/>
        <w:jc w:val="left"/>
        <w:rPr>
          <w:rFonts w:ascii="宋体" w:hAnsi="宋体"/>
          <w:szCs w:val="21"/>
        </w:rPr>
      </w:pPr>
      <w:r>
        <w:rPr>
          <w:rFonts w:hint="eastAsia" w:ascii="宋体" w:hAnsi="宋体"/>
          <w:szCs w:val="21"/>
        </w:rPr>
        <w:t>12.2.1 预付款的支付</w:t>
      </w:r>
    </w:p>
    <w:p>
      <w:pPr>
        <w:spacing w:line="360" w:lineRule="auto"/>
        <w:ind w:firstLine="472" w:firstLineChars="225"/>
        <w:jc w:val="left"/>
        <w:rPr>
          <w:rFonts w:ascii="宋体" w:hAnsi="宋体"/>
          <w:szCs w:val="21"/>
        </w:rPr>
      </w:pPr>
      <w:r>
        <w:rPr>
          <w:rFonts w:hint="eastAsia" w:ascii="宋体" w:hAnsi="宋体"/>
          <w:szCs w:val="21"/>
        </w:rPr>
        <w:t>预付款支付比例或金额：</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预付款支付期限：</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预付款扣回的方式：</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12.2.2 预付款担保</w:t>
      </w:r>
    </w:p>
    <w:p>
      <w:pPr>
        <w:spacing w:line="360" w:lineRule="auto"/>
        <w:ind w:firstLine="472" w:firstLineChars="225"/>
        <w:jc w:val="left"/>
        <w:rPr>
          <w:rFonts w:ascii="宋体" w:hAnsi="宋体"/>
          <w:szCs w:val="21"/>
        </w:rPr>
      </w:pPr>
      <w:r>
        <w:rPr>
          <w:rFonts w:hint="eastAsia" w:ascii="宋体" w:hAnsi="宋体"/>
          <w:szCs w:val="21"/>
        </w:rPr>
        <w:t>承包人提交预付款担保的期限：</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预付款担保的形式为：</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12.3 计量</w:t>
      </w:r>
    </w:p>
    <w:p>
      <w:pPr>
        <w:spacing w:line="360" w:lineRule="auto"/>
        <w:ind w:firstLine="472" w:firstLineChars="225"/>
        <w:jc w:val="left"/>
        <w:rPr>
          <w:rFonts w:ascii="宋体" w:hAnsi="宋体"/>
          <w:szCs w:val="21"/>
        </w:rPr>
      </w:pPr>
      <w:r>
        <w:rPr>
          <w:rFonts w:hint="eastAsia" w:ascii="宋体" w:hAnsi="宋体"/>
          <w:szCs w:val="21"/>
        </w:rPr>
        <w:t>12.3.1 计量原则</w:t>
      </w:r>
    </w:p>
    <w:p>
      <w:pPr>
        <w:spacing w:line="360" w:lineRule="auto"/>
        <w:ind w:firstLine="472" w:firstLineChars="225"/>
        <w:jc w:val="left"/>
        <w:rPr>
          <w:rFonts w:ascii="宋体" w:hAnsi="宋体"/>
          <w:szCs w:val="21"/>
        </w:rPr>
      </w:pPr>
      <w:r>
        <w:rPr>
          <w:rFonts w:hint="eastAsia" w:ascii="宋体" w:hAnsi="宋体"/>
          <w:szCs w:val="21"/>
        </w:rPr>
        <w:t>工程量计算规则：</w:t>
      </w:r>
      <w:r>
        <w:rPr>
          <w:rFonts w:hint="eastAsia" w:ascii="宋体" w:hAnsi="宋体"/>
          <w:szCs w:val="21"/>
          <w:u w:val="single"/>
        </w:rPr>
        <w:t xml:space="preserve">       符合最新颁布的国家及行业标准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12.3.2 计量周期</w:t>
      </w:r>
    </w:p>
    <w:p>
      <w:pPr>
        <w:spacing w:line="360" w:lineRule="auto"/>
        <w:ind w:firstLine="472" w:firstLineChars="225"/>
        <w:jc w:val="left"/>
        <w:rPr>
          <w:rFonts w:ascii="宋体" w:hAnsi="宋体"/>
          <w:szCs w:val="21"/>
        </w:rPr>
      </w:pPr>
      <w:r>
        <w:rPr>
          <w:rFonts w:hint="eastAsia" w:ascii="宋体" w:hAnsi="宋体"/>
          <w:szCs w:val="21"/>
        </w:rPr>
        <w:t>关于计量周期的约定：。</w:t>
      </w:r>
    </w:p>
    <w:p>
      <w:pPr>
        <w:spacing w:line="360" w:lineRule="auto"/>
        <w:ind w:firstLine="472" w:firstLineChars="225"/>
        <w:jc w:val="left"/>
        <w:rPr>
          <w:rFonts w:ascii="宋体" w:hAnsi="宋体"/>
          <w:szCs w:val="21"/>
        </w:rPr>
      </w:pPr>
      <w:r>
        <w:rPr>
          <w:rFonts w:hint="eastAsia" w:ascii="宋体" w:hAnsi="宋体"/>
          <w:szCs w:val="21"/>
        </w:rPr>
        <w:t>12.3.3 单价合同的计量</w:t>
      </w:r>
    </w:p>
    <w:p>
      <w:pPr>
        <w:spacing w:line="360" w:lineRule="auto"/>
        <w:ind w:firstLine="472" w:firstLineChars="225"/>
        <w:jc w:val="left"/>
        <w:rPr>
          <w:rFonts w:ascii="宋体" w:hAnsi="宋体"/>
          <w:szCs w:val="21"/>
        </w:rPr>
      </w:pPr>
      <w:r>
        <w:rPr>
          <w:rFonts w:hint="eastAsia" w:ascii="宋体" w:hAnsi="宋体"/>
          <w:szCs w:val="21"/>
        </w:rPr>
        <w:t>关于单价合同计量的约定：</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12.3.4 总价合同的计量</w:t>
      </w:r>
    </w:p>
    <w:p>
      <w:pPr>
        <w:spacing w:line="360" w:lineRule="auto"/>
        <w:ind w:firstLine="472" w:firstLineChars="225"/>
        <w:jc w:val="left"/>
        <w:rPr>
          <w:rFonts w:ascii="宋体" w:hAnsi="宋体"/>
          <w:szCs w:val="21"/>
        </w:rPr>
      </w:pPr>
      <w:r>
        <w:rPr>
          <w:rFonts w:hint="eastAsia" w:ascii="宋体" w:hAnsi="宋体"/>
          <w:szCs w:val="21"/>
        </w:rPr>
        <w:t>关于总价合同计量的约定：</w:t>
      </w:r>
      <w:r>
        <w:rPr>
          <w:rFonts w:hint="eastAsia" w:ascii="宋体" w:hAnsi="宋体"/>
          <w:szCs w:val="21"/>
          <w:u w:val="single"/>
        </w:rPr>
        <w:t xml:space="preserve">     执行通用条款第12.3.4项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12.3.5总价合同采用支付分解表计量支付的，是否适用第</w:t>
      </w:r>
      <w:r>
        <w:rPr>
          <w:rFonts w:hint="eastAsia" w:ascii="宋体" w:hAnsi="宋体"/>
          <w:kern w:val="0"/>
          <w:szCs w:val="21"/>
        </w:rPr>
        <w:t xml:space="preserve">12.3.4 </w:t>
      </w:r>
      <w:r>
        <w:rPr>
          <w:rFonts w:hint="eastAsia" w:ascii="宋体" w:hAnsi="宋体"/>
          <w:szCs w:val="21"/>
        </w:rPr>
        <w:t>项</w:t>
      </w:r>
      <w:r>
        <w:rPr>
          <w:rFonts w:hint="eastAsia" w:ascii="宋体" w:hAnsi="宋体"/>
          <w:kern w:val="0"/>
          <w:szCs w:val="21"/>
        </w:rPr>
        <w:t>〔总价合同的计量〕</w:t>
      </w:r>
      <w:r>
        <w:rPr>
          <w:rFonts w:hint="eastAsia" w:ascii="宋体" w:hAnsi="宋体"/>
          <w:szCs w:val="21"/>
        </w:rPr>
        <w:t>约定进行计量：。</w:t>
      </w:r>
    </w:p>
    <w:p>
      <w:pPr>
        <w:spacing w:line="360" w:lineRule="auto"/>
        <w:ind w:firstLine="472" w:firstLineChars="225"/>
        <w:jc w:val="left"/>
        <w:rPr>
          <w:rFonts w:ascii="宋体" w:hAnsi="宋体"/>
          <w:szCs w:val="21"/>
        </w:rPr>
      </w:pPr>
      <w:r>
        <w:rPr>
          <w:rFonts w:hint="eastAsia" w:ascii="宋体" w:hAnsi="宋体"/>
          <w:szCs w:val="21"/>
        </w:rPr>
        <w:t>12.3.6 其他价格形式合同的计量</w:t>
      </w:r>
    </w:p>
    <w:p>
      <w:pPr>
        <w:spacing w:line="360" w:lineRule="auto"/>
        <w:ind w:firstLine="472" w:firstLineChars="225"/>
        <w:jc w:val="left"/>
        <w:rPr>
          <w:rFonts w:ascii="宋体" w:hAnsi="宋体"/>
          <w:szCs w:val="21"/>
          <w:u w:val="single"/>
        </w:rPr>
      </w:pPr>
      <w:r>
        <w:rPr>
          <w:rFonts w:hint="eastAsia" w:ascii="宋体" w:hAnsi="宋体"/>
          <w:szCs w:val="21"/>
        </w:rPr>
        <w:t>其他价格形式的计量方式和程序：</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rPr>
          <w:rFonts w:ascii="宋体" w:hAnsi="宋体"/>
          <w:szCs w:val="21"/>
        </w:rPr>
      </w:pPr>
      <w:r>
        <w:rPr>
          <w:rFonts w:hint="eastAsia" w:ascii="宋体" w:hAnsi="宋体"/>
          <w:szCs w:val="21"/>
        </w:rPr>
        <w:t>12.4 工程进度款支付</w:t>
      </w:r>
    </w:p>
    <w:p>
      <w:pPr>
        <w:spacing w:line="360" w:lineRule="auto"/>
        <w:ind w:firstLine="472" w:firstLineChars="225"/>
        <w:jc w:val="left"/>
        <w:rPr>
          <w:rFonts w:ascii="宋体" w:hAnsi="宋体"/>
          <w:szCs w:val="21"/>
        </w:rPr>
      </w:pPr>
      <w:r>
        <w:rPr>
          <w:rFonts w:hint="eastAsia" w:ascii="宋体" w:hAnsi="宋体"/>
          <w:szCs w:val="21"/>
        </w:rPr>
        <w:t>12.4.1 付款周期</w:t>
      </w:r>
    </w:p>
    <w:p>
      <w:pPr>
        <w:spacing w:line="360" w:lineRule="auto"/>
        <w:ind w:firstLine="472" w:firstLineChars="225"/>
        <w:jc w:val="left"/>
        <w:rPr>
          <w:rFonts w:hint="default" w:ascii="宋体" w:hAnsi="宋体" w:eastAsia="宋体"/>
          <w:szCs w:val="21"/>
          <w:lang w:val="en-US" w:eastAsia="zh-CN"/>
        </w:rPr>
      </w:pPr>
      <w:r>
        <w:rPr>
          <w:rFonts w:hint="eastAsia" w:ascii="宋体" w:hAnsi="宋体"/>
          <w:szCs w:val="21"/>
        </w:rPr>
        <w:t>关于付款周期的约定：</w:t>
      </w:r>
      <w:r>
        <w:rPr>
          <w:rFonts w:hint="eastAsia" w:ascii="宋体" w:hAnsi="宋体"/>
          <w:szCs w:val="21"/>
          <w:u w:val="single"/>
          <w:lang w:eastAsia="zh-CN"/>
        </w:rPr>
        <w:t>基础结构完工支付至合同价款的</w:t>
      </w:r>
      <w:r>
        <w:rPr>
          <w:rFonts w:hint="eastAsia" w:ascii="宋体" w:hAnsi="宋体"/>
          <w:szCs w:val="21"/>
          <w:u w:val="single"/>
          <w:lang w:val="en-US" w:eastAsia="zh-CN"/>
        </w:rPr>
        <w:t>3</w:t>
      </w:r>
      <w:r>
        <w:rPr>
          <w:rFonts w:hint="eastAsia" w:ascii="宋体" w:hAnsi="宋体"/>
          <w:szCs w:val="21"/>
          <w:u w:val="single"/>
          <w:lang w:eastAsia="zh-CN"/>
        </w:rPr>
        <w:t>0%；主体结构验收合格支付至合同价款的</w:t>
      </w:r>
      <w:r>
        <w:rPr>
          <w:rFonts w:hint="eastAsia" w:ascii="宋体" w:hAnsi="宋体"/>
          <w:szCs w:val="21"/>
          <w:u w:val="single"/>
          <w:lang w:val="en-US" w:eastAsia="zh-CN"/>
        </w:rPr>
        <w:t>6</w:t>
      </w:r>
      <w:r>
        <w:rPr>
          <w:rFonts w:hint="eastAsia" w:ascii="宋体" w:hAnsi="宋体"/>
          <w:szCs w:val="21"/>
          <w:u w:val="single"/>
          <w:lang w:eastAsia="zh-CN"/>
        </w:rPr>
        <w:t>0%；竣工验收合格后支付至合同价款的</w:t>
      </w:r>
      <w:r>
        <w:rPr>
          <w:rFonts w:hint="eastAsia" w:ascii="宋体" w:hAnsi="宋体"/>
          <w:szCs w:val="21"/>
          <w:u w:val="single"/>
          <w:lang w:val="en-US" w:eastAsia="zh-CN"/>
        </w:rPr>
        <w:t>97</w:t>
      </w:r>
      <w:r>
        <w:rPr>
          <w:rFonts w:hint="eastAsia" w:ascii="宋体" w:hAnsi="宋体"/>
          <w:szCs w:val="21"/>
          <w:u w:val="single"/>
          <w:lang w:eastAsia="zh-CN"/>
        </w:rPr>
        <w:t>%。剩余工程结算总价的3%作为工程质保金，待质保期(12个月)满后一次性付清</w:t>
      </w:r>
      <w:r>
        <w:rPr>
          <w:rFonts w:hint="eastAsia" w:ascii="宋体" w:hAnsi="宋体"/>
          <w:szCs w:val="21"/>
          <w:u w:val="single"/>
          <w:lang w:val="en-US" w:eastAsia="zh-CN"/>
        </w:rPr>
        <w:t>。</w:t>
      </w:r>
    </w:p>
    <w:p>
      <w:pPr>
        <w:spacing w:line="360" w:lineRule="auto"/>
        <w:ind w:firstLine="472" w:firstLineChars="225"/>
        <w:jc w:val="left"/>
        <w:rPr>
          <w:rFonts w:ascii="宋体" w:hAnsi="宋体"/>
          <w:szCs w:val="21"/>
        </w:rPr>
      </w:pPr>
      <w:r>
        <w:rPr>
          <w:rFonts w:hint="eastAsia" w:ascii="宋体" w:hAnsi="宋体"/>
          <w:szCs w:val="21"/>
        </w:rPr>
        <w:t>12.4.2 进度付款申请单的编制</w:t>
      </w:r>
    </w:p>
    <w:p>
      <w:pPr>
        <w:spacing w:line="360" w:lineRule="auto"/>
        <w:ind w:firstLine="472" w:firstLineChars="225"/>
        <w:jc w:val="left"/>
        <w:rPr>
          <w:rFonts w:ascii="宋体" w:hAnsi="宋体"/>
          <w:szCs w:val="21"/>
          <w:u w:val="single"/>
        </w:rPr>
      </w:pPr>
      <w:r>
        <w:rPr>
          <w:rFonts w:hint="eastAsia" w:ascii="宋体" w:hAnsi="宋体"/>
          <w:szCs w:val="21"/>
        </w:rPr>
        <w:t>关于进度付款申请单编制的约定：</w:t>
      </w:r>
      <w:r>
        <w:rPr>
          <w:rFonts w:hint="eastAsia" w:ascii="宋体" w:hAnsi="宋体"/>
          <w:szCs w:val="21"/>
          <w:u w:val="single"/>
        </w:rPr>
        <w:t xml:space="preserve">  按发包人要求的格式编制    </w:t>
      </w:r>
    </w:p>
    <w:p>
      <w:pPr>
        <w:spacing w:line="360" w:lineRule="auto"/>
        <w:ind w:firstLine="472" w:firstLineChars="225"/>
        <w:jc w:val="left"/>
        <w:rPr>
          <w:rFonts w:ascii="宋体" w:hAnsi="宋体"/>
          <w:szCs w:val="21"/>
        </w:rPr>
      </w:pPr>
      <w:r>
        <w:rPr>
          <w:rFonts w:hint="eastAsia" w:ascii="宋体" w:hAnsi="宋体"/>
          <w:szCs w:val="21"/>
        </w:rPr>
        <w:t>12.4.3 进度付款申请单的提交</w:t>
      </w:r>
    </w:p>
    <w:p>
      <w:pPr>
        <w:spacing w:line="360" w:lineRule="auto"/>
        <w:ind w:firstLine="472" w:firstLineChars="225"/>
        <w:jc w:val="left"/>
        <w:rPr>
          <w:rFonts w:ascii="宋体" w:hAnsi="宋体"/>
          <w:szCs w:val="21"/>
        </w:rPr>
      </w:pPr>
      <w:r>
        <w:rPr>
          <w:rFonts w:hint="eastAsia" w:ascii="宋体" w:hAnsi="宋体"/>
          <w:szCs w:val="21"/>
        </w:rPr>
        <w:t>（1）单价合同进度付款申请单提交的约定：</w:t>
      </w:r>
      <w:r>
        <w:rPr>
          <w:rFonts w:hint="eastAsia" w:ascii="宋体" w:hAnsi="宋体"/>
          <w:szCs w:val="21"/>
          <w:u w:val="single"/>
        </w:rPr>
        <w:t xml:space="preserve">       /          </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szCs w:val="21"/>
        </w:rPr>
        <w:t>（2）总价合同进度付款申请单提交的约定：</w:t>
      </w:r>
      <w:r>
        <w:rPr>
          <w:rFonts w:hint="eastAsia" w:ascii="宋体" w:hAnsi="宋体"/>
          <w:szCs w:val="21"/>
          <w:u w:val="single"/>
        </w:rPr>
        <w:t xml:space="preserve"> 应附相关证明材料 </w:t>
      </w:r>
      <w:r>
        <w:rPr>
          <w:rFonts w:hint="eastAsia" w:ascii="宋体" w:hAnsi="宋体"/>
          <w:szCs w:val="21"/>
        </w:rPr>
        <w:t>。</w:t>
      </w:r>
    </w:p>
    <w:p>
      <w:pPr>
        <w:spacing w:line="360" w:lineRule="auto"/>
        <w:ind w:firstLine="472" w:firstLineChars="225"/>
        <w:jc w:val="left"/>
        <w:rPr>
          <w:rFonts w:ascii="宋体" w:hAnsi="宋体"/>
          <w:szCs w:val="21"/>
          <w:u w:val="single"/>
        </w:rPr>
      </w:pPr>
      <w:r>
        <w:rPr>
          <w:rFonts w:hint="eastAsia" w:ascii="宋体" w:hAnsi="宋体"/>
          <w:szCs w:val="21"/>
        </w:rPr>
        <w:t>（3）其他价格形式合同进度付款申请单提交的约定：</w:t>
      </w:r>
      <w:r>
        <w:rPr>
          <w:rFonts w:hint="eastAsia" w:ascii="宋体" w:hAnsi="宋体"/>
          <w:szCs w:val="21"/>
          <w:u w:val="single"/>
        </w:rPr>
        <w:t xml:space="preserve">    /     </w:t>
      </w:r>
    </w:p>
    <w:p>
      <w:pPr>
        <w:spacing w:line="360" w:lineRule="auto"/>
        <w:ind w:firstLine="472" w:firstLineChars="225"/>
        <w:jc w:val="left"/>
        <w:rPr>
          <w:rFonts w:ascii="宋体" w:hAnsi="宋体"/>
          <w:szCs w:val="21"/>
        </w:rPr>
      </w:pPr>
      <w:r>
        <w:rPr>
          <w:rFonts w:hint="eastAsia" w:ascii="宋体" w:hAnsi="宋体"/>
          <w:szCs w:val="21"/>
        </w:rPr>
        <w:t>12.4.4 进度款审核和支付</w:t>
      </w:r>
    </w:p>
    <w:p>
      <w:pPr>
        <w:spacing w:line="360" w:lineRule="auto"/>
        <w:ind w:firstLine="472" w:firstLineChars="225"/>
        <w:jc w:val="left"/>
        <w:rPr>
          <w:rFonts w:ascii="宋体" w:hAnsi="宋体"/>
          <w:szCs w:val="21"/>
          <w:u w:val="single"/>
        </w:rPr>
      </w:pPr>
      <w:r>
        <w:rPr>
          <w:rFonts w:hint="eastAsia" w:ascii="宋体" w:hAnsi="宋体"/>
          <w:szCs w:val="21"/>
        </w:rPr>
        <w:t>（1）监理人审查并报送发包人的期限：</w:t>
      </w:r>
      <w:r>
        <w:rPr>
          <w:rFonts w:hint="eastAsia" w:ascii="宋体" w:hAnsi="宋体"/>
          <w:szCs w:val="21"/>
          <w:u w:val="single"/>
        </w:rPr>
        <w:t xml:space="preserve">   7天内     </w:t>
      </w:r>
      <w:r>
        <w:rPr>
          <w:rFonts w:hint="eastAsia" w:ascii="宋体" w:hAnsi="宋体"/>
          <w:szCs w:val="21"/>
        </w:rPr>
        <w:t>。</w:t>
      </w:r>
    </w:p>
    <w:p>
      <w:pPr>
        <w:spacing w:line="360" w:lineRule="auto"/>
        <w:ind w:firstLine="472" w:firstLineChars="225"/>
        <w:jc w:val="left"/>
        <w:rPr>
          <w:rFonts w:ascii="宋体" w:hAnsi="宋体"/>
          <w:szCs w:val="21"/>
          <w:u w:val="single"/>
        </w:rPr>
      </w:pPr>
      <w:r>
        <w:rPr>
          <w:rFonts w:hint="eastAsia" w:ascii="宋体" w:hAnsi="宋体"/>
          <w:szCs w:val="21"/>
        </w:rPr>
        <w:t>发包人完成审批并签发进度款支付证书的期限：</w:t>
      </w:r>
    </w:p>
    <w:p>
      <w:pPr>
        <w:spacing w:line="360" w:lineRule="auto"/>
        <w:ind w:firstLine="472" w:firstLineChars="225"/>
        <w:jc w:val="left"/>
        <w:rPr>
          <w:rFonts w:ascii="宋体" w:hAnsi="宋体"/>
          <w:szCs w:val="21"/>
        </w:rPr>
      </w:pPr>
      <w:r>
        <w:rPr>
          <w:rFonts w:hint="eastAsia" w:ascii="宋体" w:hAnsi="宋体"/>
          <w:szCs w:val="21"/>
        </w:rPr>
        <w:t>（2）发包人支付进度款的期限：。</w:t>
      </w:r>
    </w:p>
    <w:p>
      <w:pPr>
        <w:spacing w:line="360" w:lineRule="auto"/>
        <w:ind w:firstLine="472" w:firstLineChars="225"/>
        <w:jc w:val="left"/>
        <w:rPr>
          <w:rFonts w:ascii="宋体" w:hAnsi="宋体"/>
          <w:szCs w:val="21"/>
          <w:u w:val="single"/>
        </w:rPr>
      </w:pPr>
      <w:r>
        <w:rPr>
          <w:rFonts w:hint="eastAsia" w:ascii="宋体" w:hAnsi="宋体"/>
          <w:szCs w:val="21"/>
        </w:rPr>
        <w:t>发包人逾期支付进度款的违约金的计算方式：。</w:t>
      </w:r>
    </w:p>
    <w:p>
      <w:pPr>
        <w:spacing w:line="360" w:lineRule="auto"/>
        <w:ind w:firstLine="472" w:firstLineChars="225"/>
        <w:jc w:val="left"/>
        <w:rPr>
          <w:rFonts w:ascii="宋体" w:hAnsi="宋体"/>
          <w:szCs w:val="21"/>
        </w:rPr>
      </w:pPr>
      <w:r>
        <w:rPr>
          <w:rFonts w:hint="eastAsia" w:ascii="宋体" w:hAnsi="宋体"/>
          <w:szCs w:val="21"/>
        </w:rPr>
        <w:t>12.4.6 支付分解表的编制</w:t>
      </w:r>
    </w:p>
    <w:p>
      <w:pPr>
        <w:spacing w:line="360" w:lineRule="auto"/>
        <w:ind w:firstLine="472" w:firstLineChars="225"/>
        <w:jc w:val="left"/>
        <w:rPr>
          <w:rFonts w:ascii="宋体" w:hAnsi="宋体"/>
          <w:szCs w:val="21"/>
          <w:u w:val="single"/>
        </w:rPr>
      </w:pPr>
      <w:r>
        <w:rPr>
          <w:rFonts w:hint="eastAsia" w:ascii="宋体" w:hAnsi="宋体"/>
          <w:szCs w:val="21"/>
        </w:rPr>
        <w:t>2、总价合同支付分解表的编制与审批：</w:t>
      </w:r>
      <w:r>
        <w:rPr>
          <w:rFonts w:hint="eastAsia" w:ascii="宋体" w:hAnsi="宋体"/>
          <w:szCs w:val="21"/>
          <w:u w:val="single"/>
        </w:rPr>
        <w:t xml:space="preserve">    按发包人要求                </w:t>
      </w:r>
    </w:p>
    <w:p>
      <w:pPr>
        <w:spacing w:line="360" w:lineRule="auto"/>
        <w:ind w:firstLine="472" w:firstLineChars="225"/>
        <w:jc w:val="left"/>
        <w:rPr>
          <w:rFonts w:ascii="宋体" w:hAnsi="宋体"/>
          <w:szCs w:val="21"/>
          <w:u w:val="single"/>
        </w:rPr>
      </w:pPr>
      <w:r>
        <w:rPr>
          <w:rFonts w:hint="eastAsia" w:ascii="宋体" w:hAnsi="宋体"/>
          <w:szCs w:val="21"/>
        </w:rPr>
        <w:t>3、单价合同的总价项目支付分解表的编制与审批：</w:t>
      </w:r>
    </w:p>
    <w:p>
      <w:pPr>
        <w:pStyle w:val="9"/>
        <w:ind w:firstLine="472" w:firstLineChars="225"/>
        <w:rPr>
          <w:rFonts w:ascii="宋体" w:hAnsi="宋体"/>
          <w:b w:val="0"/>
          <w:szCs w:val="21"/>
        </w:rPr>
      </w:pPr>
      <w:bookmarkStart w:id="880" w:name="_Toc513540908"/>
      <w:bookmarkStart w:id="881" w:name="_Toc6600"/>
      <w:bookmarkStart w:id="882" w:name="_Toc13129334"/>
      <w:bookmarkStart w:id="883" w:name="_Toc5614"/>
      <w:r>
        <w:rPr>
          <w:rFonts w:hint="eastAsia" w:ascii="宋体" w:hAnsi="宋体"/>
          <w:b w:val="0"/>
          <w:szCs w:val="21"/>
        </w:rPr>
        <w:t>13. 验收和工程试车</w:t>
      </w:r>
      <w:bookmarkEnd w:id="880"/>
      <w:bookmarkEnd w:id="881"/>
      <w:bookmarkEnd w:id="882"/>
      <w:bookmarkEnd w:id="883"/>
    </w:p>
    <w:p>
      <w:pPr>
        <w:spacing w:line="360" w:lineRule="auto"/>
        <w:ind w:firstLine="472" w:firstLineChars="225"/>
        <w:rPr>
          <w:rFonts w:ascii="宋体" w:hAnsi="宋体"/>
          <w:szCs w:val="21"/>
        </w:rPr>
      </w:pPr>
      <w:r>
        <w:rPr>
          <w:rFonts w:hint="eastAsia" w:ascii="宋体" w:hAnsi="宋体"/>
          <w:szCs w:val="21"/>
        </w:rPr>
        <w:t>13.1 分部分项工程验收</w:t>
      </w:r>
    </w:p>
    <w:p>
      <w:pPr>
        <w:spacing w:line="360" w:lineRule="auto"/>
        <w:ind w:firstLine="472" w:firstLineChars="225"/>
        <w:rPr>
          <w:rFonts w:ascii="宋体" w:hAnsi="宋体"/>
          <w:szCs w:val="21"/>
        </w:rPr>
      </w:pPr>
      <w:r>
        <w:rPr>
          <w:rFonts w:hint="eastAsia" w:ascii="宋体" w:hAnsi="宋体"/>
          <w:szCs w:val="21"/>
        </w:rPr>
        <w:t>13.1.2监理人不能按时进行验收时，应提前</w:t>
      </w:r>
      <w:r>
        <w:rPr>
          <w:rFonts w:hint="eastAsia" w:ascii="宋体" w:hAnsi="宋体"/>
          <w:szCs w:val="21"/>
          <w:u w:val="single"/>
        </w:rPr>
        <w:t xml:space="preserve"> 24  </w:t>
      </w:r>
      <w:r>
        <w:rPr>
          <w:rFonts w:hint="eastAsia" w:ascii="宋体" w:hAnsi="宋体"/>
          <w:szCs w:val="21"/>
        </w:rPr>
        <w:t>小时提交书面延期要求。</w:t>
      </w:r>
    </w:p>
    <w:p>
      <w:pPr>
        <w:spacing w:line="360" w:lineRule="auto"/>
        <w:ind w:firstLine="472" w:firstLineChars="225"/>
        <w:rPr>
          <w:rFonts w:ascii="宋体" w:hAnsi="宋体"/>
          <w:szCs w:val="21"/>
        </w:rPr>
      </w:pPr>
      <w:r>
        <w:rPr>
          <w:rFonts w:hint="eastAsia" w:ascii="宋体" w:hAnsi="宋体"/>
          <w:szCs w:val="21"/>
        </w:rPr>
        <w:t>关于延期最长不得超过：</w:t>
      </w:r>
      <w:r>
        <w:rPr>
          <w:rFonts w:hint="eastAsia" w:ascii="宋体" w:hAnsi="宋体"/>
          <w:szCs w:val="21"/>
          <w:u w:val="single"/>
        </w:rPr>
        <w:t xml:space="preserve">   48   </w:t>
      </w:r>
      <w:r>
        <w:rPr>
          <w:rFonts w:hint="eastAsia" w:ascii="宋体" w:hAnsi="宋体"/>
          <w:szCs w:val="21"/>
        </w:rPr>
        <w:t>小时。</w:t>
      </w:r>
    </w:p>
    <w:p>
      <w:pPr>
        <w:spacing w:line="360" w:lineRule="auto"/>
        <w:ind w:firstLine="472" w:firstLineChars="225"/>
        <w:rPr>
          <w:rFonts w:ascii="宋体" w:hAnsi="宋体"/>
          <w:szCs w:val="21"/>
        </w:rPr>
      </w:pPr>
      <w:r>
        <w:rPr>
          <w:rFonts w:hint="eastAsia" w:ascii="宋体" w:hAnsi="宋体"/>
          <w:szCs w:val="21"/>
        </w:rPr>
        <w:t>13.2 竣工验收</w:t>
      </w:r>
    </w:p>
    <w:p>
      <w:pPr>
        <w:spacing w:line="360" w:lineRule="auto"/>
        <w:ind w:firstLine="472" w:firstLineChars="225"/>
        <w:jc w:val="left"/>
        <w:rPr>
          <w:rFonts w:ascii="宋体" w:hAnsi="宋体"/>
          <w:szCs w:val="21"/>
        </w:rPr>
      </w:pPr>
      <w:r>
        <w:rPr>
          <w:rFonts w:hint="eastAsia" w:ascii="宋体" w:hAnsi="宋体"/>
          <w:szCs w:val="21"/>
        </w:rPr>
        <w:t>13.2.2竣工验收程序</w:t>
      </w:r>
    </w:p>
    <w:p>
      <w:pPr>
        <w:spacing w:line="360" w:lineRule="auto"/>
        <w:ind w:firstLine="472" w:firstLineChars="225"/>
        <w:jc w:val="left"/>
        <w:rPr>
          <w:rFonts w:ascii="宋体" w:hAnsi="宋体"/>
          <w:szCs w:val="21"/>
          <w:u w:val="single"/>
        </w:rPr>
      </w:pPr>
      <w:r>
        <w:rPr>
          <w:rFonts w:hint="eastAsia" w:ascii="宋体" w:hAnsi="宋体"/>
          <w:kern w:val="0"/>
          <w:szCs w:val="21"/>
        </w:rPr>
        <w:t>关于竣工验收程序的约定：</w:t>
      </w:r>
      <w:r>
        <w:rPr>
          <w:rFonts w:hint="eastAsia" w:ascii="宋体" w:hAnsi="宋体"/>
          <w:szCs w:val="21"/>
          <w:u w:val="single"/>
        </w:rPr>
        <w:t xml:space="preserve">      执行通用条款第13.2.2项            </w:t>
      </w:r>
    </w:p>
    <w:p>
      <w:pPr>
        <w:spacing w:line="360" w:lineRule="auto"/>
        <w:ind w:firstLine="472" w:firstLineChars="225"/>
        <w:jc w:val="left"/>
        <w:rPr>
          <w:rFonts w:ascii="宋体" w:hAnsi="宋体"/>
          <w:szCs w:val="21"/>
          <w:u w:val="single"/>
        </w:rPr>
      </w:pPr>
      <w:r>
        <w:rPr>
          <w:rFonts w:hint="eastAsia" w:ascii="宋体" w:hAnsi="宋体"/>
          <w:kern w:val="0"/>
          <w:szCs w:val="21"/>
        </w:rPr>
        <w:t>发包人不按照本项约定组织竣工验收、颁发工程接收证书的违约金的计算方法：</w:t>
      </w:r>
    </w:p>
    <w:p>
      <w:pPr>
        <w:spacing w:line="360" w:lineRule="auto"/>
        <w:ind w:firstLine="472" w:firstLineChars="225"/>
        <w:jc w:val="left"/>
        <w:rPr>
          <w:rFonts w:ascii="宋体" w:hAnsi="宋体"/>
          <w:szCs w:val="21"/>
          <w:u w:val="single"/>
        </w:rPr>
      </w:pPr>
      <w:r>
        <w:rPr>
          <w:rFonts w:hint="eastAsia" w:ascii="宋体" w:hAnsi="宋体"/>
          <w:szCs w:val="21"/>
          <w:u w:val="single"/>
        </w:rPr>
        <w:t xml:space="preserve">                   /                     </w:t>
      </w:r>
    </w:p>
    <w:p>
      <w:pPr>
        <w:spacing w:line="360" w:lineRule="auto"/>
        <w:ind w:firstLine="472" w:firstLineChars="225"/>
        <w:jc w:val="left"/>
        <w:rPr>
          <w:rFonts w:ascii="宋体" w:hAnsi="宋体"/>
          <w:szCs w:val="21"/>
        </w:rPr>
      </w:pPr>
      <w:r>
        <w:rPr>
          <w:rFonts w:hint="eastAsia" w:ascii="宋体" w:hAnsi="宋体"/>
          <w:szCs w:val="21"/>
        </w:rPr>
        <w:t>13.2.5移交、接收全部与部分工程</w:t>
      </w:r>
    </w:p>
    <w:p>
      <w:pPr>
        <w:spacing w:line="360" w:lineRule="auto"/>
        <w:ind w:firstLine="472" w:firstLineChars="225"/>
        <w:jc w:val="left"/>
        <w:rPr>
          <w:rFonts w:ascii="宋体" w:hAnsi="宋体"/>
          <w:szCs w:val="21"/>
          <w:u w:val="single"/>
        </w:rPr>
      </w:pPr>
      <w:r>
        <w:rPr>
          <w:rFonts w:hint="eastAsia" w:ascii="宋体" w:hAnsi="宋体"/>
          <w:kern w:val="0"/>
          <w:szCs w:val="21"/>
        </w:rPr>
        <w:t>承包人向发包人移交工程的期限：</w:t>
      </w:r>
      <w:r>
        <w:rPr>
          <w:rFonts w:hint="eastAsia" w:ascii="宋体" w:hAnsi="宋体"/>
          <w:szCs w:val="21"/>
          <w:u w:val="single"/>
        </w:rPr>
        <w:t xml:space="preserve">   7天内完成工程的移交       </w:t>
      </w:r>
    </w:p>
    <w:p>
      <w:pPr>
        <w:spacing w:line="360" w:lineRule="auto"/>
        <w:ind w:firstLine="472" w:firstLineChars="225"/>
        <w:jc w:val="left"/>
        <w:rPr>
          <w:rFonts w:ascii="宋体" w:hAnsi="宋体"/>
          <w:kern w:val="0"/>
          <w:szCs w:val="21"/>
        </w:rPr>
      </w:pPr>
      <w:r>
        <w:rPr>
          <w:rFonts w:hint="eastAsia" w:ascii="宋体" w:hAnsi="宋体"/>
          <w:kern w:val="0"/>
          <w:szCs w:val="21"/>
        </w:rPr>
        <w:t>发包人未按本合同约定接收全部或部分工程的，违约金的计算方法为：</w:t>
      </w:r>
      <w:r>
        <w:rPr>
          <w:rFonts w:hint="eastAsia" w:ascii="宋体" w:hAnsi="宋体"/>
          <w:szCs w:val="21"/>
          <w:u w:val="single"/>
        </w:rPr>
        <w:t xml:space="preserve"> /      </w:t>
      </w:r>
    </w:p>
    <w:p>
      <w:pPr>
        <w:spacing w:line="360" w:lineRule="auto"/>
        <w:ind w:firstLine="472" w:firstLineChars="225"/>
        <w:jc w:val="left"/>
        <w:rPr>
          <w:rFonts w:ascii="宋体" w:hAnsi="宋体"/>
          <w:szCs w:val="21"/>
          <w:u w:val="single"/>
        </w:rPr>
      </w:pPr>
      <w:r>
        <w:rPr>
          <w:rFonts w:hint="eastAsia" w:ascii="宋体" w:hAnsi="宋体"/>
          <w:szCs w:val="21"/>
        </w:rPr>
        <w:t>承包人未按时移交工程的，违约金的计算方法为：</w:t>
      </w:r>
    </w:p>
    <w:p>
      <w:pPr>
        <w:pStyle w:val="9"/>
        <w:ind w:firstLine="472" w:firstLineChars="225"/>
        <w:rPr>
          <w:rFonts w:ascii="宋体" w:hAnsi="宋体"/>
          <w:b w:val="0"/>
          <w:szCs w:val="21"/>
        </w:rPr>
      </w:pPr>
      <w:bookmarkStart w:id="884" w:name="_Toc13129335"/>
      <w:bookmarkStart w:id="885" w:name="_Toc5281"/>
      <w:bookmarkStart w:id="886" w:name="_Toc513540909"/>
      <w:bookmarkStart w:id="887" w:name="_Toc18921"/>
      <w:r>
        <w:rPr>
          <w:rFonts w:hint="eastAsia" w:ascii="宋体" w:hAnsi="宋体"/>
          <w:b w:val="0"/>
          <w:szCs w:val="21"/>
        </w:rPr>
        <w:t>13.3.1 试车程序</w:t>
      </w:r>
      <w:bookmarkEnd w:id="884"/>
      <w:bookmarkEnd w:id="885"/>
      <w:bookmarkEnd w:id="886"/>
      <w:bookmarkEnd w:id="887"/>
    </w:p>
    <w:p>
      <w:pPr>
        <w:pStyle w:val="9"/>
        <w:ind w:firstLine="472" w:firstLineChars="225"/>
        <w:rPr>
          <w:rFonts w:ascii="宋体" w:hAnsi="宋体"/>
          <w:b w:val="0"/>
          <w:szCs w:val="21"/>
        </w:rPr>
      </w:pPr>
      <w:bookmarkStart w:id="888" w:name="_Toc513540910"/>
      <w:bookmarkStart w:id="889" w:name="_Toc1544"/>
      <w:bookmarkStart w:id="890" w:name="_Toc29440"/>
      <w:bookmarkStart w:id="891" w:name="_Toc13129336"/>
      <w:r>
        <w:rPr>
          <w:rFonts w:hint="eastAsia" w:ascii="宋体" w:hAnsi="宋体"/>
          <w:b w:val="0"/>
          <w:szCs w:val="21"/>
        </w:rPr>
        <w:t>工程试车内容：</w:t>
      </w:r>
      <w:r>
        <w:rPr>
          <w:rFonts w:hint="eastAsia" w:ascii="宋体" w:hAnsi="宋体"/>
          <w:b w:val="0"/>
          <w:szCs w:val="21"/>
          <w:u w:val="single"/>
        </w:rPr>
        <w:t xml:space="preserve">                 /</w:t>
      </w:r>
      <w:bookmarkEnd w:id="888"/>
      <w:bookmarkEnd w:id="889"/>
      <w:bookmarkEnd w:id="890"/>
      <w:bookmarkEnd w:id="891"/>
    </w:p>
    <w:p>
      <w:pPr>
        <w:spacing w:line="360" w:lineRule="auto"/>
        <w:ind w:firstLine="472" w:firstLineChars="225"/>
        <w:rPr>
          <w:rFonts w:ascii="宋体" w:hAnsi="宋体"/>
          <w:bCs/>
          <w:szCs w:val="21"/>
        </w:rPr>
      </w:pPr>
      <w:r>
        <w:rPr>
          <w:rFonts w:hint="eastAsia" w:ascii="宋体" w:hAnsi="宋体"/>
          <w:bCs/>
          <w:szCs w:val="21"/>
        </w:rPr>
        <w:t>（1）单机无负荷试车费用由</w:t>
      </w:r>
      <w:r>
        <w:rPr>
          <w:rFonts w:hint="eastAsia" w:ascii="宋体" w:hAnsi="宋体"/>
          <w:bCs/>
          <w:szCs w:val="21"/>
          <w:u w:val="single"/>
        </w:rPr>
        <w:t xml:space="preserve">        /             </w:t>
      </w:r>
      <w:r>
        <w:rPr>
          <w:rFonts w:hint="eastAsia" w:ascii="宋体" w:hAnsi="宋体"/>
          <w:bCs/>
          <w:szCs w:val="21"/>
        </w:rPr>
        <w:t>承担；</w:t>
      </w:r>
    </w:p>
    <w:p>
      <w:pPr>
        <w:spacing w:line="360" w:lineRule="auto"/>
        <w:ind w:firstLine="472" w:firstLineChars="225"/>
        <w:rPr>
          <w:rFonts w:ascii="宋体" w:hAnsi="宋体"/>
          <w:bCs/>
          <w:szCs w:val="21"/>
        </w:rPr>
      </w:pPr>
      <w:r>
        <w:rPr>
          <w:rFonts w:hint="eastAsia" w:ascii="宋体" w:hAnsi="宋体"/>
          <w:bCs/>
          <w:szCs w:val="21"/>
        </w:rPr>
        <w:t>（2）无负荷联动试车费用由</w:t>
      </w:r>
      <w:r>
        <w:rPr>
          <w:rFonts w:hint="eastAsia" w:ascii="宋体" w:hAnsi="宋体"/>
          <w:bCs/>
          <w:szCs w:val="21"/>
          <w:u w:val="single"/>
        </w:rPr>
        <w:t xml:space="preserve">         /            </w:t>
      </w:r>
      <w:r>
        <w:rPr>
          <w:rFonts w:hint="eastAsia" w:ascii="宋体" w:hAnsi="宋体"/>
          <w:bCs/>
          <w:szCs w:val="21"/>
        </w:rPr>
        <w:t>承担。</w:t>
      </w:r>
    </w:p>
    <w:p>
      <w:pPr>
        <w:spacing w:line="360" w:lineRule="auto"/>
        <w:ind w:firstLine="472" w:firstLineChars="225"/>
        <w:rPr>
          <w:rFonts w:ascii="宋体" w:hAnsi="宋体"/>
          <w:bCs/>
          <w:szCs w:val="21"/>
        </w:rPr>
      </w:pPr>
      <w:r>
        <w:rPr>
          <w:rFonts w:hint="eastAsia" w:ascii="宋体" w:hAnsi="宋体"/>
          <w:bCs/>
          <w:szCs w:val="21"/>
        </w:rPr>
        <w:t>13.3.3 投料试车</w:t>
      </w:r>
    </w:p>
    <w:p>
      <w:pPr>
        <w:spacing w:line="360" w:lineRule="auto"/>
        <w:ind w:firstLine="472" w:firstLineChars="225"/>
        <w:rPr>
          <w:rFonts w:ascii="宋体" w:hAnsi="宋体"/>
          <w:bCs/>
          <w:szCs w:val="21"/>
          <w:u w:val="single"/>
        </w:rPr>
      </w:pPr>
      <w:r>
        <w:rPr>
          <w:rFonts w:hint="eastAsia" w:ascii="宋体" w:hAnsi="宋体"/>
          <w:bCs/>
          <w:szCs w:val="21"/>
        </w:rPr>
        <w:t>关于投料试车相关事项的约定：</w:t>
      </w:r>
      <w:r>
        <w:rPr>
          <w:rFonts w:hint="eastAsia" w:ascii="宋体" w:hAnsi="宋体"/>
          <w:bCs/>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13.6 竣工退场</w:t>
      </w:r>
    </w:p>
    <w:p>
      <w:pPr>
        <w:spacing w:line="360" w:lineRule="auto"/>
        <w:ind w:firstLine="472" w:firstLineChars="225"/>
        <w:jc w:val="left"/>
        <w:rPr>
          <w:rFonts w:ascii="宋体" w:hAnsi="宋体"/>
          <w:kern w:val="0"/>
          <w:szCs w:val="21"/>
        </w:rPr>
      </w:pPr>
      <w:r>
        <w:rPr>
          <w:rFonts w:hint="eastAsia" w:ascii="宋体" w:hAnsi="宋体"/>
          <w:kern w:val="0"/>
          <w:szCs w:val="21"/>
        </w:rPr>
        <w:t>13.6.1 竣工退场</w:t>
      </w:r>
    </w:p>
    <w:p>
      <w:pPr>
        <w:spacing w:line="360" w:lineRule="auto"/>
        <w:ind w:firstLine="472" w:firstLineChars="225"/>
        <w:jc w:val="left"/>
        <w:rPr>
          <w:rFonts w:ascii="宋体" w:hAnsi="宋体"/>
          <w:kern w:val="0"/>
          <w:szCs w:val="21"/>
        </w:rPr>
      </w:pPr>
      <w:r>
        <w:rPr>
          <w:rFonts w:hint="eastAsia" w:ascii="宋体" w:hAnsi="宋体"/>
          <w:kern w:val="0"/>
          <w:szCs w:val="21"/>
        </w:rPr>
        <w:t>承包人完成竣工退场的期限：</w:t>
      </w:r>
      <w:r>
        <w:rPr>
          <w:rFonts w:hint="eastAsia" w:ascii="宋体" w:hAnsi="宋体"/>
          <w:szCs w:val="21"/>
          <w:u w:val="single"/>
        </w:rPr>
        <w:t xml:space="preserve">      7天内        </w:t>
      </w:r>
      <w:r>
        <w:rPr>
          <w:rFonts w:hint="eastAsia" w:ascii="宋体" w:hAnsi="宋体"/>
          <w:kern w:val="0"/>
          <w:szCs w:val="21"/>
        </w:rPr>
        <w:t>。</w:t>
      </w:r>
    </w:p>
    <w:p>
      <w:pPr>
        <w:pStyle w:val="9"/>
        <w:ind w:firstLine="472" w:firstLineChars="225"/>
        <w:rPr>
          <w:rFonts w:ascii="宋体" w:hAnsi="宋体"/>
          <w:b w:val="0"/>
          <w:szCs w:val="21"/>
        </w:rPr>
      </w:pPr>
      <w:bookmarkStart w:id="892" w:name="_Toc2796"/>
      <w:bookmarkStart w:id="893" w:name="_Toc32656"/>
      <w:bookmarkStart w:id="894" w:name="_Toc13129337"/>
      <w:bookmarkStart w:id="895" w:name="_Toc513540911"/>
      <w:r>
        <w:rPr>
          <w:rFonts w:hint="eastAsia" w:ascii="宋体" w:hAnsi="宋体"/>
          <w:b w:val="0"/>
          <w:szCs w:val="21"/>
        </w:rPr>
        <w:t>14. 竣工结算</w:t>
      </w:r>
      <w:bookmarkEnd w:id="892"/>
      <w:bookmarkEnd w:id="893"/>
      <w:bookmarkEnd w:id="894"/>
      <w:bookmarkEnd w:id="895"/>
    </w:p>
    <w:p>
      <w:pPr>
        <w:spacing w:line="360" w:lineRule="auto"/>
        <w:ind w:firstLine="472" w:firstLineChars="225"/>
        <w:rPr>
          <w:rFonts w:ascii="宋体" w:hAnsi="宋体"/>
          <w:szCs w:val="21"/>
        </w:rPr>
      </w:pPr>
      <w:r>
        <w:rPr>
          <w:rFonts w:hint="eastAsia" w:ascii="宋体" w:hAnsi="宋体"/>
          <w:szCs w:val="21"/>
        </w:rPr>
        <w:t>14.1 竣工付款申请</w:t>
      </w:r>
    </w:p>
    <w:p>
      <w:pPr>
        <w:spacing w:line="360" w:lineRule="auto"/>
        <w:ind w:firstLine="472" w:firstLineChars="225"/>
        <w:jc w:val="left"/>
        <w:rPr>
          <w:rFonts w:ascii="宋体" w:hAnsi="宋体"/>
          <w:szCs w:val="21"/>
          <w:u w:val="single"/>
        </w:rPr>
      </w:pPr>
      <w:r>
        <w:rPr>
          <w:rFonts w:hint="eastAsia" w:ascii="宋体" w:hAnsi="宋体"/>
          <w:szCs w:val="21"/>
        </w:rPr>
        <w:t>承包人提交竣工付款申请单的期限：</w:t>
      </w:r>
      <w:r>
        <w:rPr>
          <w:rFonts w:hint="eastAsia" w:ascii="宋体" w:hAnsi="宋体"/>
          <w:szCs w:val="21"/>
          <w:u w:val="single"/>
        </w:rPr>
        <w:t xml:space="preserve">     28天内                       </w:t>
      </w:r>
    </w:p>
    <w:p>
      <w:pPr>
        <w:spacing w:line="360" w:lineRule="auto"/>
        <w:ind w:firstLine="472" w:firstLineChars="225"/>
        <w:jc w:val="left"/>
        <w:rPr>
          <w:rFonts w:ascii="宋体" w:hAnsi="宋体"/>
          <w:szCs w:val="21"/>
          <w:u w:val="single"/>
        </w:rPr>
      </w:pPr>
      <w:r>
        <w:rPr>
          <w:rFonts w:hint="eastAsia" w:ascii="宋体" w:hAnsi="宋体"/>
          <w:szCs w:val="21"/>
        </w:rPr>
        <w:t>竣工付款申请单应包括的内容：</w:t>
      </w:r>
      <w:r>
        <w:rPr>
          <w:rFonts w:hint="eastAsia" w:ascii="宋体" w:hAnsi="宋体"/>
          <w:szCs w:val="21"/>
          <w:u w:val="single"/>
        </w:rPr>
        <w:t xml:space="preserve">    执行通用条款第14.1款及发包人要求的其他证明材料     </w:t>
      </w:r>
    </w:p>
    <w:p>
      <w:pPr>
        <w:spacing w:line="360" w:lineRule="auto"/>
        <w:ind w:firstLine="472" w:firstLineChars="225"/>
        <w:rPr>
          <w:rFonts w:ascii="宋体" w:hAnsi="宋体"/>
          <w:szCs w:val="21"/>
        </w:rPr>
      </w:pPr>
      <w:r>
        <w:rPr>
          <w:rFonts w:hint="eastAsia" w:ascii="宋体" w:hAnsi="宋体"/>
          <w:szCs w:val="21"/>
        </w:rPr>
        <w:t>14.2 竣工结算审核</w:t>
      </w:r>
    </w:p>
    <w:p>
      <w:pPr>
        <w:spacing w:line="360" w:lineRule="auto"/>
        <w:ind w:firstLine="472" w:firstLineChars="225"/>
        <w:jc w:val="left"/>
        <w:rPr>
          <w:rFonts w:ascii="宋体" w:hAnsi="宋体"/>
          <w:szCs w:val="21"/>
          <w:u w:val="single"/>
        </w:rPr>
      </w:pPr>
      <w:r>
        <w:rPr>
          <w:rFonts w:hint="eastAsia" w:ascii="宋体" w:hAnsi="宋体"/>
          <w:szCs w:val="21"/>
        </w:rPr>
        <w:t>发包人审核竣工付款申请单的期限：</w:t>
      </w:r>
    </w:p>
    <w:p>
      <w:pPr>
        <w:spacing w:line="360" w:lineRule="auto"/>
        <w:ind w:firstLine="472" w:firstLineChars="225"/>
        <w:jc w:val="left"/>
        <w:rPr>
          <w:rFonts w:ascii="宋体" w:hAnsi="宋体"/>
          <w:szCs w:val="21"/>
        </w:rPr>
      </w:pPr>
      <w:r>
        <w:rPr>
          <w:rFonts w:hint="eastAsia" w:ascii="宋体" w:hAnsi="宋体"/>
          <w:szCs w:val="21"/>
        </w:rPr>
        <w:t>发包人完成竣工付款的期限：</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关于承包人收款账户的约定：</w:t>
      </w:r>
    </w:p>
    <w:p>
      <w:pPr>
        <w:spacing w:line="360" w:lineRule="auto"/>
        <w:ind w:firstLine="472" w:firstLineChars="225"/>
        <w:rPr>
          <w:rFonts w:ascii="宋体" w:hAnsi="宋体"/>
          <w:szCs w:val="21"/>
        </w:rPr>
      </w:pPr>
      <w:r>
        <w:rPr>
          <w:rFonts w:hint="eastAsia" w:ascii="宋体" w:hAnsi="宋体"/>
          <w:szCs w:val="21"/>
        </w:rPr>
        <w:t>14.4 最终结清</w:t>
      </w:r>
    </w:p>
    <w:p>
      <w:pPr>
        <w:spacing w:line="360" w:lineRule="auto"/>
        <w:ind w:firstLine="472" w:firstLineChars="225"/>
        <w:jc w:val="left"/>
        <w:rPr>
          <w:rFonts w:ascii="宋体" w:hAnsi="宋体"/>
          <w:kern w:val="0"/>
          <w:szCs w:val="21"/>
        </w:rPr>
      </w:pPr>
      <w:r>
        <w:rPr>
          <w:rFonts w:hint="eastAsia" w:ascii="宋体" w:hAnsi="宋体"/>
          <w:kern w:val="0"/>
          <w:szCs w:val="21"/>
        </w:rPr>
        <w:t>14.4.1 最终结清申请单</w:t>
      </w:r>
    </w:p>
    <w:p>
      <w:pPr>
        <w:spacing w:line="360" w:lineRule="auto"/>
        <w:ind w:firstLine="472" w:firstLineChars="225"/>
        <w:jc w:val="left"/>
        <w:rPr>
          <w:rFonts w:ascii="宋体" w:hAnsi="宋体"/>
          <w:kern w:val="0"/>
          <w:szCs w:val="21"/>
        </w:rPr>
      </w:pPr>
      <w:r>
        <w:rPr>
          <w:rFonts w:hint="eastAsia" w:ascii="宋体" w:hAnsi="宋体"/>
          <w:kern w:val="0"/>
          <w:szCs w:val="21"/>
        </w:rPr>
        <w:t>承包人提交最终结清申请单的份数：</w:t>
      </w:r>
      <w:r>
        <w:rPr>
          <w:rFonts w:hint="eastAsia" w:ascii="宋体" w:hAnsi="宋体"/>
          <w:szCs w:val="21"/>
        </w:rPr>
        <w:t>。</w:t>
      </w:r>
    </w:p>
    <w:p>
      <w:pPr>
        <w:spacing w:line="360" w:lineRule="auto"/>
        <w:ind w:firstLine="472" w:firstLineChars="225"/>
        <w:jc w:val="left"/>
        <w:rPr>
          <w:rFonts w:ascii="宋体" w:hAnsi="宋体"/>
          <w:szCs w:val="21"/>
        </w:rPr>
      </w:pPr>
      <w:r>
        <w:rPr>
          <w:rFonts w:hint="eastAsia" w:ascii="宋体" w:hAnsi="宋体"/>
          <w:kern w:val="0"/>
          <w:szCs w:val="21"/>
        </w:rPr>
        <w:t>承包人提交最终结算申请单的期限：</w:t>
      </w:r>
      <w:r>
        <w:rPr>
          <w:rFonts w:hint="eastAsia" w:ascii="宋体" w:hAnsi="宋体"/>
          <w:szCs w:val="21"/>
        </w:rPr>
        <w:t xml:space="preserve">。 </w:t>
      </w:r>
    </w:p>
    <w:p>
      <w:pPr>
        <w:spacing w:line="360" w:lineRule="auto"/>
        <w:ind w:firstLine="472" w:firstLineChars="225"/>
        <w:jc w:val="left"/>
        <w:rPr>
          <w:rFonts w:ascii="宋体" w:hAnsi="宋体"/>
          <w:szCs w:val="21"/>
        </w:rPr>
      </w:pPr>
      <w:r>
        <w:rPr>
          <w:rFonts w:hint="eastAsia" w:ascii="宋体" w:hAnsi="宋体"/>
          <w:szCs w:val="21"/>
        </w:rPr>
        <w:t>14.4.2 最终结清证书和支付</w:t>
      </w:r>
    </w:p>
    <w:p>
      <w:pPr>
        <w:spacing w:line="360" w:lineRule="auto"/>
        <w:ind w:firstLine="472" w:firstLineChars="225"/>
        <w:jc w:val="left"/>
        <w:rPr>
          <w:rFonts w:ascii="宋体" w:hAnsi="宋体"/>
          <w:szCs w:val="21"/>
        </w:rPr>
      </w:pPr>
      <w:r>
        <w:rPr>
          <w:rFonts w:hint="eastAsia" w:ascii="宋体" w:hAnsi="宋体"/>
          <w:szCs w:val="21"/>
        </w:rPr>
        <w:t>（1）发包人完成最终结清申请单的审核并颁发最终结清证书的期限：</w:t>
      </w:r>
      <w:r>
        <w:rPr>
          <w:rFonts w:hint="eastAsia" w:ascii="宋体" w:hAnsi="宋体"/>
          <w:szCs w:val="21"/>
          <w:u w:val="single"/>
        </w:rPr>
        <w:t xml:space="preserve">执行通用条款 </w:t>
      </w:r>
    </w:p>
    <w:p>
      <w:pPr>
        <w:spacing w:line="360" w:lineRule="auto"/>
        <w:ind w:firstLine="472" w:firstLineChars="225"/>
        <w:jc w:val="left"/>
        <w:rPr>
          <w:rFonts w:ascii="宋体" w:hAnsi="宋体"/>
          <w:szCs w:val="21"/>
        </w:rPr>
      </w:pPr>
      <w:r>
        <w:rPr>
          <w:rFonts w:hint="eastAsia" w:ascii="宋体" w:hAnsi="宋体"/>
          <w:szCs w:val="21"/>
        </w:rPr>
        <w:t>（2）发包人完成支付的期限：</w:t>
      </w:r>
    </w:p>
    <w:p>
      <w:pPr>
        <w:pStyle w:val="9"/>
        <w:ind w:firstLine="472" w:firstLineChars="225"/>
        <w:rPr>
          <w:rFonts w:ascii="宋体" w:hAnsi="宋体"/>
          <w:b w:val="0"/>
          <w:szCs w:val="21"/>
        </w:rPr>
      </w:pPr>
      <w:bookmarkStart w:id="896" w:name="_Toc32145"/>
      <w:bookmarkStart w:id="897" w:name="_Toc513540912"/>
      <w:bookmarkStart w:id="898" w:name="_Toc13129338"/>
      <w:bookmarkStart w:id="899" w:name="_Toc13355"/>
      <w:r>
        <w:rPr>
          <w:rFonts w:hint="eastAsia" w:ascii="宋体" w:hAnsi="宋体"/>
          <w:b w:val="0"/>
          <w:szCs w:val="21"/>
        </w:rPr>
        <w:t>15. 缺陷责任期与保修</w:t>
      </w:r>
      <w:bookmarkEnd w:id="896"/>
      <w:bookmarkEnd w:id="897"/>
      <w:bookmarkEnd w:id="898"/>
      <w:bookmarkEnd w:id="899"/>
    </w:p>
    <w:p>
      <w:pPr>
        <w:spacing w:line="360" w:lineRule="auto"/>
        <w:ind w:firstLine="472" w:firstLineChars="225"/>
        <w:rPr>
          <w:rFonts w:ascii="宋体" w:hAnsi="宋体"/>
          <w:szCs w:val="21"/>
        </w:rPr>
      </w:pPr>
      <w:r>
        <w:rPr>
          <w:rFonts w:hint="eastAsia" w:ascii="宋体" w:hAnsi="宋体"/>
          <w:szCs w:val="21"/>
        </w:rPr>
        <w:t>15.2缺陷责任期</w:t>
      </w:r>
    </w:p>
    <w:p>
      <w:pPr>
        <w:spacing w:line="360" w:lineRule="auto"/>
        <w:ind w:firstLine="472" w:firstLineChars="225"/>
        <w:jc w:val="left"/>
        <w:rPr>
          <w:rFonts w:ascii="宋体" w:hAnsi="宋体"/>
          <w:szCs w:val="21"/>
        </w:rPr>
      </w:pPr>
      <w:r>
        <w:rPr>
          <w:rFonts w:hint="eastAsia" w:ascii="宋体" w:hAnsi="宋体"/>
          <w:szCs w:val="21"/>
        </w:rPr>
        <w:t>缺陷责任期的具体期限：</w:t>
      </w:r>
      <w:r>
        <w:rPr>
          <w:rFonts w:hint="eastAsia" w:ascii="宋体" w:hAnsi="宋体"/>
          <w:szCs w:val="21"/>
          <w:u w:val="single"/>
        </w:rPr>
        <w:t xml:space="preserve">  自实际竣工并交付使用之日起12个月</w:t>
      </w:r>
    </w:p>
    <w:p>
      <w:pPr>
        <w:spacing w:line="360" w:lineRule="auto"/>
        <w:ind w:firstLine="472" w:firstLineChars="225"/>
        <w:rPr>
          <w:rFonts w:ascii="宋体" w:hAnsi="宋体"/>
          <w:szCs w:val="21"/>
        </w:rPr>
      </w:pPr>
      <w:r>
        <w:rPr>
          <w:rFonts w:hint="eastAsia" w:ascii="宋体" w:hAnsi="宋体"/>
          <w:szCs w:val="21"/>
        </w:rPr>
        <w:t>15.3 质量保证金</w:t>
      </w:r>
    </w:p>
    <w:p>
      <w:pPr>
        <w:spacing w:line="360" w:lineRule="auto"/>
        <w:ind w:firstLine="472" w:firstLineChars="225"/>
        <w:jc w:val="left"/>
        <w:rPr>
          <w:rFonts w:ascii="宋体" w:hAnsi="宋体"/>
          <w:szCs w:val="21"/>
        </w:rPr>
      </w:pPr>
      <w:r>
        <w:rPr>
          <w:rFonts w:hint="eastAsia" w:ascii="宋体" w:hAnsi="宋体"/>
          <w:szCs w:val="21"/>
        </w:rPr>
        <w:t>关于是否扣留质量保证金的约定：</w:t>
      </w:r>
      <w:r>
        <w:rPr>
          <w:rFonts w:hint="eastAsia" w:ascii="宋体" w:hAnsi="宋体"/>
          <w:szCs w:val="21"/>
          <w:u w:val="single"/>
        </w:rPr>
        <w:t xml:space="preserve">      是                             </w:t>
      </w:r>
    </w:p>
    <w:p>
      <w:pPr>
        <w:spacing w:line="360" w:lineRule="auto"/>
        <w:ind w:firstLine="472" w:firstLineChars="225"/>
        <w:jc w:val="left"/>
        <w:rPr>
          <w:rFonts w:ascii="宋体" w:hAnsi="宋体"/>
          <w:szCs w:val="21"/>
        </w:rPr>
      </w:pPr>
      <w:r>
        <w:rPr>
          <w:rFonts w:hint="eastAsia" w:ascii="宋体" w:hAnsi="宋体"/>
          <w:szCs w:val="21"/>
        </w:rPr>
        <w:t>15.3.1 承包人提供质量保证金的方式</w:t>
      </w:r>
    </w:p>
    <w:p>
      <w:pPr>
        <w:spacing w:line="360" w:lineRule="auto"/>
        <w:ind w:firstLine="472" w:firstLineChars="225"/>
        <w:jc w:val="left"/>
        <w:rPr>
          <w:rFonts w:ascii="宋体" w:hAnsi="宋体"/>
          <w:szCs w:val="21"/>
        </w:rPr>
      </w:pPr>
      <w:r>
        <w:rPr>
          <w:rFonts w:hint="eastAsia" w:ascii="宋体" w:hAnsi="宋体"/>
          <w:szCs w:val="21"/>
        </w:rPr>
        <w:t>质量保证金采用以下第</w:t>
      </w:r>
      <w:r>
        <w:rPr>
          <w:rFonts w:hint="eastAsia" w:ascii="宋体" w:hAnsi="宋体"/>
          <w:szCs w:val="21"/>
          <w:u w:val="single"/>
        </w:rPr>
        <w:t xml:space="preserve">  2   </w:t>
      </w:r>
      <w:r>
        <w:rPr>
          <w:rFonts w:hint="eastAsia" w:ascii="宋体" w:hAnsi="宋体"/>
          <w:szCs w:val="21"/>
        </w:rPr>
        <w:t>种方式：</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 xml:space="preserve">（1）质量保证金保函，保证金额为：； </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（2）</w:t>
      </w:r>
      <w:r>
        <w:rPr>
          <w:rFonts w:hint="eastAsia" w:ascii="宋体" w:hAnsi="宋体"/>
          <w:kern w:val="0"/>
          <w:szCs w:val="21"/>
          <w:u w:val="single"/>
        </w:rPr>
        <w:t xml:space="preserve">  3  </w:t>
      </w:r>
      <w:r>
        <w:rPr>
          <w:rFonts w:hint="eastAsia" w:ascii="宋体" w:hAnsi="宋体"/>
          <w:kern w:val="0"/>
          <w:szCs w:val="21"/>
        </w:rPr>
        <w:t>%的工程款；</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（3）其他方式:</w:t>
      </w:r>
    </w:p>
    <w:p>
      <w:pPr>
        <w:spacing w:line="360" w:lineRule="auto"/>
        <w:ind w:firstLine="472" w:firstLineChars="225"/>
        <w:jc w:val="left"/>
        <w:rPr>
          <w:rFonts w:ascii="宋体" w:hAnsi="宋体"/>
          <w:szCs w:val="21"/>
        </w:rPr>
      </w:pPr>
      <w:r>
        <w:rPr>
          <w:rFonts w:hint="eastAsia" w:ascii="宋体" w:hAnsi="宋体"/>
          <w:szCs w:val="21"/>
        </w:rPr>
        <w:t xml:space="preserve">15.3.2 质量保证金的扣留    </w:t>
      </w:r>
    </w:p>
    <w:p>
      <w:pPr>
        <w:spacing w:line="360" w:lineRule="auto"/>
        <w:ind w:firstLine="472" w:firstLineChars="225"/>
        <w:jc w:val="left"/>
        <w:rPr>
          <w:rFonts w:ascii="宋体" w:hAnsi="宋体"/>
          <w:szCs w:val="21"/>
        </w:rPr>
      </w:pPr>
      <w:r>
        <w:rPr>
          <w:rFonts w:hint="eastAsia" w:ascii="宋体" w:hAnsi="宋体"/>
          <w:szCs w:val="21"/>
        </w:rPr>
        <w:t>质量保证金的扣留采取以下第</w:t>
      </w:r>
      <w:r>
        <w:rPr>
          <w:rFonts w:hint="eastAsia" w:ascii="宋体" w:hAnsi="宋体"/>
          <w:szCs w:val="21"/>
          <w:u w:val="single"/>
        </w:rPr>
        <w:t xml:space="preserve">  2   </w:t>
      </w:r>
      <w:r>
        <w:rPr>
          <w:rFonts w:hint="eastAsia" w:ascii="宋体" w:hAnsi="宋体"/>
          <w:szCs w:val="21"/>
        </w:rPr>
        <w:t>种方式：</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（1）在支付工程进度款时逐次扣留，在此情形下，质量保证金的计算基数不包括预付款的支付、扣回以及价格调整的金额；</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（2）工程竣工结算时一次性扣留质量保证金；</w:t>
      </w:r>
    </w:p>
    <w:p>
      <w:pPr>
        <w:autoSpaceDE w:val="0"/>
        <w:autoSpaceDN w:val="0"/>
        <w:adjustRightInd w:val="0"/>
        <w:spacing w:line="360" w:lineRule="auto"/>
        <w:ind w:firstLine="472" w:firstLineChars="225"/>
        <w:jc w:val="left"/>
        <w:rPr>
          <w:rFonts w:ascii="宋体" w:hAnsi="宋体"/>
          <w:kern w:val="0"/>
          <w:szCs w:val="21"/>
          <w:u w:val="single"/>
        </w:rPr>
      </w:pPr>
      <w:r>
        <w:rPr>
          <w:rFonts w:hint="eastAsia" w:ascii="宋体" w:hAnsi="宋体"/>
          <w:kern w:val="0"/>
          <w:szCs w:val="21"/>
        </w:rPr>
        <w:t>（3）其他扣留方式:</w:t>
      </w:r>
    </w:p>
    <w:p>
      <w:pPr>
        <w:spacing w:line="360" w:lineRule="auto"/>
        <w:ind w:firstLine="472" w:firstLineChars="225"/>
        <w:jc w:val="left"/>
        <w:rPr>
          <w:rFonts w:ascii="宋体" w:hAnsi="宋体"/>
          <w:kern w:val="0"/>
          <w:szCs w:val="21"/>
          <w:u w:val="single"/>
        </w:rPr>
      </w:pPr>
      <w:r>
        <w:rPr>
          <w:rFonts w:hint="eastAsia" w:ascii="宋体" w:hAnsi="宋体"/>
          <w:szCs w:val="21"/>
        </w:rPr>
        <w:t>关于质量保证金的补充约定：</w:t>
      </w:r>
    </w:p>
    <w:p>
      <w:pPr>
        <w:spacing w:line="360" w:lineRule="auto"/>
        <w:ind w:firstLine="472" w:firstLineChars="225"/>
        <w:rPr>
          <w:rFonts w:ascii="宋体" w:hAnsi="宋体"/>
          <w:szCs w:val="21"/>
        </w:rPr>
      </w:pPr>
      <w:r>
        <w:rPr>
          <w:rFonts w:hint="eastAsia" w:ascii="宋体" w:hAnsi="宋体"/>
          <w:szCs w:val="21"/>
        </w:rPr>
        <w:t>15.4保修</w:t>
      </w:r>
    </w:p>
    <w:p>
      <w:pPr>
        <w:spacing w:line="360" w:lineRule="auto"/>
        <w:ind w:firstLine="472" w:firstLineChars="225"/>
        <w:jc w:val="left"/>
        <w:rPr>
          <w:rFonts w:ascii="宋体" w:hAnsi="宋体"/>
          <w:szCs w:val="21"/>
        </w:rPr>
      </w:pPr>
      <w:r>
        <w:rPr>
          <w:rFonts w:hint="eastAsia" w:ascii="宋体" w:hAnsi="宋体"/>
          <w:szCs w:val="21"/>
        </w:rPr>
        <w:t>15.4.1 保修责任</w:t>
      </w:r>
    </w:p>
    <w:p>
      <w:pPr>
        <w:spacing w:line="360" w:lineRule="auto"/>
        <w:ind w:firstLine="472" w:firstLineChars="225"/>
        <w:jc w:val="left"/>
        <w:rPr>
          <w:rFonts w:ascii="宋体" w:hAnsi="宋体"/>
          <w:kern w:val="0"/>
          <w:szCs w:val="21"/>
          <w:u w:val="single"/>
        </w:rPr>
      </w:pPr>
      <w:r>
        <w:rPr>
          <w:rFonts w:hint="eastAsia" w:ascii="宋体" w:hAnsi="宋体"/>
          <w:szCs w:val="21"/>
        </w:rPr>
        <w:t>工程保修期为：</w:t>
      </w:r>
      <w:r>
        <w:rPr>
          <w:rFonts w:hint="eastAsia" w:ascii="宋体" w:hAnsi="宋体"/>
          <w:kern w:val="0"/>
          <w:szCs w:val="21"/>
          <w:u w:val="single"/>
        </w:rPr>
        <w:t xml:space="preserve">   按国家规定                            </w:t>
      </w:r>
    </w:p>
    <w:p>
      <w:pPr>
        <w:spacing w:line="360" w:lineRule="auto"/>
        <w:ind w:firstLine="472" w:firstLineChars="225"/>
        <w:jc w:val="left"/>
        <w:rPr>
          <w:rFonts w:ascii="宋体" w:hAnsi="宋体"/>
          <w:szCs w:val="21"/>
        </w:rPr>
      </w:pPr>
      <w:r>
        <w:rPr>
          <w:rFonts w:hint="eastAsia" w:ascii="宋体" w:hAnsi="宋体"/>
          <w:szCs w:val="21"/>
        </w:rPr>
        <w:t>15.4.3 修复通知</w:t>
      </w:r>
    </w:p>
    <w:p>
      <w:pPr>
        <w:spacing w:line="360" w:lineRule="auto"/>
        <w:ind w:firstLine="472" w:firstLineChars="225"/>
        <w:jc w:val="left"/>
        <w:rPr>
          <w:rFonts w:ascii="宋体" w:hAnsi="宋体"/>
          <w:kern w:val="0"/>
          <w:szCs w:val="21"/>
          <w:u w:val="single"/>
        </w:rPr>
      </w:pPr>
      <w:r>
        <w:rPr>
          <w:rFonts w:hint="eastAsia" w:ascii="宋体" w:hAnsi="宋体"/>
          <w:kern w:val="0"/>
          <w:szCs w:val="21"/>
        </w:rPr>
        <w:t>承包人收到保修通知并到达工程现场的合理时间：</w:t>
      </w:r>
      <w:r>
        <w:rPr>
          <w:rFonts w:hint="eastAsia" w:ascii="宋体" w:hAnsi="宋体"/>
          <w:kern w:val="0"/>
          <w:szCs w:val="21"/>
          <w:u w:val="single"/>
        </w:rPr>
        <w:t xml:space="preserve"> 24小时内                </w:t>
      </w:r>
    </w:p>
    <w:p>
      <w:pPr>
        <w:pStyle w:val="9"/>
        <w:ind w:firstLine="472" w:firstLineChars="225"/>
        <w:rPr>
          <w:rFonts w:ascii="宋体" w:hAnsi="宋体"/>
          <w:b w:val="0"/>
          <w:szCs w:val="21"/>
        </w:rPr>
      </w:pPr>
      <w:bookmarkStart w:id="900" w:name="_Toc13129339"/>
      <w:bookmarkStart w:id="901" w:name="_Toc513540913"/>
      <w:bookmarkStart w:id="902" w:name="_Toc9965"/>
      <w:bookmarkStart w:id="903" w:name="_Toc1821"/>
      <w:r>
        <w:rPr>
          <w:rFonts w:hint="eastAsia" w:ascii="宋体" w:hAnsi="宋体"/>
          <w:b w:val="0"/>
          <w:szCs w:val="21"/>
        </w:rPr>
        <w:t>16. 违约</w:t>
      </w:r>
      <w:bookmarkEnd w:id="900"/>
      <w:bookmarkEnd w:id="901"/>
      <w:bookmarkEnd w:id="902"/>
      <w:bookmarkEnd w:id="903"/>
    </w:p>
    <w:p>
      <w:pPr>
        <w:spacing w:line="360" w:lineRule="auto"/>
        <w:ind w:firstLine="472" w:firstLineChars="225"/>
        <w:rPr>
          <w:rFonts w:ascii="宋体" w:hAnsi="宋体"/>
          <w:szCs w:val="21"/>
        </w:rPr>
      </w:pPr>
      <w:r>
        <w:rPr>
          <w:rFonts w:hint="eastAsia" w:ascii="宋体" w:hAnsi="宋体"/>
          <w:szCs w:val="21"/>
        </w:rPr>
        <w:t>16.1 发包人违约</w:t>
      </w:r>
    </w:p>
    <w:p>
      <w:pPr>
        <w:spacing w:line="360" w:lineRule="auto"/>
        <w:ind w:firstLine="472" w:firstLineChars="225"/>
        <w:jc w:val="left"/>
        <w:rPr>
          <w:rFonts w:ascii="宋体" w:hAnsi="宋体"/>
          <w:szCs w:val="21"/>
        </w:rPr>
      </w:pPr>
      <w:r>
        <w:rPr>
          <w:rFonts w:hint="eastAsia" w:ascii="宋体" w:hAnsi="宋体"/>
          <w:szCs w:val="21"/>
        </w:rPr>
        <w:t>16.1.1发包人违约的情形</w:t>
      </w:r>
      <w:r>
        <w:rPr>
          <w:rFonts w:hint="eastAsia" w:ascii="宋体" w:hAnsi="宋体"/>
          <w:kern w:val="0"/>
          <w:szCs w:val="21"/>
          <w:u w:val="single"/>
        </w:rPr>
        <w:t xml:space="preserve">     执行通用条款第16.1.1项                                 </w:t>
      </w:r>
    </w:p>
    <w:p>
      <w:pPr>
        <w:spacing w:line="360" w:lineRule="auto"/>
        <w:ind w:firstLine="472" w:firstLineChars="225"/>
        <w:jc w:val="left"/>
        <w:rPr>
          <w:rFonts w:ascii="宋体" w:hAnsi="宋体"/>
          <w:kern w:val="0"/>
          <w:szCs w:val="21"/>
          <w:u w:val="single"/>
        </w:rPr>
      </w:pPr>
      <w:r>
        <w:rPr>
          <w:rFonts w:hint="eastAsia" w:ascii="宋体" w:hAnsi="宋体"/>
          <w:kern w:val="0"/>
          <w:szCs w:val="21"/>
        </w:rPr>
        <w:t>发包人违约的其他情形：</w:t>
      </w:r>
      <w:r>
        <w:rPr>
          <w:rFonts w:hint="eastAsia" w:ascii="宋体" w:hAnsi="宋体"/>
          <w:kern w:val="0"/>
          <w:szCs w:val="21"/>
          <w:u w:val="single"/>
        </w:rPr>
        <w:t xml:space="preserve">      /                                        </w:t>
      </w:r>
    </w:p>
    <w:p>
      <w:pPr>
        <w:spacing w:line="360" w:lineRule="auto"/>
        <w:ind w:firstLine="472" w:firstLineChars="225"/>
        <w:jc w:val="left"/>
        <w:rPr>
          <w:rFonts w:ascii="宋体" w:hAnsi="宋体"/>
          <w:kern w:val="0"/>
          <w:szCs w:val="21"/>
        </w:rPr>
      </w:pPr>
      <w:r>
        <w:rPr>
          <w:rFonts w:hint="eastAsia" w:ascii="宋体" w:hAnsi="宋体"/>
          <w:kern w:val="0"/>
          <w:szCs w:val="21"/>
        </w:rPr>
        <w:t>16.1.2 发包人违约的责任</w:t>
      </w:r>
    </w:p>
    <w:p>
      <w:pPr>
        <w:spacing w:line="360" w:lineRule="auto"/>
        <w:ind w:firstLine="472" w:firstLineChars="225"/>
        <w:jc w:val="left"/>
        <w:rPr>
          <w:rFonts w:ascii="宋体" w:hAnsi="宋体"/>
          <w:kern w:val="0"/>
          <w:szCs w:val="21"/>
        </w:rPr>
      </w:pPr>
      <w:r>
        <w:rPr>
          <w:rFonts w:hint="eastAsia" w:ascii="宋体" w:hAnsi="宋体"/>
          <w:kern w:val="0"/>
          <w:szCs w:val="21"/>
        </w:rPr>
        <w:t>发包人违约责任的承担方式和计算方法：</w:t>
      </w:r>
    </w:p>
    <w:p>
      <w:pPr>
        <w:spacing w:line="360" w:lineRule="auto"/>
        <w:ind w:firstLine="472" w:firstLineChars="225"/>
        <w:jc w:val="left"/>
        <w:rPr>
          <w:rFonts w:ascii="宋体" w:hAnsi="宋体"/>
          <w:kern w:val="0"/>
          <w:szCs w:val="21"/>
          <w:u w:val="single"/>
        </w:rPr>
      </w:pPr>
      <w:r>
        <w:rPr>
          <w:rFonts w:hint="eastAsia" w:ascii="宋体" w:hAnsi="宋体"/>
          <w:kern w:val="0"/>
          <w:szCs w:val="21"/>
        </w:rPr>
        <w:t>（1）因发包人原因未能在计划开工日期前7天内下达开工通知的违约责任：</w:t>
      </w:r>
    </w:p>
    <w:p>
      <w:pPr>
        <w:spacing w:line="360" w:lineRule="auto"/>
        <w:ind w:firstLine="472" w:firstLineChars="225"/>
        <w:jc w:val="left"/>
        <w:rPr>
          <w:rFonts w:ascii="宋体" w:hAnsi="宋体"/>
          <w:kern w:val="0"/>
          <w:szCs w:val="21"/>
        </w:rPr>
      </w:pPr>
      <w:r>
        <w:rPr>
          <w:rFonts w:hint="eastAsia" w:ascii="宋体" w:hAnsi="宋体"/>
          <w:kern w:val="0"/>
          <w:szCs w:val="21"/>
          <w:u w:val="single"/>
        </w:rPr>
        <w:t xml:space="preserve">                             /                                        </w:t>
      </w:r>
    </w:p>
    <w:p>
      <w:pPr>
        <w:spacing w:line="360" w:lineRule="auto"/>
        <w:ind w:firstLine="472" w:firstLineChars="225"/>
        <w:jc w:val="left"/>
        <w:rPr>
          <w:rFonts w:ascii="宋体" w:hAnsi="宋体"/>
          <w:kern w:val="0"/>
          <w:szCs w:val="21"/>
        </w:rPr>
      </w:pPr>
      <w:r>
        <w:rPr>
          <w:rFonts w:hint="eastAsia" w:ascii="宋体" w:hAnsi="宋体"/>
          <w:kern w:val="0"/>
          <w:szCs w:val="21"/>
        </w:rPr>
        <w:t>（2）因发包人原因未能按合同约定支付合同价款的违约责任：</w:t>
      </w:r>
      <w:r>
        <w:rPr>
          <w:rFonts w:hint="eastAsia" w:ascii="宋体" w:hAnsi="宋体"/>
          <w:kern w:val="0"/>
          <w:szCs w:val="21"/>
          <w:u w:val="single"/>
        </w:rPr>
        <w:t xml:space="preserve">      /          </w:t>
      </w:r>
    </w:p>
    <w:p>
      <w:pPr>
        <w:spacing w:line="360" w:lineRule="auto"/>
        <w:ind w:firstLine="472" w:firstLineChars="225"/>
        <w:jc w:val="left"/>
        <w:rPr>
          <w:rFonts w:ascii="宋体" w:hAnsi="宋体"/>
          <w:kern w:val="0"/>
          <w:szCs w:val="21"/>
          <w:u w:val="single"/>
        </w:rPr>
      </w:pPr>
      <w:r>
        <w:rPr>
          <w:rFonts w:hint="eastAsia" w:ascii="宋体" w:hAnsi="宋体"/>
          <w:kern w:val="0"/>
          <w:szCs w:val="21"/>
        </w:rPr>
        <w:t>（3）发包人违反第10.1款〔变更的范围〕第（2）项约定，自行实施被取消的工作或转由他人实施的违约责任：</w:t>
      </w:r>
      <w:r>
        <w:rPr>
          <w:rFonts w:hint="eastAsia" w:ascii="宋体" w:hAnsi="宋体"/>
          <w:kern w:val="0"/>
          <w:szCs w:val="21"/>
          <w:u w:val="single"/>
        </w:rPr>
        <w:t xml:space="preserve">               /                </w:t>
      </w:r>
    </w:p>
    <w:p>
      <w:pPr>
        <w:spacing w:line="360" w:lineRule="auto"/>
        <w:ind w:firstLine="472" w:firstLineChars="225"/>
        <w:jc w:val="left"/>
        <w:rPr>
          <w:rFonts w:ascii="宋体" w:hAnsi="宋体"/>
          <w:kern w:val="0"/>
          <w:szCs w:val="21"/>
        </w:rPr>
      </w:pPr>
      <w:r>
        <w:rPr>
          <w:rFonts w:hint="eastAsia"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     </w:t>
      </w:r>
    </w:p>
    <w:p>
      <w:pPr>
        <w:spacing w:line="360" w:lineRule="auto"/>
        <w:ind w:firstLine="472" w:firstLineChars="225"/>
        <w:jc w:val="left"/>
        <w:rPr>
          <w:rFonts w:ascii="宋体" w:hAnsi="宋体"/>
          <w:kern w:val="0"/>
          <w:szCs w:val="21"/>
          <w:u w:val="single"/>
        </w:rPr>
      </w:pPr>
      <w:r>
        <w:rPr>
          <w:rFonts w:hint="eastAsia" w:ascii="宋体" w:hAnsi="宋体"/>
          <w:kern w:val="0"/>
          <w:szCs w:val="21"/>
        </w:rPr>
        <w:t>（5）因发包人违反合同约定造成暂停施工的违约责任：</w:t>
      </w:r>
      <w:r>
        <w:rPr>
          <w:rFonts w:hint="eastAsia" w:ascii="宋体" w:hAnsi="宋体"/>
          <w:kern w:val="0"/>
          <w:szCs w:val="21"/>
          <w:u w:val="single"/>
        </w:rPr>
        <w:t xml:space="preserve">        /           </w:t>
      </w:r>
    </w:p>
    <w:p>
      <w:pPr>
        <w:spacing w:line="360" w:lineRule="auto"/>
        <w:ind w:firstLine="472" w:firstLineChars="225"/>
        <w:jc w:val="left"/>
        <w:rPr>
          <w:rFonts w:ascii="宋体" w:hAnsi="宋体"/>
          <w:kern w:val="0"/>
          <w:szCs w:val="21"/>
        </w:rPr>
      </w:pPr>
      <w:r>
        <w:rPr>
          <w:rFonts w:hint="eastAsia" w:ascii="宋体" w:hAnsi="宋体"/>
          <w:kern w:val="0"/>
          <w:szCs w:val="21"/>
        </w:rPr>
        <w:t>（6）发包人无正当理由没有在约定期限内发出复工指示，导致承包人无法复工的违约责任：</w:t>
      </w:r>
      <w:r>
        <w:rPr>
          <w:rFonts w:hint="eastAsia" w:ascii="宋体" w:hAnsi="宋体"/>
          <w:kern w:val="0"/>
          <w:szCs w:val="21"/>
          <w:u w:val="single"/>
        </w:rPr>
        <w:t xml:space="preserve">                      /                                </w:t>
      </w:r>
    </w:p>
    <w:p>
      <w:pPr>
        <w:spacing w:line="360" w:lineRule="auto"/>
        <w:ind w:firstLine="472" w:firstLineChars="225"/>
        <w:jc w:val="left"/>
        <w:rPr>
          <w:rFonts w:ascii="宋体" w:hAnsi="宋体"/>
          <w:kern w:val="0"/>
          <w:szCs w:val="21"/>
        </w:rPr>
      </w:pPr>
      <w:r>
        <w:rPr>
          <w:rFonts w:hint="eastAsia" w:ascii="宋体" w:hAnsi="宋体"/>
          <w:kern w:val="0"/>
          <w:szCs w:val="21"/>
        </w:rPr>
        <w:t>（7）其他：</w:t>
      </w:r>
      <w:r>
        <w:rPr>
          <w:rFonts w:hint="eastAsia" w:ascii="宋体" w:hAnsi="宋体"/>
          <w:kern w:val="0"/>
          <w:szCs w:val="21"/>
          <w:u w:val="single"/>
        </w:rPr>
        <w:t xml:space="preserve">                    /                                   </w:t>
      </w:r>
    </w:p>
    <w:p>
      <w:pPr>
        <w:spacing w:line="360" w:lineRule="auto"/>
        <w:ind w:firstLine="472" w:firstLineChars="225"/>
        <w:jc w:val="left"/>
        <w:rPr>
          <w:rFonts w:ascii="宋体" w:hAnsi="宋体"/>
          <w:szCs w:val="21"/>
        </w:rPr>
      </w:pPr>
      <w:r>
        <w:rPr>
          <w:rFonts w:hint="eastAsia" w:ascii="宋体" w:hAnsi="宋体"/>
          <w:szCs w:val="21"/>
        </w:rPr>
        <w:t>16.1.3 因发包人违约解除合同</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承包人按16.1.1项〔发包人违约的情形〕约定暂停施工满</w:t>
      </w:r>
      <w:r>
        <w:rPr>
          <w:rFonts w:hint="eastAsia" w:ascii="宋体" w:hAnsi="宋体"/>
          <w:kern w:val="0"/>
          <w:szCs w:val="21"/>
          <w:u w:val="single"/>
        </w:rPr>
        <w:t xml:space="preserve">  /  </w:t>
      </w:r>
      <w:r>
        <w:rPr>
          <w:rFonts w:hint="eastAsia" w:ascii="宋体" w:hAnsi="宋体"/>
          <w:kern w:val="0"/>
          <w:szCs w:val="21"/>
        </w:rPr>
        <w:t>天后发包人仍不纠正其违约行为并致使合同目的不能实现的，承包人有权解除合同。</w:t>
      </w:r>
    </w:p>
    <w:p>
      <w:pPr>
        <w:spacing w:line="360" w:lineRule="auto"/>
        <w:ind w:firstLine="472" w:firstLineChars="225"/>
        <w:rPr>
          <w:rFonts w:ascii="宋体" w:hAnsi="宋体"/>
          <w:szCs w:val="21"/>
        </w:rPr>
      </w:pPr>
      <w:r>
        <w:rPr>
          <w:rFonts w:hint="eastAsia" w:ascii="宋体" w:hAnsi="宋体"/>
          <w:szCs w:val="21"/>
        </w:rPr>
        <w:t>16.2 承包人违约</w:t>
      </w:r>
    </w:p>
    <w:p>
      <w:pPr>
        <w:spacing w:line="360" w:lineRule="auto"/>
        <w:ind w:firstLine="472" w:firstLineChars="225"/>
        <w:jc w:val="left"/>
        <w:rPr>
          <w:rFonts w:ascii="宋体" w:hAnsi="宋体"/>
          <w:kern w:val="0"/>
          <w:szCs w:val="21"/>
        </w:rPr>
      </w:pPr>
      <w:r>
        <w:rPr>
          <w:rFonts w:hint="eastAsia" w:ascii="宋体" w:hAnsi="宋体"/>
          <w:kern w:val="0"/>
          <w:szCs w:val="21"/>
        </w:rPr>
        <w:t>16.2.1 承包人违约的情形</w:t>
      </w:r>
    </w:p>
    <w:p>
      <w:pPr>
        <w:spacing w:line="360" w:lineRule="auto"/>
        <w:ind w:firstLine="472" w:firstLineChars="225"/>
        <w:jc w:val="left"/>
        <w:rPr>
          <w:rFonts w:ascii="宋体" w:hAnsi="宋体"/>
          <w:kern w:val="0"/>
          <w:szCs w:val="21"/>
          <w:u w:val="single"/>
        </w:rPr>
      </w:pPr>
      <w:r>
        <w:rPr>
          <w:rFonts w:hint="eastAsia" w:ascii="宋体" w:hAnsi="宋体"/>
          <w:kern w:val="0"/>
          <w:szCs w:val="21"/>
        </w:rPr>
        <w:t>承包人违约的其他情形：</w:t>
      </w:r>
      <w:r>
        <w:rPr>
          <w:rFonts w:hint="eastAsia" w:ascii="宋体" w:hAnsi="宋体"/>
          <w:kern w:val="0"/>
          <w:szCs w:val="21"/>
          <w:u w:val="single"/>
        </w:rPr>
        <w:t xml:space="preserve">  执行通用条款第16.2.1项                 </w:t>
      </w:r>
    </w:p>
    <w:p>
      <w:pPr>
        <w:spacing w:line="360" w:lineRule="auto"/>
        <w:ind w:firstLine="472" w:firstLineChars="225"/>
        <w:jc w:val="left"/>
        <w:rPr>
          <w:rFonts w:ascii="宋体" w:hAnsi="宋体"/>
          <w:kern w:val="0"/>
          <w:szCs w:val="21"/>
        </w:rPr>
      </w:pPr>
      <w:r>
        <w:rPr>
          <w:rFonts w:hint="eastAsia" w:ascii="宋体" w:hAnsi="宋体"/>
          <w:kern w:val="0"/>
          <w:szCs w:val="21"/>
        </w:rPr>
        <w:t>16.2.2承包人违约的责任</w:t>
      </w:r>
    </w:p>
    <w:p>
      <w:pPr>
        <w:spacing w:line="360" w:lineRule="auto"/>
        <w:ind w:firstLine="472" w:firstLineChars="225"/>
        <w:jc w:val="left"/>
        <w:rPr>
          <w:rFonts w:ascii="宋体" w:hAnsi="宋体"/>
          <w:kern w:val="0"/>
          <w:szCs w:val="21"/>
          <w:u w:val="single"/>
        </w:rPr>
      </w:pPr>
      <w:r>
        <w:rPr>
          <w:rFonts w:hint="eastAsia" w:ascii="宋体" w:hAnsi="宋体"/>
          <w:kern w:val="0"/>
          <w:szCs w:val="21"/>
        </w:rPr>
        <w:t>承包人违约责任的承担方式和计算方法：</w:t>
      </w:r>
    </w:p>
    <w:p>
      <w:pPr>
        <w:spacing w:line="360" w:lineRule="auto"/>
        <w:ind w:firstLine="472" w:firstLineChars="225"/>
        <w:jc w:val="left"/>
        <w:rPr>
          <w:rFonts w:ascii="宋体" w:hAnsi="宋体"/>
          <w:szCs w:val="21"/>
        </w:rPr>
      </w:pPr>
      <w:r>
        <w:rPr>
          <w:rFonts w:hint="eastAsia" w:ascii="宋体" w:hAnsi="宋体"/>
          <w:szCs w:val="21"/>
        </w:rPr>
        <w:t>16.2.3 因承包人违约解除合同</w:t>
      </w:r>
    </w:p>
    <w:p>
      <w:pPr>
        <w:spacing w:line="360" w:lineRule="auto"/>
        <w:ind w:firstLine="472" w:firstLineChars="225"/>
        <w:rPr>
          <w:rFonts w:ascii="宋体" w:hAnsi="宋体"/>
          <w:kern w:val="0"/>
          <w:szCs w:val="21"/>
          <w:u w:val="single"/>
        </w:rPr>
      </w:pPr>
      <w:r>
        <w:rPr>
          <w:rFonts w:hint="eastAsia" w:ascii="宋体" w:hAnsi="宋体"/>
          <w:kern w:val="0"/>
          <w:szCs w:val="21"/>
        </w:rPr>
        <w:t>关于承包人违约解除合同的特别约定：</w:t>
      </w:r>
      <w:r>
        <w:rPr>
          <w:rFonts w:hint="eastAsia" w:ascii="宋体" w:hAnsi="宋体"/>
          <w:kern w:val="0"/>
          <w:szCs w:val="21"/>
          <w:u w:val="single"/>
        </w:rPr>
        <w:t xml:space="preserve">    执行通用条款第16.2.3项        </w:t>
      </w:r>
    </w:p>
    <w:p>
      <w:pPr>
        <w:spacing w:line="360" w:lineRule="auto"/>
        <w:ind w:firstLine="472" w:firstLineChars="225"/>
        <w:jc w:val="left"/>
        <w:rPr>
          <w:rFonts w:ascii="宋体" w:hAnsi="宋体"/>
          <w:kern w:val="0"/>
          <w:szCs w:val="21"/>
        </w:rPr>
      </w:pPr>
      <w:r>
        <w:rPr>
          <w:rFonts w:hint="eastAsia" w:ascii="宋体" w:hAnsi="宋体"/>
          <w:kern w:val="0"/>
          <w:szCs w:val="21"/>
        </w:rPr>
        <w:t>发包人继续使用承包人在施工现场的材料、设备、临时工程、承包人文件和由承包人或以其名义编制的其他文件的费用承担方式：</w:t>
      </w:r>
    </w:p>
    <w:p>
      <w:pPr>
        <w:pStyle w:val="9"/>
        <w:ind w:firstLine="472" w:firstLineChars="225"/>
        <w:rPr>
          <w:rFonts w:ascii="宋体" w:hAnsi="宋体"/>
          <w:b w:val="0"/>
          <w:szCs w:val="21"/>
        </w:rPr>
      </w:pPr>
      <w:bookmarkStart w:id="904" w:name="_Toc21873"/>
      <w:bookmarkStart w:id="905" w:name="_Toc13129340"/>
      <w:bookmarkStart w:id="906" w:name="_Toc513540914"/>
      <w:bookmarkStart w:id="907" w:name="_Toc32489"/>
      <w:r>
        <w:rPr>
          <w:rFonts w:hint="eastAsia" w:ascii="宋体" w:hAnsi="宋体"/>
          <w:b w:val="0"/>
          <w:szCs w:val="21"/>
        </w:rPr>
        <w:t>17. 不可抗力</w:t>
      </w:r>
      <w:bookmarkEnd w:id="904"/>
      <w:bookmarkEnd w:id="905"/>
      <w:bookmarkEnd w:id="906"/>
      <w:bookmarkEnd w:id="907"/>
    </w:p>
    <w:p>
      <w:pPr>
        <w:spacing w:line="360" w:lineRule="auto"/>
        <w:ind w:firstLine="472" w:firstLineChars="225"/>
        <w:rPr>
          <w:rFonts w:ascii="宋体" w:hAnsi="宋体"/>
          <w:szCs w:val="21"/>
        </w:rPr>
      </w:pPr>
      <w:r>
        <w:rPr>
          <w:rFonts w:hint="eastAsia" w:ascii="宋体" w:hAnsi="宋体"/>
          <w:szCs w:val="21"/>
        </w:rPr>
        <w:t>17.1 不可抗力的确认</w:t>
      </w:r>
    </w:p>
    <w:p>
      <w:pPr>
        <w:spacing w:line="360" w:lineRule="auto"/>
        <w:ind w:firstLine="472" w:firstLineChars="225"/>
        <w:jc w:val="left"/>
        <w:rPr>
          <w:rFonts w:ascii="宋体" w:hAnsi="宋体"/>
          <w:szCs w:val="21"/>
        </w:rPr>
      </w:pPr>
      <w:r>
        <w:rPr>
          <w:rFonts w:hint="eastAsia" w:ascii="宋体" w:hAnsi="宋体"/>
          <w:szCs w:val="21"/>
        </w:rPr>
        <w:t>除通用合同条款约定的不可抗力事件之外，视为不可抗力的其他情形：</w:t>
      </w:r>
      <w:r>
        <w:rPr>
          <w:rFonts w:hint="eastAsia" w:ascii="宋体" w:hAnsi="宋体"/>
          <w:kern w:val="0"/>
          <w:szCs w:val="21"/>
          <w:u w:val="single"/>
        </w:rPr>
        <w:t xml:space="preserve">   /  </w:t>
      </w:r>
    </w:p>
    <w:p>
      <w:pPr>
        <w:spacing w:line="360" w:lineRule="auto"/>
        <w:ind w:firstLine="472" w:firstLineChars="225"/>
        <w:rPr>
          <w:rFonts w:ascii="宋体" w:hAnsi="宋体"/>
          <w:szCs w:val="21"/>
        </w:rPr>
      </w:pPr>
      <w:r>
        <w:rPr>
          <w:rFonts w:hint="eastAsia" w:ascii="宋体" w:hAnsi="宋体"/>
          <w:szCs w:val="21"/>
        </w:rPr>
        <w:t>17.4 因不可抗力解除合同</w:t>
      </w:r>
    </w:p>
    <w:p>
      <w:pPr>
        <w:spacing w:line="360" w:lineRule="auto"/>
        <w:ind w:firstLine="472" w:firstLineChars="225"/>
        <w:jc w:val="left"/>
        <w:rPr>
          <w:rFonts w:ascii="宋体" w:hAnsi="宋体"/>
          <w:szCs w:val="21"/>
        </w:rPr>
      </w:pPr>
      <w:r>
        <w:rPr>
          <w:rFonts w:hint="eastAsia" w:ascii="宋体" w:hAnsi="宋体"/>
          <w:szCs w:val="21"/>
        </w:rPr>
        <w:t>合同解除后，发包人应在商定或确定发包人应支付款项后天内完成款项的支付。</w:t>
      </w:r>
    </w:p>
    <w:p>
      <w:pPr>
        <w:pStyle w:val="9"/>
        <w:ind w:firstLine="472" w:firstLineChars="225"/>
        <w:rPr>
          <w:rFonts w:ascii="宋体" w:hAnsi="宋体"/>
          <w:b w:val="0"/>
          <w:szCs w:val="21"/>
        </w:rPr>
      </w:pPr>
      <w:bookmarkStart w:id="908" w:name="_Toc513540915"/>
      <w:bookmarkStart w:id="909" w:name="_Toc19470"/>
      <w:bookmarkStart w:id="910" w:name="_Toc13129341"/>
      <w:bookmarkStart w:id="911" w:name="_Toc28559"/>
      <w:r>
        <w:rPr>
          <w:rFonts w:hint="eastAsia" w:ascii="宋体" w:hAnsi="宋体"/>
          <w:b w:val="0"/>
          <w:szCs w:val="21"/>
        </w:rPr>
        <w:t>18. 保险</w:t>
      </w:r>
      <w:bookmarkEnd w:id="908"/>
      <w:bookmarkEnd w:id="909"/>
      <w:bookmarkEnd w:id="910"/>
      <w:bookmarkEnd w:id="911"/>
    </w:p>
    <w:p>
      <w:pPr>
        <w:spacing w:line="360" w:lineRule="auto"/>
        <w:ind w:firstLine="472" w:firstLineChars="225"/>
        <w:rPr>
          <w:rFonts w:ascii="宋体" w:hAnsi="宋体"/>
          <w:szCs w:val="21"/>
        </w:rPr>
      </w:pPr>
      <w:r>
        <w:rPr>
          <w:rFonts w:hint="eastAsia" w:ascii="宋体" w:hAnsi="宋体"/>
          <w:szCs w:val="21"/>
        </w:rPr>
        <w:t>18.1 工程保险</w:t>
      </w:r>
    </w:p>
    <w:p>
      <w:pPr>
        <w:spacing w:line="360" w:lineRule="auto"/>
        <w:ind w:firstLine="472" w:firstLineChars="225"/>
        <w:jc w:val="left"/>
        <w:rPr>
          <w:rFonts w:ascii="宋体" w:hAnsi="宋体"/>
          <w:szCs w:val="21"/>
        </w:rPr>
      </w:pPr>
      <w:r>
        <w:rPr>
          <w:rFonts w:hint="eastAsia" w:ascii="宋体" w:hAnsi="宋体"/>
          <w:szCs w:val="21"/>
        </w:rPr>
        <w:t>关于工程保险的特别约定：</w:t>
      </w:r>
    </w:p>
    <w:p>
      <w:pPr>
        <w:spacing w:line="360" w:lineRule="auto"/>
        <w:ind w:firstLine="472" w:firstLineChars="225"/>
        <w:rPr>
          <w:rFonts w:ascii="宋体" w:hAnsi="宋体"/>
          <w:szCs w:val="21"/>
        </w:rPr>
      </w:pPr>
      <w:r>
        <w:rPr>
          <w:rFonts w:hint="eastAsia" w:ascii="宋体" w:hAnsi="宋体"/>
          <w:szCs w:val="21"/>
        </w:rPr>
        <w:t>18.3 其他保险</w:t>
      </w:r>
    </w:p>
    <w:p>
      <w:pPr>
        <w:spacing w:line="360" w:lineRule="auto"/>
        <w:ind w:firstLine="472" w:firstLineChars="225"/>
        <w:jc w:val="left"/>
        <w:rPr>
          <w:rFonts w:ascii="宋体" w:hAnsi="宋体"/>
          <w:kern w:val="0"/>
          <w:szCs w:val="21"/>
        </w:rPr>
      </w:pPr>
      <w:r>
        <w:rPr>
          <w:rFonts w:hint="eastAsia" w:ascii="宋体" w:hAnsi="宋体"/>
          <w:szCs w:val="21"/>
        </w:rPr>
        <w:t>关于其他保险的约定：</w:t>
      </w:r>
      <w:r>
        <w:rPr>
          <w:rFonts w:hint="eastAsia" w:ascii="宋体" w:hAnsi="宋体"/>
          <w:kern w:val="0"/>
          <w:szCs w:val="21"/>
          <w:u w:val="single"/>
        </w:rPr>
        <w:t xml:space="preserve">     由承包人支付                             </w:t>
      </w:r>
      <w:r>
        <w:rPr>
          <w:rFonts w:hint="eastAsia" w:ascii="宋体" w:hAnsi="宋体"/>
          <w:kern w:val="0"/>
          <w:szCs w:val="21"/>
        </w:rPr>
        <w:t>。</w:t>
      </w:r>
    </w:p>
    <w:p>
      <w:pPr>
        <w:spacing w:line="360" w:lineRule="auto"/>
        <w:ind w:firstLine="472" w:firstLineChars="225"/>
        <w:jc w:val="left"/>
        <w:rPr>
          <w:rFonts w:ascii="宋体" w:hAnsi="宋体"/>
          <w:szCs w:val="21"/>
          <w:u w:val="single"/>
        </w:rPr>
      </w:pPr>
      <w:r>
        <w:rPr>
          <w:rFonts w:hint="eastAsia" w:ascii="宋体" w:hAnsi="宋体"/>
          <w:szCs w:val="21"/>
        </w:rPr>
        <w:t>承包人是否应为其施工设备等办理财产保险：</w:t>
      </w:r>
      <w:r>
        <w:rPr>
          <w:rFonts w:hint="eastAsia" w:ascii="宋体" w:hAnsi="宋体"/>
          <w:szCs w:val="21"/>
          <w:u w:val="single"/>
        </w:rPr>
        <w:t xml:space="preserve">     是                   </w:t>
      </w:r>
    </w:p>
    <w:p>
      <w:pPr>
        <w:spacing w:line="360" w:lineRule="auto"/>
        <w:ind w:firstLine="472" w:firstLineChars="225"/>
        <w:rPr>
          <w:rFonts w:ascii="宋体" w:hAnsi="宋体"/>
          <w:szCs w:val="21"/>
        </w:rPr>
      </w:pPr>
      <w:r>
        <w:rPr>
          <w:rFonts w:hint="eastAsia" w:ascii="宋体" w:hAnsi="宋体"/>
          <w:szCs w:val="21"/>
        </w:rPr>
        <w:t>18.7 通知义务</w:t>
      </w:r>
    </w:p>
    <w:p>
      <w:pPr>
        <w:spacing w:line="360" w:lineRule="auto"/>
        <w:ind w:firstLine="472" w:firstLineChars="225"/>
        <w:jc w:val="left"/>
        <w:rPr>
          <w:rFonts w:ascii="宋体" w:hAnsi="宋体"/>
          <w:szCs w:val="21"/>
          <w:u w:val="single"/>
        </w:rPr>
      </w:pPr>
      <w:r>
        <w:rPr>
          <w:rFonts w:hint="eastAsia" w:ascii="宋体" w:hAnsi="宋体"/>
          <w:kern w:val="0"/>
          <w:szCs w:val="21"/>
        </w:rPr>
        <w:t>关于变更保险合同时的通知义务的约定：</w:t>
      </w:r>
    </w:p>
    <w:p>
      <w:pPr>
        <w:pStyle w:val="9"/>
        <w:ind w:firstLine="472" w:firstLineChars="225"/>
        <w:rPr>
          <w:rFonts w:ascii="宋体" w:hAnsi="宋体"/>
          <w:b w:val="0"/>
          <w:szCs w:val="21"/>
        </w:rPr>
      </w:pPr>
      <w:bookmarkStart w:id="912" w:name="_Toc22443"/>
      <w:bookmarkStart w:id="913" w:name="_Toc7149"/>
      <w:bookmarkStart w:id="914" w:name="_Toc513540916"/>
      <w:bookmarkStart w:id="915" w:name="_Toc13129342"/>
      <w:r>
        <w:rPr>
          <w:rFonts w:hint="eastAsia" w:ascii="宋体" w:hAnsi="宋体"/>
          <w:b w:val="0"/>
          <w:szCs w:val="21"/>
        </w:rPr>
        <w:t>20. 争议解决</w:t>
      </w:r>
      <w:bookmarkEnd w:id="912"/>
      <w:bookmarkEnd w:id="913"/>
      <w:bookmarkEnd w:id="914"/>
      <w:bookmarkEnd w:id="915"/>
    </w:p>
    <w:p>
      <w:pPr>
        <w:spacing w:line="360" w:lineRule="auto"/>
        <w:ind w:firstLine="472" w:firstLineChars="225"/>
        <w:rPr>
          <w:rFonts w:ascii="宋体" w:hAnsi="宋体"/>
          <w:szCs w:val="21"/>
        </w:rPr>
      </w:pPr>
      <w:r>
        <w:rPr>
          <w:rFonts w:hint="eastAsia" w:ascii="宋体" w:hAnsi="宋体"/>
          <w:szCs w:val="21"/>
        </w:rPr>
        <w:t>20.3 争议评审</w:t>
      </w:r>
    </w:p>
    <w:p>
      <w:pPr>
        <w:spacing w:line="360" w:lineRule="auto"/>
        <w:ind w:left="149" w:leftChars="71" w:firstLine="472" w:firstLineChars="225"/>
        <w:jc w:val="left"/>
        <w:rPr>
          <w:rFonts w:ascii="宋体" w:hAnsi="宋体"/>
          <w:szCs w:val="21"/>
          <w:u w:val="single"/>
        </w:rPr>
      </w:pPr>
      <w:r>
        <w:rPr>
          <w:rFonts w:hint="eastAsia" w:ascii="宋体" w:hAnsi="宋体"/>
          <w:szCs w:val="21"/>
        </w:rPr>
        <w:t>合同当事人是否同意将工程争议提交争议评审小组决定：</w:t>
      </w:r>
    </w:p>
    <w:p>
      <w:pPr>
        <w:spacing w:line="360" w:lineRule="auto"/>
        <w:ind w:firstLine="472" w:firstLineChars="225"/>
        <w:jc w:val="left"/>
        <w:rPr>
          <w:rFonts w:ascii="宋体" w:hAnsi="宋体"/>
          <w:szCs w:val="21"/>
        </w:rPr>
      </w:pPr>
      <w:r>
        <w:rPr>
          <w:rFonts w:hint="eastAsia" w:ascii="宋体" w:hAnsi="宋体"/>
          <w:szCs w:val="21"/>
        </w:rPr>
        <w:t>20.3.1 争议评审小组的确定</w:t>
      </w:r>
    </w:p>
    <w:p>
      <w:pPr>
        <w:spacing w:line="360" w:lineRule="auto"/>
        <w:ind w:firstLine="472" w:firstLineChars="225"/>
        <w:jc w:val="left"/>
        <w:rPr>
          <w:rFonts w:ascii="宋体" w:hAnsi="宋体"/>
          <w:szCs w:val="21"/>
          <w:u w:val="single"/>
        </w:rPr>
      </w:pPr>
      <w:r>
        <w:rPr>
          <w:rFonts w:hint="eastAsia" w:ascii="宋体" w:hAnsi="宋体"/>
          <w:szCs w:val="21"/>
        </w:rPr>
        <w:t>争议评审小组成员的确定：。</w:t>
      </w:r>
    </w:p>
    <w:p>
      <w:pPr>
        <w:spacing w:line="360" w:lineRule="auto"/>
        <w:ind w:firstLine="472" w:firstLineChars="225"/>
        <w:jc w:val="left"/>
        <w:rPr>
          <w:rFonts w:ascii="宋体" w:hAnsi="宋体"/>
          <w:szCs w:val="21"/>
        </w:rPr>
      </w:pPr>
      <w:r>
        <w:rPr>
          <w:rFonts w:hint="eastAsia" w:ascii="宋体" w:hAnsi="宋体"/>
          <w:szCs w:val="21"/>
        </w:rPr>
        <w:t>选定争议评审员的期限：。</w:t>
      </w:r>
    </w:p>
    <w:p>
      <w:pPr>
        <w:spacing w:line="360" w:lineRule="auto"/>
        <w:ind w:firstLine="472" w:firstLineChars="225"/>
        <w:jc w:val="left"/>
        <w:rPr>
          <w:rFonts w:ascii="宋体" w:hAnsi="宋体"/>
          <w:szCs w:val="21"/>
        </w:rPr>
      </w:pPr>
      <w:r>
        <w:rPr>
          <w:rFonts w:hint="eastAsia" w:ascii="宋体" w:hAnsi="宋体"/>
          <w:szCs w:val="21"/>
        </w:rPr>
        <w:t>争议评审小组成员的报酬承担方式：。</w:t>
      </w:r>
    </w:p>
    <w:p>
      <w:pPr>
        <w:spacing w:line="360" w:lineRule="auto"/>
        <w:ind w:firstLine="472" w:firstLineChars="225"/>
        <w:jc w:val="left"/>
        <w:rPr>
          <w:rFonts w:ascii="宋体" w:hAnsi="宋体"/>
          <w:szCs w:val="21"/>
        </w:rPr>
      </w:pPr>
      <w:r>
        <w:rPr>
          <w:rFonts w:hint="eastAsia" w:ascii="宋体" w:hAnsi="宋体"/>
          <w:szCs w:val="21"/>
        </w:rPr>
        <w:t>其他事项的约定：。</w:t>
      </w:r>
    </w:p>
    <w:p>
      <w:pPr>
        <w:autoSpaceDE w:val="0"/>
        <w:autoSpaceDN w:val="0"/>
        <w:adjustRightInd w:val="0"/>
        <w:spacing w:line="360" w:lineRule="auto"/>
        <w:ind w:firstLine="472" w:firstLineChars="225"/>
        <w:jc w:val="left"/>
        <w:rPr>
          <w:rFonts w:ascii="宋体" w:hAnsi="宋体"/>
          <w:kern w:val="0"/>
          <w:szCs w:val="21"/>
        </w:rPr>
      </w:pPr>
      <w:r>
        <w:rPr>
          <w:rFonts w:hint="eastAsia" w:ascii="宋体" w:hAnsi="宋体"/>
          <w:kern w:val="0"/>
          <w:szCs w:val="21"/>
        </w:rPr>
        <w:t>20.3.2 争议评审小组的决定</w:t>
      </w:r>
    </w:p>
    <w:p>
      <w:pPr>
        <w:spacing w:line="360" w:lineRule="auto"/>
        <w:ind w:firstLine="472" w:firstLineChars="225"/>
        <w:jc w:val="left"/>
        <w:rPr>
          <w:rFonts w:ascii="宋体" w:hAnsi="宋体"/>
          <w:szCs w:val="21"/>
          <w:u w:val="single"/>
        </w:rPr>
      </w:pPr>
      <w:r>
        <w:rPr>
          <w:rFonts w:hint="eastAsia" w:ascii="宋体" w:hAnsi="宋体"/>
          <w:szCs w:val="21"/>
        </w:rPr>
        <w:t>合同当事人关于本项的约定：</w:t>
      </w:r>
      <w:r>
        <w:rPr>
          <w:rFonts w:hint="eastAsia" w:ascii="宋体" w:hAnsi="宋体"/>
          <w:szCs w:val="21"/>
          <w:u w:val="single"/>
        </w:rPr>
        <w:t xml:space="preserve">       另行约定                           </w:t>
      </w:r>
    </w:p>
    <w:p>
      <w:pPr>
        <w:spacing w:line="360" w:lineRule="auto"/>
        <w:ind w:firstLine="472" w:firstLineChars="225"/>
        <w:rPr>
          <w:rFonts w:ascii="宋体" w:hAnsi="宋体"/>
          <w:szCs w:val="21"/>
        </w:rPr>
      </w:pPr>
      <w:r>
        <w:rPr>
          <w:rFonts w:hint="eastAsia" w:ascii="宋体" w:hAnsi="宋体"/>
          <w:szCs w:val="21"/>
        </w:rPr>
        <w:t>20.4仲裁或诉讼</w:t>
      </w:r>
    </w:p>
    <w:p>
      <w:pPr>
        <w:spacing w:line="360" w:lineRule="auto"/>
        <w:ind w:firstLine="472" w:firstLineChars="225"/>
        <w:rPr>
          <w:rFonts w:ascii="宋体" w:hAnsi="宋体"/>
          <w:szCs w:val="21"/>
        </w:rPr>
      </w:pPr>
      <w:r>
        <w:rPr>
          <w:rFonts w:hint="eastAsia" w:ascii="宋体" w:hAnsi="宋体"/>
          <w:szCs w:val="21"/>
        </w:rPr>
        <w:t>因合同及合同有关事项发生的争议，按下列第</w:t>
      </w:r>
      <w:r>
        <w:rPr>
          <w:rFonts w:hint="eastAsia" w:ascii="宋体" w:hAnsi="宋体"/>
          <w:szCs w:val="21"/>
          <w:u w:val="single"/>
        </w:rPr>
        <w:t>（2）</w:t>
      </w:r>
      <w:r>
        <w:rPr>
          <w:rFonts w:hint="eastAsia" w:ascii="宋体" w:hAnsi="宋体"/>
          <w:szCs w:val="21"/>
        </w:rPr>
        <w:t>种方式解决：</w:t>
      </w:r>
    </w:p>
    <w:p>
      <w:pPr>
        <w:spacing w:line="360" w:lineRule="auto"/>
        <w:ind w:firstLine="472" w:firstLineChars="225"/>
        <w:jc w:val="left"/>
        <w:rPr>
          <w:rFonts w:ascii="宋体" w:hAnsi="宋体"/>
          <w:szCs w:val="21"/>
        </w:rPr>
      </w:pPr>
      <w:r>
        <w:rPr>
          <w:rFonts w:hint="eastAsia" w:ascii="宋体" w:hAnsi="宋体"/>
          <w:szCs w:val="21"/>
        </w:rPr>
        <w:t>（1）向</w:t>
      </w:r>
      <w:r>
        <w:rPr>
          <w:rFonts w:hint="eastAsia" w:ascii="宋体" w:hAnsi="宋体"/>
          <w:szCs w:val="21"/>
          <w:u w:val="single"/>
        </w:rPr>
        <w:t xml:space="preserve">        项目所在地             </w:t>
      </w:r>
      <w:r>
        <w:rPr>
          <w:rFonts w:hint="eastAsia" w:ascii="宋体" w:hAnsi="宋体"/>
          <w:szCs w:val="21"/>
        </w:rPr>
        <w:t>仲裁委员会申请仲裁；</w:t>
      </w:r>
    </w:p>
    <w:p>
      <w:pPr>
        <w:spacing w:line="360" w:lineRule="auto"/>
        <w:ind w:firstLine="472" w:firstLineChars="225"/>
        <w:jc w:val="left"/>
        <w:rPr>
          <w:rFonts w:ascii="宋体" w:hAnsi="宋体"/>
          <w:szCs w:val="21"/>
        </w:rPr>
      </w:pPr>
      <w:r>
        <w:rPr>
          <w:rFonts w:hint="eastAsia" w:ascii="宋体" w:hAnsi="宋体"/>
          <w:szCs w:val="21"/>
        </w:rPr>
        <w:t>（2）向</w:t>
      </w:r>
      <w:r>
        <w:rPr>
          <w:rFonts w:hint="eastAsia" w:ascii="宋体" w:hAnsi="宋体"/>
          <w:szCs w:val="21"/>
          <w:u w:val="single"/>
        </w:rPr>
        <w:t xml:space="preserve">        项目所在地              </w:t>
      </w:r>
      <w:r>
        <w:rPr>
          <w:rFonts w:hint="eastAsia" w:ascii="宋体" w:hAnsi="宋体"/>
          <w:szCs w:val="21"/>
        </w:rPr>
        <w:t>人民法院起诉。</w:t>
      </w:r>
    </w:p>
    <w:p>
      <w:pPr>
        <w:spacing w:line="360" w:lineRule="auto"/>
        <w:ind w:firstLine="474" w:firstLineChars="225"/>
        <w:jc w:val="left"/>
        <w:rPr>
          <w:rFonts w:ascii="宋体" w:hAnsi="宋体"/>
          <w:b/>
          <w:szCs w:val="21"/>
        </w:rPr>
      </w:pPr>
    </w:p>
    <w:p>
      <w:pPr>
        <w:spacing w:line="360" w:lineRule="auto"/>
        <w:ind w:firstLine="103" w:firstLineChars="49"/>
        <w:rPr>
          <w:rFonts w:ascii="宋体" w:hAnsi="宋体"/>
          <w:b/>
          <w:szCs w:val="21"/>
        </w:rPr>
      </w:pPr>
      <w:r>
        <w:rPr>
          <w:rFonts w:hint="eastAsia" w:ascii="宋体" w:hAnsi="宋体"/>
          <w:b/>
          <w:szCs w:val="21"/>
        </w:rPr>
        <w:t>发包人：</w:t>
      </w:r>
      <w:r>
        <w:rPr>
          <w:rFonts w:ascii="宋体" w:hAnsi="宋体"/>
          <w:b/>
          <w:szCs w:val="21"/>
        </w:rPr>
        <w:t xml:space="preserve">  (</w:t>
      </w:r>
      <w:r>
        <w:rPr>
          <w:rFonts w:hint="eastAsia" w:ascii="宋体" w:hAnsi="宋体"/>
          <w:b/>
          <w:szCs w:val="21"/>
        </w:rPr>
        <w:t>公章</w:t>
      </w:r>
      <w:r>
        <w:rPr>
          <w:rFonts w:ascii="宋体" w:hAnsi="宋体"/>
          <w:b/>
          <w:szCs w:val="21"/>
        </w:rPr>
        <w:t xml:space="preserve">)                   </w:t>
      </w:r>
      <w:r>
        <w:rPr>
          <w:rFonts w:hint="eastAsia" w:ascii="宋体" w:hAnsi="宋体"/>
          <w:b/>
          <w:szCs w:val="21"/>
        </w:rPr>
        <w:t>承包人：</w:t>
      </w:r>
      <w:r>
        <w:rPr>
          <w:rFonts w:ascii="宋体" w:hAnsi="宋体"/>
          <w:b/>
          <w:szCs w:val="21"/>
        </w:rPr>
        <w:t xml:space="preserve">  (</w:t>
      </w:r>
      <w:r>
        <w:rPr>
          <w:rFonts w:hint="eastAsia" w:ascii="宋体" w:hAnsi="宋体"/>
          <w:b/>
          <w:szCs w:val="21"/>
        </w:rPr>
        <w:t>公章</w:t>
      </w:r>
      <w:r>
        <w:rPr>
          <w:rFonts w:ascii="宋体" w:hAnsi="宋体"/>
          <w:b/>
          <w:szCs w:val="21"/>
        </w:rPr>
        <w:t>)</w:t>
      </w:r>
    </w:p>
    <w:p>
      <w:pPr>
        <w:spacing w:line="360" w:lineRule="auto"/>
        <w:ind w:firstLine="474" w:firstLineChars="225"/>
        <w:jc w:val="left"/>
        <w:rPr>
          <w:rFonts w:ascii="宋体" w:hAnsi="宋体"/>
          <w:b/>
          <w:szCs w:val="21"/>
        </w:rPr>
      </w:pPr>
    </w:p>
    <w:p>
      <w:pPr>
        <w:spacing w:line="360" w:lineRule="auto"/>
        <w:ind w:firstLine="788" w:firstLineChars="374"/>
        <w:jc w:val="left"/>
        <w:rPr>
          <w:rFonts w:ascii="宋体" w:hAnsi="宋体"/>
          <w:b/>
          <w:szCs w:val="21"/>
        </w:rPr>
      </w:pPr>
      <w:r>
        <w:rPr>
          <w:rFonts w:hint="eastAsia" w:ascii="宋体" w:hAnsi="宋体"/>
          <w:b/>
          <w:szCs w:val="21"/>
        </w:rPr>
        <w:t>签订日期:       年      月      日</w:t>
      </w:r>
    </w:p>
    <w:p>
      <w:pPr>
        <w:spacing w:line="360" w:lineRule="auto"/>
        <w:jc w:val="left"/>
        <w:rPr>
          <w:rFonts w:ascii="宋体" w:hAnsi="宋体" w:cs="宋体"/>
          <w:b/>
          <w:szCs w:val="21"/>
        </w:rPr>
      </w:pPr>
      <w:r>
        <w:rPr>
          <w:rFonts w:hint="eastAsia" w:ascii="宋体" w:hAnsi="宋体" w:cs="宋体"/>
          <w:szCs w:val="21"/>
        </w:rPr>
        <w:br w:type="page"/>
      </w:r>
      <w:r>
        <w:rPr>
          <w:rFonts w:hint="eastAsia" w:ascii="宋体" w:hAnsi="宋体" w:cs="宋体"/>
          <w:b/>
          <w:szCs w:val="21"/>
        </w:rPr>
        <w:t>附件</w:t>
      </w:r>
    </w:p>
    <w:p>
      <w:pPr>
        <w:spacing w:line="360" w:lineRule="auto"/>
        <w:jc w:val="left"/>
        <w:rPr>
          <w:rFonts w:ascii="宋体" w:hAnsi="宋体" w:cs="宋体"/>
          <w:szCs w:val="21"/>
        </w:rPr>
      </w:pPr>
      <w:r>
        <w:rPr>
          <w:rFonts w:hint="eastAsia" w:ascii="宋体" w:hAnsi="宋体" w:cs="宋体"/>
          <w:szCs w:val="21"/>
        </w:rPr>
        <w:t>协议书附件：</w:t>
      </w:r>
    </w:p>
    <w:p>
      <w:pPr>
        <w:spacing w:line="360" w:lineRule="auto"/>
        <w:jc w:val="left"/>
        <w:rPr>
          <w:rFonts w:ascii="宋体" w:hAnsi="宋体" w:cs="宋体"/>
          <w:szCs w:val="21"/>
        </w:rPr>
      </w:pPr>
      <w:r>
        <w:rPr>
          <w:rFonts w:hint="eastAsia" w:ascii="宋体" w:hAnsi="宋体" w:cs="宋体"/>
          <w:szCs w:val="21"/>
        </w:rPr>
        <w:t>附件1：承包人承揽工程项目一览表</w:t>
      </w:r>
    </w:p>
    <w:p>
      <w:pPr>
        <w:spacing w:line="360" w:lineRule="auto"/>
        <w:jc w:val="left"/>
        <w:rPr>
          <w:rFonts w:ascii="宋体" w:hAnsi="宋体" w:cs="宋体"/>
          <w:szCs w:val="21"/>
        </w:rPr>
      </w:pPr>
      <w:r>
        <w:rPr>
          <w:rFonts w:hint="eastAsia" w:ascii="宋体" w:hAnsi="宋体" w:cs="宋体"/>
          <w:szCs w:val="21"/>
        </w:rPr>
        <w:t>专用合同条款附件：</w:t>
      </w:r>
    </w:p>
    <w:p>
      <w:pPr>
        <w:spacing w:line="360" w:lineRule="auto"/>
        <w:jc w:val="left"/>
        <w:rPr>
          <w:rFonts w:ascii="宋体" w:hAnsi="宋体" w:cs="宋体"/>
          <w:szCs w:val="21"/>
        </w:rPr>
      </w:pPr>
      <w:r>
        <w:rPr>
          <w:rFonts w:hint="eastAsia" w:ascii="宋体" w:hAnsi="宋体" w:cs="宋体"/>
          <w:szCs w:val="21"/>
        </w:rPr>
        <w:t>附件2：发包人供应材料设备一览表</w:t>
      </w:r>
    </w:p>
    <w:p>
      <w:pPr>
        <w:spacing w:line="360" w:lineRule="auto"/>
        <w:jc w:val="left"/>
        <w:rPr>
          <w:rFonts w:ascii="宋体" w:hAnsi="宋体" w:cs="宋体"/>
          <w:szCs w:val="21"/>
        </w:rPr>
      </w:pPr>
      <w:r>
        <w:rPr>
          <w:rFonts w:hint="eastAsia" w:ascii="宋体" w:hAnsi="宋体" w:cs="宋体"/>
          <w:szCs w:val="21"/>
        </w:rPr>
        <w:t>附件3：工程质量保修书</w:t>
      </w:r>
    </w:p>
    <w:p>
      <w:pPr>
        <w:spacing w:line="360" w:lineRule="auto"/>
        <w:jc w:val="left"/>
        <w:rPr>
          <w:rFonts w:ascii="宋体" w:hAnsi="宋体" w:cs="宋体"/>
          <w:szCs w:val="21"/>
        </w:rPr>
      </w:pPr>
      <w:r>
        <w:rPr>
          <w:rFonts w:hint="eastAsia" w:ascii="宋体" w:hAnsi="宋体" w:cs="宋体"/>
          <w:szCs w:val="21"/>
        </w:rPr>
        <w:t>附件4：主要建设工程文件目录</w:t>
      </w:r>
    </w:p>
    <w:p>
      <w:pPr>
        <w:spacing w:line="360" w:lineRule="auto"/>
        <w:jc w:val="left"/>
        <w:rPr>
          <w:rFonts w:ascii="宋体" w:hAnsi="宋体" w:cs="宋体"/>
          <w:szCs w:val="21"/>
        </w:rPr>
      </w:pPr>
      <w:r>
        <w:rPr>
          <w:rFonts w:hint="eastAsia" w:ascii="宋体" w:hAnsi="宋体" w:cs="宋体"/>
          <w:szCs w:val="21"/>
        </w:rPr>
        <w:t>附件5：承包人用于本工程施工的机械设备表</w:t>
      </w:r>
    </w:p>
    <w:p>
      <w:pPr>
        <w:spacing w:line="360" w:lineRule="auto"/>
        <w:jc w:val="left"/>
        <w:rPr>
          <w:rFonts w:ascii="宋体" w:hAnsi="宋体" w:cs="宋体"/>
          <w:szCs w:val="21"/>
        </w:rPr>
      </w:pPr>
      <w:r>
        <w:rPr>
          <w:rFonts w:hint="eastAsia" w:ascii="宋体" w:hAnsi="宋体" w:cs="宋体"/>
          <w:szCs w:val="21"/>
        </w:rPr>
        <w:t>附件6：承包人主要施工管理人员表</w:t>
      </w:r>
    </w:p>
    <w:p>
      <w:pPr>
        <w:spacing w:line="360" w:lineRule="auto"/>
        <w:jc w:val="left"/>
        <w:rPr>
          <w:rFonts w:ascii="宋体" w:hAnsi="宋体" w:cs="宋体"/>
          <w:szCs w:val="21"/>
        </w:rPr>
      </w:pPr>
      <w:r>
        <w:rPr>
          <w:rFonts w:hint="eastAsia" w:ascii="宋体" w:hAnsi="宋体" w:cs="宋体"/>
          <w:szCs w:val="21"/>
        </w:rPr>
        <w:t>附件7：分包人主要施工管理人员表</w:t>
      </w:r>
    </w:p>
    <w:p>
      <w:pPr>
        <w:spacing w:line="360" w:lineRule="auto"/>
        <w:jc w:val="left"/>
        <w:rPr>
          <w:rFonts w:ascii="宋体" w:hAnsi="宋体" w:cs="宋体"/>
          <w:szCs w:val="21"/>
        </w:rPr>
      </w:pPr>
      <w:r>
        <w:rPr>
          <w:rFonts w:hint="eastAsia" w:ascii="宋体" w:hAnsi="宋体" w:cs="宋体"/>
          <w:szCs w:val="21"/>
        </w:rPr>
        <w:t>附件8：履约担保格式</w:t>
      </w:r>
    </w:p>
    <w:p>
      <w:pPr>
        <w:spacing w:line="360" w:lineRule="auto"/>
        <w:jc w:val="left"/>
        <w:rPr>
          <w:rFonts w:ascii="宋体" w:hAnsi="宋体" w:cs="宋体"/>
          <w:szCs w:val="21"/>
        </w:rPr>
      </w:pPr>
      <w:r>
        <w:rPr>
          <w:rFonts w:hint="eastAsia" w:ascii="宋体" w:hAnsi="宋体" w:cs="宋体"/>
          <w:szCs w:val="21"/>
        </w:rPr>
        <w:t>附件9：预付款担保格式</w:t>
      </w:r>
    </w:p>
    <w:p>
      <w:pPr>
        <w:spacing w:line="360" w:lineRule="auto"/>
        <w:jc w:val="left"/>
        <w:rPr>
          <w:rFonts w:ascii="宋体" w:hAnsi="宋体" w:cs="宋体"/>
          <w:szCs w:val="21"/>
        </w:rPr>
      </w:pPr>
      <w:r>
        <w:rPr>
          <w:rFonts w:hint="eastAsia" w:ascii="宋体" w:hAnsi="宋体" w:cs="宋体"/>
          <w:szCs w:val="21"/>
        </w:rPr>
        <w:t>附件10：支付担保格式</w:t>
      </w:r>
    </w:p>
    <w:p>
      <w:pPr>
        <w:spacing w:line="360" w:lineRule="auto"/>
        <w:jc w:val="left"/>
        <w:rPr>
          <w:rFonts w:ascii="宋体" w:hAnsi="宋体" w:cs="宋体"/>
          <w:szCs w:val="21"/>
        </w:rPr>
        <w:sectPr>
          <w:pgSz w:w="11906" w:h="16838"/>
          <w:pgMar w:top="1417" w:right="1588" w:bottom="1417" w:left="1588"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r>
        <w:rPr>
          <w:rFonts w:hint="eastAsia" w:ascii="宋体" w:hAnsi="宋体" w:cs="宋体"/>
          <w:szCs w:val="21"/>
        </w:rPr>
        <w:t>附件11：暂估价一览表</w:t>
      </w:r>
    </w:p>
    <w:p>
      <w:pPr>
        <w:spacing w:before="120" w:beforeLines="50" w:after="120" w:afterLines="50" w:line="440" w:lineRule="exact"/>
        <w:jc w:val="left"/>
        <w:rPr>
          <w:rFonts w:ascii="宋体" w:hAnsi="宋体" w:cs="宋体"/>
          <w:szCs w:val="21"/>
        </w:rPr>
      </w:pPr>
      <w:r>
        <w:rPr>
          <w:rFonts w:hint="eastAsia" w:ascii="宋体" w:hAnsi="宋体" w:cs="宋体"/>
          <w:szCs w:val="21"/>
        </w:rPr>
        <w:t>附件1：</w:t>
      </w:r>
    </w:p>
    <w:p>
      <w:pPr>
        <w:spacing w:before="120" w:beforeLines="50" w:after="120" w:afterLines="50" w:line="440" w:lineRule="exact"/>
        <w:jc w:val="center"/>
        <w:rPr>
          <w:rFonts w:ascii="宋体" w:hAnsi="宋体" w:cs="宋体"/>
          <w:szCs w:val="21"/>
        </w:rPr>
      </w:pPr>
      <w:r>
        <w:rPr>
          <w:rFonts w:hint="eastAsia" w:ascii="宋体" w:hAnsi="宋体" w:cs="宋体"/>
          <w:szCs w:val="21"/>
        </w:rPr>
        <w:t>承包人承揽工程项目一览表</w:t>
      </w:r>
    </w:p>
    <w:tbl>
      <w:tblPr>
        <w:tblStyle w:val="4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单位工程名称</w:t>
            </w:r>
          </w:p>
        </w:tc>
        <w:tc>
          <w:tcPr>
            <w:tcW w:w="1843"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建设规模</w:t>
            </w:r>
          </w:p>
        </w:tc>
        <w:tc>
          <w:tcPr>
            <w:tcW w:w="1417"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建筑面积(平方米)</w:t>
            </w:r>
          </w:p>
        </w:tc>
        <w:tc>
          <w:tcPr>
            <w:tcW w:w="241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结构形式</w:t>
            </w:r>
          </w:p>
        </w:tc>
        <w:tc>
          <w:tcPr>
            <w:tcW w:w="85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层数</w:t>
            </w:r>
          </w:p>
        </w:tc>
        <w:tc>
          <w:tcPr>
            <w:tcW w:w="156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生产能力</w:t>
            </w:r>
          </w:p>
        </w:tc>
        <w:tc>
          <w:tcPr>
            <w:tcW w:w="2126"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设备安装内容</w:t>
            </w:r>
          </w:p>
        </w:tc>
        <w:tc>
          <w:tcPr>
            <w:tcW w:w="1417"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合同价格（元）</w:t>
            </w:r>
          </w:p>
        </w:tc>
        <w:tc>
          <w:tcPr>
            <w:tcW w:w="851"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开工日期</w:t>
            </w:r>
          </w:p>
        </w:tc>
        <w:tc>
          <w:tcPr>
            <w:tcW w:w="85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843"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241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56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2126"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843"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41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56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126"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843"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41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56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126"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3"/>
              <w:keepNext/>
              <w:spacing w:after="0" w:line="440" w:lineRule="exact"/>
              <w:ind w:left="63" w:right="63"/>
              <w:rPr>
                <w:rFonts w:ascii="宋体" w:hAnsi="宋体" w:cs="宋体"/>
                <w:kern w:val="2"/>
                <w:sz w:val="21"/>
                <w:szCs w:val="21"/>
              </w:rPr>
            </w:pPr>
          </w:p>
        </w:tc>
        <w:tc>
          <w:tcPr>
            <w:tcW w:w="1843" w:type="dxa"/>
            <w:vAlign w:val="center"/>
          </w:tcPr>
          <w:p>
            <w:pPr>
              <w:pStyle w:val="3"/>
              <w:keepNext/>
              <w:spacing w:after="0" w:line="440" w:lineRule="exact"/>
              <w:ind w:left="63" w:right="63"/>
              <w:rPr>
                <w:rFonts w:ascii="宋体" w:hAnsi="宋体" w:cs="宋体"/>
                <w:kern w:val="2"/>
                <w:sz w:val="21"/>
                <w:szCs w:val="21"/>
              </w:rPr>
            </w:pPr>
          </w:p>
        </w:tc>
        <w:tc>
          <w:tcPr>
            <w:tcW w:w="1417" w:type="dxa"/>
            <w:vAlign w:val="center"/>
          </w:tcPr>
          <w:p>
            <w:pPr>
              <w:pStyle w:val="3"/>
              <w:keepNext/>
              <w:spacing w:after="0" w:line="440" w:lineRule="exact"/>
              <w:ind w:left="63" w:right="63"/>
              <w:rPr>
                <w:rFonts w:ascii="宋体" w:hAnsi="宋体" w:cs="宋体"/>
                <w:kern w:val="2"/>
                <w:sz w:val="21"/>
                <w:szCs w:val="21"/>
              </w:rPr>
            </w:pPr>
          </w:p>
        </w:tc>
        <w:tc>
          <w:tcPr>
            <w:tcW w:w="2410"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560" w:type="dxa"/>
            <w:vAlign w:val="center"/>
          </w:tcPr>
          <w:p>
            <w:pPr>
              <w:pStyle w:val="3"/>
              <w:keepNext/>
              <w:spacing w:after="0" w:line="440" w:lineRule="exact"/>
              <w:ind w:left="63" w:right="63"/>
              <w:rPr>
                <w:rFonts w:ascii="宋体" w:hAnsi="宋体" w:cs="宋体"/>
                <w:kern w:val="2"/>
                <w:sz w:val="21"/>
                <w:szCs w:val="21"/>
              </w:rPr>
            </w:pPr>
          </w:p>
        </w:tc>
        <w:tc>
          <w:tcPr>
            <w:tcW w:w="2126" w:type="dxa"/>
            <w:vAlign w:val="center"/>
          </w:tcPr>
          <w:p>
            <w:pPr>
              <w:pStyle w:val="3"/>
              <w:keepNext/>
              <w:spacing w:after="0" w:line="440" w:lineRule="exact"/>
              <w:ind w:left="63" w:right="63"/>
              <w:rPr>
                <w:rFonts w:ascii="宋体" w:hAnsi="宋体" w:cs="宋体"/>
                <w:kern w:val="2"/>
                <w:sz w:val="21"/>
                <w:szCs w:val="21"/>
              </w:rPr>
            </w:pPr>
          </w:p>
        </w:tc>
        <w:tc>
          <w:tcPr>
            <w:tcW w:w="1417"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843"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41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56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126"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3"/>
              <w:keepNext/>
              <w:spacing w:after="0" w:line="440" w:lineRule="exact"/>
              <w:ind w:left="63" w:right="63"/>
              <w:rPr>
                <w:rFonts w:ascii="宋体" w:hAnsi="宋体" w:cs="宋体"/>
                <w:kern w:val="2"/>
                <w:sz w:val="21"/>
                <w:szCs w:val="21"/>
              </w:rPr>
            </w:pPr>
          </w:p>
        </w:tc>
        <w:tc>
          <w:tcPr>
            <w:tcW w:w="1843" w:type="dxa"/>
            <w:vAlign w:val="center"/>
          </w:tcPr>
          <w:p>
            <w:pPr>
              <w:pStyle w:val="3"/>
              <w:keepNext/>
              <w:spacing w:after="0" w:line="440" w:lineRule="exact"/>
              <w:ind w:left="63" w:right="63"/>
              <w:rPr>
                <w:rFonts w:ascii="宋体" w:hAnsi="宋体" w:cs="宋体"/>
                <w:kern w:val="2"/>
                <w:sz w:val="21"/>
                <w:szCs w:val="21"/>
              </w:rPr>
            </w:pPr>
          </w:p>
        </w:tc>
        <w:tc>
          <w:tcPr>
            <w:tcW w:w="1417" w:type="dxa"/>
            <w:vAlign w:val="center"/>
          </w:tcPr>
          <w:p>
            <w:pPr>
              <w:pStyle w:val="3"/>
              <w:keepNext/>
              <w:spacing w:after="0" w:line="440" w:lineRule="exact"/>
              <w:ind w:left="63" w:right="63"/>
              <w:rPr>
                <w:rFonts w:ascii="宋体" w:hAnsi="宋体" w:cs="宋体"/>
                <w:kern w:val="2"/>
                <w:sz w:val="21"/>
                <w:szCs w:val="21"/>
              </w:rPr>
            </w:pPr>
          </w:p>
        </w:tc>
        <w:tc>
          <w:tcPr>
            <w:tcW w:w="2410"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560" w:type="dxa"/>
            <w:vAlign w:val="center"/>
          </w:tcPr>
          <w:p>
            <w:pPr>
              <w:pStyle w:val="3"/>
              <w:keepNext/>
              <w:spacing w:after="0" w:line="440" w:lineRule="exact"/>
              <w:ind w:left="63" w:right="63"/>
              <w:rPr>
                <w:rFonts w:ascii="宋体" w:hAnsi="宋体" w:cs="宋体"/>
                <w:kern w:val="2"/>
                <w:sz w:val="21"/>
                <w:szCs w:val="21"/>
              </w:rPr>
            </w:pPr>
          </w:p>
        </w:tc>
        <w:tc>
          <w:tcPr>
            <w:tcW w:w="2126" w:type="dxa"/>
            <w:vAlign w:val="center"/>
          </w:tcPr>
          <w:p>
            <w:pPr>
              <w:pStyle w:val="3"/>
              <w:keepNext/>
              <w:spacing w:after="0" w:line="440" w:lineRule="exact"/>
              <w:ind w:left="63" w:right="63"/>
              <w:rPr>
                <w:rFonts w:ascii="宋体" w:hAnsi="宋体" w:cs="宋体"/>
                <w:kern w:val="2"/>
                <w:sz w:val="21"/>
                <w:szCs w:val="21"/>
              </w:rPr>
            </w:pPr>
          </w:p>
        </w:tc>
        <w:tc>
          <w:tcPr>
            <w:tcW w:w="1417"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843"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41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56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126"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843"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41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56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126"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3"/>
              <w:keepNext/>
              <w:spacing w:after="0" w:line="440" w:lineRule="exact"/>
              <w:ind w:left="63" w:right="63"/>
              <w:rPr>
                <w:rFonts w:ascii="宋体" w:hAnsi="宋体" w:cs="宋体"/>
                <w:kern w:val="2"/>
                <w:sz w:val="21"/>
                <w:szCs w:val="21"/>
              </w:rPr>
            </w:pPr>
          </w:p>
        </w:tc>
        <w:tc>
          <w:tcPr>
            <w:tcW w:w="1843" w:type="dxa"/>
            <w:vAlign w:val="center"/>
          </w:tcPr>
          <w:p>
            <w:pPr>
              <w:pStyle w:val="3"/>
              <w:keepNext/>
              <w:spacing w:after="0" w:line="440" w:lineRule="exact"/>
              <w:ind w:left="63" w:right="63"/>
              <w:rPr>
                <w:rFonts w:ascii="宋体" w:hAnsi="宋体" w:cs="宋体"/>
                <w:kern w:val="2"/>
                <w:sz w:val="21"/>
                <w:szCs w:val="21"/>
              </w:rPr>
            </w:pPr>
          </w:p>
        </w:tc>
        <w:tc>
          <w:tcPr>
            <w:tcW w:w="1417" w:type="dxa"/>
            <w:vAlign w:val="center"/>
          </w:tcPr>
          <w:p>
            <w:pPr>
              <w:pStyle w:val="3"/>
              <w:keepNext/>
              <w:spacing w:after="0" w:line="440" w:lineRule="exact"/>
              <w:ind w:left="63" w:right="63"/>
              <w:rPr>
                <w:rFonts w:ascii="宋体" w:hAnsi="宋体" w:cs="宋体"/>
                <w:kern w:val="2"/>
                <w:sz w:val="21"/>
                <w:szCs w:val="21"/>
              </w:rPr>
            </w:pPr>
          </w:p>
        </w:tc>
        <w:tc>
          <w:tcPr>
            <w:tcW w:w="2410"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560" w:type="dxa"/>
            <w:vAlign w:val="center"/>
          </w:tcPr>
          <w:p>
            <w:pPr>
              <w:pStyle w:val="3"/>
              <w:keepNext/>
              <w:spacing w:after="0" w:line="440" w:lineRule="exact"/>
              <w:ind w:left="63" w:right="63"/>
              <w:rPr>
                <w:rFonts w:ascii="宋体" w:hAnsi="宋体" w:cs="宋体"/>
                <w:kern w:val="2"/>
                <w:sz w:val="21"/>
                <w:szCs w:val="21"/>
              </w:rPr>
            </w:pPr>
          </w:p>
        </w:tc>
        <w:tc>
          <w:tcPr>
            <w:tcW w:w="2126" w:type="dxa"/>
            <w:vAlign w:val="center"/>
          </w:tcPr>
          <w:p>
            <w:pPr>
              <w:pStyle w:val="3"/>
              <w:keepNext/>
              <w:spacing w:after="0" w:line="440" w:lineRule="exact"/>
              <w:ind w:left="63" w:right="63"/>
              <w:rPr>
                <w:rFonts w:ascii="宋体" w:hAnsi="宋体" w:cs="宋体"/>
                <w:kern w:val="2"/>
                <w:sz w:val="21"/>
                <w:szCs w:val="21"/>
              </w:rPr>
            </w:pPr>
          </w:p>
        </w:tc>
        <w:tc>
          <w:tcPr>
            <w:tcW w:w="1417"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843"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41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56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2126"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3"/>
              <w:keepNext/>
              <w:spacing w:after="0" w:line="440" w:lineRule="exact"/>
              <w:ind w:left="63" w:right="63"/>
              <w:rPr>
                <w:rFonts w:ascii="宋体" w:hAnsi="宋体" w:cs="宋体"/>
                <w:kern w:val="2"/>
                <w:sz w:val="21"/>
                <w:szCs w:val="21"/>
              </w:rPr>
            </w:pPr>
          </w:p>
        </w:tc>
        <w:tc>
          <w:tcPr>
            <w:tcW w:w="1843" w:type="dxa"/>
            <w:vAlign w:val="center"/>
          </w:tcPr>
          <w:p>
            <w:pPr>
              <w:pStyle w:val="3"/>
              <w:keepNext/>
              <w:spacing w:after="0" w:line="440" w:lineRule="exact"/>
              <w:ind w:left="63" w:right="63"/>
              <w:rPr>
                <w:rFonts w:ascii="宋体" w:hAnsi="宋体" w:cs="宋体"/>
                <w:kern w:val="2"/>
                <w:sz w:val="21"/>
                <w:szCs w:val="21"/>
              </w:rPr>
            </w:pPr>
          </w:p>
        </w:tc>
        <w:tc>
          <w:tcPr>
            <w:tcW w:w="1417" w:type="dxa"/>
            <w:vAlign w:val="center"/>
          </w:tcPr>
          <w:p>
            <w:pPr>
              <w:pStyle w:val="3"/>
              <w:keepNext/>
              <w:spacing w:after="0" w:line="440" w:lineRule="exact"/>
              <w:ind w:left="63" w:right="63"/>
              <w:rPr>
                <w:rFonts w:ascii="宋体" w:hAnsi="宋体" w:cs="宋体"/>
                <w:kern w:val="2"/>
                <w:sz w:val="21"/>
                <w:szCs w:val="21"/>
              </w:rPr>
            </w:pPr>
          </w:p>
        </w:tc>
        <w:tc>
          <w:tcPr>
            <w:tcW w:w="2410"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560" w:type="dxa"/>
            <w:vAlign w:val="center"/>
          </w:tcPr>
          <w:p>
            <w:pPr>
              <w:pStyle w:val="3"/>
              <w:keepNext/>
              <w:spacing w:after="0" w:line="440" w:lineRule="exact"/>
              <w:ind w:left="63" w:right="63"/>
              <w:rPr>
                <w:rFonts w:ascii="宋体" w:hAnsi="宋体" w:cs="宋体"/>
                <w:kern w:val="2"/>
                <w:sz w:val="21"/>
                <w:szCs w:val="21"/>
              </w:rPr>
            </w:pPr>
          </w:p>
        </w:tc>
        <w:tc>
          <w:tcPr>
            <w:tcW w:w="2126" w:type="dxa"/>
            <w:vAlign w:val="center"/>
          </w:tcPr>
          <w:p>
            <w:pPr>
              <w:pStyle w:val="3"/>
              <w:keepNext/>
              <w:spacing w:after="0" w:line="440" w:lineRule="exact"/>
              <w:ind w:left="63" w:right="63"/>
              <w:rPr>
                <w:rFonts w:ascii="宋体" w:hAnsi="宋体" w:cs="宋体"/>
                <w:kern w:val="2"/>
                <w:sz w:val="21"/>
                <w:szCs w:val="21"/>
              </w:rPr>
            </w:pPr>
          </w:p>
        </w:tc>
        <w:tc>
          <w:tcPr>
            <w:tcW w:w="1417"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r>
    </w:tbl>
    <w:p>
      <w:pPr>
        <w:spacing w:line="440" w:lineRule="exact"/>
        <w:rPr>
          <w:rFonts w:ascii="宋体" w:hAnsi="宋体" w:cs="宋体"/>
          <w:b/>
          <w:szCs w:val="21"/>
        </w:rPr>
        <w:sectPr>
          <w:pgSz w:w="16838" w:h="11906" w:orient="landscape"/>
          <w:pgMar w:top="1588" w:right="2098" w:bottom="1588" w:left="2098" w:header="851" w:footer="992" w:gutter="0"/>
          <w:pgBorders>
            <w:top w:val="none" w:sz="0" w:space="0"/>
            <w:left w:val="none" w:sz="0" w:space="0"/>
            <w:bottom w:val="none" w:sz="0" w:space="0"/>
            <w:right w:val="none" w:sz="0" w:space="0"/>
          </w:pgBorders>
          <w:pgNumType w:fmt="decimal"/>
          <w:cols w:space="720" w:num="1"/>
          <w:titlePg/>
          <w:docGrid w:linePitch="312" w:charSpace="0"/>
        </w:sectPr>
      </w:pPr>
    </w:p>
    <w:p>
      <w:pPr>
        <w:spacing w:line="440" w:lineRule="exact"/>
        <w:rPr>
          <w:rFonts w:ascii="宋体" w:hAnsi="宋体" w:cs="宋体"/>
          <w:szCs w:val="21"/>
        </w:rPr>
      </w:pPr>
      <w:r>
        <w:rPr>
          <w:rFonts w:hint="eastAsia" w:ascii="宋体" w:hAnsi="宋体" w:cs="宋体"/>
          <w:szCs w:val="21"/>
        </w:rPr>
        <w:t>附</w:t>
      </w:r>
      <w:bookmarkStart w:id="916" w:name="_Toc267261692"/>
      <w:bookmarkStart w:id="917" w:name="_Toc296347224"/>
      <w:bookmarkStart w:id="918" w:name="_Toc296891053"/>
      <w:bookmarkStart w:id="919" w:name="_Toc296346726"/>
      <w:bookmarkStart w:id="920" w:name="_Toc296944564"/>
      <w:bookmarkStart w:id="921" w:name="_Toc296891265"/>
      <w:bookmarkStart w:id="922" w:name="_Toc296503225"/>
      <w:r>
        <w:rPr>
          <w:rFonts w:hint="eastAsia" w:ascii="宋体" w:hAnsi="宋体" w:cs="宋体"/>
          <w:szCs w:val="21"/>
        </w:rPr>
        <w:t>件2：</w:t>
      </w:r>
    </w:p>
    <w:bookmarkEnd w:id="916"/>
    <w:bookmarkEnd w:id="917"/>
    <w:bookmarkEnd w:id="918"/>
    <w:bookmarkEnd w:id="919"/>
    <w:bookmarkEnd w:id="920"/>
    <w:bookmarkEnd w:id="921"/>
    <w:bookmarkEnd w:id="922"/>
    <w:p>
      <w:pPr>
        <w:spacing w:before="120" w:beforeLines="50" w:after="120" w:afterLines="50" w:line="440" w:lineRule="exact"/>
        <w:jc w:val="center"/>
        <w:rPr>
          <w:rFonts w:ascii="宋体" w:hAnsi="宋体" w:cs="宋体"/>
          <w:szCs w:val="21"/>
        </w:rPr>
      </w:pPr>
      <w:r>
        <w:rPr>
          <w:rFonts w:hint="eastAsia" w:ascii="宋体" w:hAnsi="宋体" w:cs="宋体"/>
          <w:szCs w:val="21"/>
        </w:rPr>
        <w:t>发包人供应材料设备一览表</w:t>
      </w:r>
    </w:p>
    <w:tbl>
      <w:tblPr>
        <w:tblStyle w:val="46"/>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序号</w:t>
            </w:r>
          </w:p>
        </w:tc>
        <w:tc>
          <w:tcPr>
            <w:tcW w:w="1276"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 xml:space="preserve">  材料、</w:t>
            </w:r>
          </w:p>
          <w:p>
            <w:pPr>
              <w:pStyle w:val="3"/>
              <w:keepNext/>
              <w:spacing w:after="0" w:line="440" w:lineRule="exact"/>
              <w:ind w:left="0" w:leftChars="0" w:right="63"/>
              <w:jc w:val="both"/>
              <w:rPr>
                <w:rFonts w:ascii="宋体" w:hAnsi="宋体" w:cs="宋体"/>
                <w:kern w:val="2"/>
                <w:sz w:val="21"/>
                <w:szCs w:val="21"/>
              </w:rPr>
            </w:pPr>
            <w:r>
              <w:rPr>
                <w:rFonts w:hint="eastAsia" w:ascii="宋体" w:hAnsi="宋体" w:cs="宋体"/>
                <w:kern w:val="2"/>
                <w:sz w:val="21"/>
                <w:szCs w:val="21"/>
              </w:rPr>
              <w:t>设备品种</w:t>
            </w:r>
          </w:p>
        </w:tc>
        <w:tc>
          <w:tcPr>
            <w:tcW w:w="1418"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规格型号</w:t>
            </w:r>
          </w:p>
        </w:tc>
        <w:tc>
          <w:tcPr>
            <w:tcW w:w="94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单位</w:t>
            </w:r>
          </w:p>
        </w:tc>
        <w:tc>
          <w:tcPr>
            <w:tcW w:w="851"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数量</w:t>
            </w:r>
          </w:p>
        </w:tc>
        <w:tc>
          <w:tcPr>
            <w:tcW w:w="1044"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单价（元）</w:t>
            </w:r>
          </w:p>
        </w:tc>
        <w:tc>
          <w:tcPr>
            <w:tcW w:w="992"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质量等级</w:t>
            </w:r>
          </w:p>
        </w:tc>
        <w:tc>
          <w:tcPr>
            <w:tcW w:w="851"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供应时间</w:t>
            </w:r>
          </w:p>
        </w:tc>
        <w:tc>
          <w:tcPr>
            <w:tcW w:w="1487"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送达地点</w:t>
            </w:r>
          </w:p>
        </w:tc>
        <w:tc>
          <w:tcPr>
            <w:tcW w:w="992"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276"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418"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94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044"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992"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487"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992"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276"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8"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94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044"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992"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1"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87"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992"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940"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044"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487"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940"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044"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487"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940"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044"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487"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940"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044"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487"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940"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044"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487"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940"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044"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487"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940"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044"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c>
          <w:tcPr>
            <w:tcW w:w="851" w:type="dxa"/>
            <w:vAlign w:val="center"/>
          </w:tcPr>
          <w:p>
            <w:pPr>
              <w:pStyle w:val="3"/>
              <w:keepNext/>
              <w:spacing w:after="0" w:line="440" w:lineRule="exact"/>
              <w:ind w:left="63" w:right="63"/>
              <w:rPr>
                <w:rFonts w:ascii="宋体" w:hAnsi="宋体" w:cs="宋体"/>
                <w:kern w:val="2"/>
                <w:sz w:val="21"/>
                <w:szCs w:val="21"/>
              </w:rPr>
            </w:pPr>
          </w:p>
        </w:tc>
        <w:tc>
          <w:tcPr>
            <w:tcW w:w="1487" w:type="dxa"/>
            <w:vAlign w:val="center"/>
          </w:tcPr>
          <w:p>
            <w:pPr>
              <w:pStyle w:val="3"/>
              <w:keepNext/>
              <w:spacing w:after="0" w:line="440" w:lineRule="exact"/>
              <w:ind w:left="63" w:right="63"/>
              <w:rPr>
                <w:rFonts w:ascii="宋体" w:hAnsi="宋体" w:cs="宋体"/>
                <w:kern w:val="2"/>
                <w:sz w:val="21"/>
                <w:szCs w:val="21"/>
              </w:rPr>
            </w:pPr>
          </w:p>
        </w:tc>
        <w:tc>
          <w:tcPr>
            <w:tcW w:w="99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ascii="宋体" w:hAnsi="宋体" w:cs="宋体"/>
                <w:szCs w:val="21"/>
              </w:rPr>
            </w:pPr>
          </w:p>
        </w:tc>
        <w:tc>
          <w:tcPr>
            <w:tcW w:w="1276" w:type="dxa"/>
            <w:vAlign w:val="center"/>
          </w:tcPr>
          <w:p>
            <w:pPr>
              <w:jc w:val="center"/>
              <w:rPr>
                <w:rFonts w:ascii="宋体" w:hAnsi="宋体" w:cs="宋体"/>
                <w:szCs w:val="21"/>
              </w:rPr>
            </w:pPr>
          </w:p>
        </w:tc>
        <w:tc>
          <w:tcPr>
            <w:tcW w:w="1418" w:type="dxa"/>
            <w:vAlign w:val="center"/>
          </w:tcPr>
          <w:p>
            <w:pPr>
              <w:jc w:val="center"/>
              <w:rPr>
                <w:rFonts w:ascii="宋体" w:hAnsi="宋体" w:cs="宋体"/>
                <w:szCs w:val="21"/>
              </w:rPr>
            </w:pPr>
          </w:p>
        </w:tc>
        <w:tc>
          <w:tcPr>
            <w:tcW w:w="940"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044"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c>
          <w:tcPr>
            <w:tcW w:w="851" w:type="dxa"/>
            <w:vAlign w:val="center"/>
          </w:tcPr>
          <w:p>
            <w:pPr>
              <w:jc w:val="center"/>
              <w:rPr>
                <w:rFonts w:ascii="宋体" w:hAnsi="宋体" w:cs="宋体"/>
                <w:szCs w:val="21"/>
              </w:rPr>
            </w:pPr>
          </w:p>
        </w:tc>
        <w:tc>
          <w:tcPr>
            <w:tcW w:w="1487" w:type="dxa"/>
            <w:vAlign w:val="center"/>
          </w:tcPr>
          <w:p>
            <w:pPr>
              <w:jc w:val="center"/>
              <w:rPr>
                <w:rFonts w:ascii="宋体" w:hAnsi="宋体" w:cs="宋体"/>
                <w:szCs w:val="21"/>
              </w:rPr>
            </w:pPr>
          </w:p>
        </w:tc>
        <w:tc>
          <w:tcPr>
            <w:tcW w:w="992" w:type="dxa"/>
            <w:vAlign w:val="center"/>
          </w:tcPr>
          <w:p>
            <w:pPr>
              <w:jc w:val="center"/>
              <w:rPr>
                <w:rFonts w:ascii="宋体" w:hAnsi="宋体" w:cs="宋体"/>
                <w:szCs w:val="21"/>
              </w:rPr>
            </w:pPr>
          </w:p>
        </w:tc>
      </w:tr>
    </w:tbl>
    <w:p>
      <w:pPr>
        <w:spacing w:line="440" w:lineRule="exact"/>
        <w:rPr>
          <w:rFonts w:ascii="宋体" w:hAnsi="宋体" w:cs="宋体"/>
          <w:szCs w:val="21"/>
        </w:rPr>
      </w:pPr>
    </w:p>
    <w:p>
      <w:pPr>
        <w:spacing w:line="440" w:lineRule="exact"/>
        <w:rPr>
          <w:rFonts w:ascii="宋体" w:hAnsi="宋体" w:cs="宋体"/>
          <w:szCs w:val="21"/>
        </w:rPr>
      </w:pPr>
    </w:p>
    <w:p>
      <w:pPr>
        <w:spacing w:line="440" w:lineRule="exact"/>
        <w:rPr>
          <w:rFonts w:ascii="宋体" w:hAnsi="宋体" w:cs="宋体"/>
          <w:szCs w:val="21"/>
        </w:rPr>
      </w:pPr>
      <w:r>
        <w:rPr>
          <w:rFonts w:hint="eastAsia" w:ascii="宋体" w:hAnsi="宋体" w:cs="宋体"/>
          <w:szCs w:val="21"/>
        </w:rPr>
        <w:t>附</w:t>
      </w:r>
      <w:bookmarkStart w:id="923" w:name="_Toc267261693"/>
      <w:bookmarkStart w:id="924" w:name="_Toc296891266"/>
      <w:bookmarkStart w:id="925" w:name="_Toc296944565"/>
      <w:bookmarkStart w:id="926" w:name="_Toc296347225"/>
      <w:bookmarkStart w:id="927" w:name="_Toc296346727"/>
      <w:bookmarkStart w:id="928" w:name="_Toc296503226"/>
      <w:bookmarkStart w:id="929" w:name="_Toc296891054"/>
      <w:r>
        <w:rPr>
          <w:rFonts w:hint="eastAsia" w:ascii="宋体" w:hAnsi="宋体" w:cs="宋体"/>
          <w:szCs w:val="21"/>
        </w:rPr>
        <w:t>件3：</w:t>
      </w:r>
      <w:bookmarkEnd w:id="923"/>
      <w:bookmarkEnd w:id="924"/>
      <w:bookmarkEnd w:id="925"/>
      <w:bookmarkEnd w:id="926"/>
      <w:bookmarkEnd w:id="927"/>
      <w:bookmarkEnd w:id="928"/>
      <w:bookmarkEnd w:id="929"/>
    </w:p>
    <w:p>
      <w:pPr>
        <w:spacing w:before="120" w:beforeLines="50" w:after="120" w:afterLines="50" w:line="440" w:lineRule="exact"/>
        <w:jc w:val="center"/>
        <w:rPr>
          <w:rFonts w:ascii="宋体" w:hAnsi="宋体" w:cs="宋体"/>
          <w:szCs w:val="21"/>
        </w:rPr>
      </w:pPr>
      <w:r>
        <w:rPr>
          <w:rFonts w:hint="eastAsia" w:ascii="宋体" w:hAnsi="宋体" w:cs="宋体"/>
          <w:szCs w:val="21"/>
        </w:rPr>
        <w:t>工程质量保修书</w:t>
      </w:r>
    </w:p>
    <w:p>
      <w:pPr>
        <w:spacing w:line="440" w:lineRule="exact"/>
        <w:ind w:firstLine="420" w:firstLineChars="200"/>
        <w:rPr>
          <w:rFonts w:ascii="宋体" w:hAnsi="宋体" w:cs="宋体"/>
          <w:szCs w:val="21"/>
        </w:rPr>
      </w:pPr>
      <w:r>
        <w:rPr>
          <w:rFonts w:hint="eastAsia" w:ascii="宋体" w:hAnsi="宋体" w:cs="宋体"/>
          <w:szCs w:val="21"/>
        </w:rPr>
        <w:t>发包人（全称）：</w:t>
      </w:r>
      <w:r>
        <w:rPr>
          <w:rFonts w:hint="eastAsia" w:ascii="宋体" w:hAnsi="宋体" w:cs="宋体"/>
          <w:szCs w:val="21"/>
          <w:lang w:val="en-US" w:eastAsia="zh-CN"/>
        </w:rPr>
        <w:t>汝南县教育局</w:t>
      </w:r>
    </w:p>
    <w:p>
      <w:pPr>
        <w:spacing w:line="440" w:lineRule="exact"/>
        <w:rPr>
          <w:rFonts w:ascii="宋体" w:hAnsi="宋体" w:cs="宋体"/>
          <w:szCs w:val="21"/>
        </w:rPr>
      </w:pPr>
      <w:r>
        <w:rPr>
          <w:rFonts w:hint="eastAsia" w:ascii="宋体" w:hAnsi="宋体" w:cs="宋体"/>
          <w:szCs w:val="21"/>
        </w:rPr>
        <w:t>　　承包人（全称）：</w:t>
      </w:r>
    </w:p>
    <w:p>
      <w:pPr>
        <w:spacing w:line="440" w:lineRule="exact"/>
        <w:rPr>
          <w:rFonts w:ascii="宋体" w:hAnsi="宋体" w:cs="宋体"/>
          <w:szCs w:val="21"/>
        </w:rPr>
      </w:pPr>
    </w:p>
    <w:p>
      <w:pPr>
        <w:spacing w:line="360" w:lineRule="auto"/>
        <w:rPr>
          <w:rFonts w:ascii="宋体" w:hAnsi="宋体" w:cs="宋体"/>
          <w:szCs w:val="21"/>
        </w:rPr>
      </w:pPr>
      <w:r>
        <w:rPr>
          <w:rFonts w:hint="eastAsia" w:ascii="宋体" w:hAnsi="宋体" w:cs="宋体"/>
          <w:szCs w:val="21"/>
        </w:rPr>
        <w:t>　　发包人和承包人根据《中华人民共和国建筑法》和《建设工程质量管理条例》，经协商一致就（工程全称）签订工程质量保修书。</w:t>
      </w:r>
    </w:p>
    <w:p>
      <w:pPr>
        <w:spacing w:line="360" w:lineRule="auto"/>
        <w:outlineLvl w:val="0"/>
        <w:rPr>
          <w:rFonts w:ascii="宋体" w:hAnsi="宋体" w:cs="宋体"/>
          <w:szCs w:val="21"/>
        </w:rPr>
      </w:pPr>
      <w:r>
        <w:rPr>
          <w:rFonts w:hint="eastAsia" w:ascii="宋体" w:hAnsi="宋体" w:cs="宋体"/>
          <w:szCs w:val="21"/>
        </w:rPr>
        <w:t>　　</w:t>
      </w:r>
      <w:bookmarkStart w:id="930" w:name="_Toc30494"/>
      <w:bookmarkStart w:id="931" w:name="_Toc28879"/>
      <w:r>
        <w:rPr>
          <w:rFonts w:hint="eastAsia" w:ascii="宋体" w:hAnsi="宋体" w:cs="宋体"/>
          <w:szCs w:val="21"/>
        </w:rPr>
        <w:t>一、工程质量保修范围和内容</w:t>
      </w:r>
      <w:bookmarkEnd w:id="930"/>
      <w:bookmarkEnd w:id="931"/>
    </w:p>
    <w:p>
      <w:pPr>
        <w:spacing w:line="360" w:lineRule="auto"/>
        <w:rPr>
          <w:rFonts w:ascii="宋体" w:hAnsi="宋体" w:cs="宋体"/>
          <w:szCs w:val="21"/>
        </w:rPr>
      </w:pPr>
      <w:r>
        <w:rPr>
          <w:rFonts w:hint="eastAsia" w:ascii="宋体" w:hAnsi="宋体" w:cs="宋体"/>
          <w:szCs w:val="21"/>
        </w:rPr>
        <w:t>　　承包人在质量保修期内，按照有关法律规定和合同约定，承担工程质量保修责任。</w:t>
      </w:r>
    </w:p>
    <w:p>
      <w:pPr>
        <w:spacing w:line="360" w:lineRule="auto"/>
        <w:rPr>
          <w:rFonts w:ascii="宋体" w:hAnsi="宋体" w:cs="宋体"/>
          <w:szCs w:val="21"/>
        </w:rPr>
      </w:pPr>
      <w:r>
        <w:rPr>
          <w:rFonts w:hint="eastAsia" w:ascii="宋体" w:hAnsi="宋体" w:cs="宋体"/>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ascii="宋体" w:hAnsi="宋体" w:cs="宋体"/>
          <w:szCs w:val="21"/>
        </w:rPr>
      </w:pPr>
      <w:r>
        <w:rPr>
          <w:rFonts w:hint="eastAsia" w:ascii="宋体" w:hAnsi="宋体" w:cs="宋体"/>
          <w:szCs w:val="21"/>
        </w:rPr>
        <w:t>　　。</w:t>
      </w:r>
    </w:p>
    <w:p>
      <w:pPr>
        <w:spacing w:line="360" w:lineRule="auto"/>
        <w:outlineLvl w:val="0"/>
        <w:rPr>
          <w:rFonts w:ascii="宋体" w:hAnsi="宋体" w:cs="宋体"/>
          <w:szCs w:val="21"/>
        </w:rPr>
      </w:pPr>
      <w:r>
        <w:rPr>
          <w:rFonts w:hint="eastAsia" w:ascii="宋体" w:hAnsi="宋体" w:cs="宋体"/>
          <w:b/>
          <w:szCs w:val="21"/>
        </w:rPr>
        <w:t>　　</w:t>
      </w:r>
      <w:bookmarkStart w:id="932" w:name="_Toc5402"/>
      <w:bookmarkStart w:id="933" w:name="_Toc24112"/>
      <w:r>
        <w:rPr>
          <w:rFonts w:hint="eastAsia" w:ascii="宋体" w:hAnsi="宋体" w:cs="宋体"/>
          <w:szCs w:val="21"/>
        </w:rPr>
        <w:t>二、质量保修期</w:t>
      </w:r>
      <w:bookmarkEnd w:id="932"/>
      <w:bookmarkEnd w:id="933"/>
    </w:p>
    <w:p>
      <w:pPr>
        <w:spacing w:line="360" w:lineRule="auto"/>
        <w:ind w:firstLine="420" w:firstLineChars="200"/>
        <w:rPr>
          <w:rFonts w:ascii="宋体" w:hAnsi="宋体" w:cs="宋体"/>
          <w:szCs w:val="21"/>
        </w:rPr>
      </w:pPr>
      <w:r>
        <w:rPr>
          <w:rFonts w:hint="eastAsia" w:ascii="宋体" w:hAnsi="宋体" w:cs="宋体"/>
          <w:szCs w:val="21"/>
        </w:rPr>
        <w:t>根据《建设工程质量管理条例》及有关规定，工程的质量保修期如下：</w:t>
      </w:r>
    </w:p>
    <w:p>
      <w:pPr>
        <w:ind w:firstLine="420" w:firstLineChars="200"/>
        <w:rPr>
          <w:rFonts w:ascii="宋体" w:hAnsi="宋体" w:cs="宋体"/>
          <w:szCs w:val="21"/>
        </w:rPr>
      </w:pPr>
      <w:r>
        <w:rPr>
          <w:rFonts w:hint="eastAsia" w:ascii="宋体" w:hAnsi="宋体" w:cs="宋体"/>
          <w:szCs w:val="21"/>
        </w:rPr>
        <w:t>1．地基基础工程和主体结构工程为设计文件规定的工程合理使用年限；</w:t>
      </w:r>
    </w:p>
    <w:p>
      <w:pPr>
        <w:spacing w:line="360" w:lineRule="auto"/>
        <w:ind w:firstLine="420" w:firstLineChars="200"/>
        <w:rPr>
          <w:rFonts w:ascii="宋体" w:hAnsi="宋体" w:cs="宋体"/>
          <w:szCs w:val="21"/>
        </w:rPr>
      </w:pPr>
      <w:r>
        <w:rPr>
          <w:rFonts w:hint="eastAsia" w:ascii="宋体" w:hAnsi="宋体" w:cs="宋体"/>
          <w:szCs w:val="21"/>
        </w:rPr>
        <w:t>2．屋面防水工程、有防水要求的卫生间、房间和外墙面的防渗     为年；</w:t>
      </w:r>
    </w:p>
    <w:p>
      <w:pPr>
        <w:spacing w:line="360" w:lineRule="auto"/>
        <w:ind w:left="420" w:leftChars="200" w:firstLine="105" w:firstLineChars="50"/>
        <w:rPr>
          <w:rFonts w:ascii="宋体" w:hAnsi="宋体" w:cs="宋体"/>
          <w:szCs w:val="21"/>
        </w:rPr>
      </w:pPr>
      <w:r>
        <w:rPr>
          <w:rFonts w:hint="eastAsia" w:ascii="宋体" w:hAnsi="宋体" w:cs="宋体"/>
          <w:szCs w:val="21"/>
        </w:rPr>
        <w:t>3．装修工程为年；</w:t>
      </w:r>
    </w:p>
    <w:p>
      <w:pPr>
        <w:spacing w:line="360" w:lineRule="auto"/>
        <w:ind w:left="420" w:leftChars="200" w:firstLine="105" w:firstLineChars="50"/>
        <w:rPr>
          <w:rFonts w:ascii="宋体" w:hAnsi="宋体" w:cs="宋体"/>
          <w:szCs w:val="21"/>
        </w:rPr>
      </w:pPr>
      <w:r>
        <w:rPr>
          <w:rFonts w:hint="eastAsia" w:ascii="宋体" w:hAnsi="宋体" w:cs="宋体"/>
          <w:szCs w:val="21"/>
        </w:rPr>
        <w:t>4．电气管线、给排水管道、设备安装工程为年；</w:t>
      </w:r>
    </w:p>
    <w:p>
      <w:pPr>
        <w:spacing w:line="360" w:lineRule="auto"/>
        <w:ind w:left="420" w:leftChars="200" w:firstLine="105" w:firstLineChars="50"/>
        <w:rPr>
          <w:rFonts w:ascii="宋体" w:hAnsi="宋体" w:cs="宋体"/>
          <w:szCs w:val="21"/>
        </w:rPr>
      </w:pPr>
      <w:r>
        <w:rPr>
          <w:rFonts w:hint="eastAsia" w:ascii="宋体" w:hAnsi="宋体" w:cs="宋体"/>
          <w:szCs w:val="21"/>
        </w:rPr>
        <w:t>5．供热与供冷系统为个采暖期、供冷期；</w:t>
      </w:r>
    </w:p>
    <w:p>
      <w:pPr>
        <w:spacing w:line="360" w:lineRule="auto"/>
        <w:ind w:left="420" w:leftChars="200" w:firstLine="105" w:firstLineChars="50"/>
        <w:rPr>
          <w:rFonts w:ascii="宋体" w:hAnsi="宋体" w:cs="宋体"/>
          <w:szCs w:val="21"/>
        </w:rPr>
      </w:pPr>
      <w:r>
        <w:rPr>
          <w:rFonts w:hint="eastAsia" w:ascii="宋体" w:hAnsi="宋体" w:cs="宋体"/>
          <w:szCs w:val="21"/>
        </w:rPr>
        <w:t>6．住宅小区内的给排水设施、道路等配套工程为年；</w:t>
      </w:r>
    </w:p>
    <w:p>
      <w:pPr>
        <w:spacing w:line="360" w:lineRule="auto"/>
        <w:ind w:left="420" w:leftChars="200" w:firstLine="105" w:firstLineChars="50"/>
        <w:rPr>
          <w:rFonts w:ascii="宋体" w:hAnsi="宋体" w:cs="宋体"/>
          <w:szCs w:val="21"/>
        </w:rPr>
      </w:pPr>
      <w:r>
        <w:rPr>
          <w:rFonts w:hint="eastAsia" w:ascii="宋体" w:hAnsi="宋体" w:cs="宋体"/>
          <w:szCs w:val="21"/>
        </w:rPr>
        <w:t>7．其他项目保修期限约定如下：</w:t>
      </w:r>
    </w:p>
    <w:p>
      <w:pPr>
        <w:spacing w:line="360" w:lineRule="auto"/>
        <w:rPr>
          <w:rFonts w:ascii="宋体" w:hAnsi="宋体" w:cs="宋体"/>
          <w:szCs w:val="21"/>
        </w:rPr>
      </w:pPr>
      <w:r>
        <w:rPr>
          <w:rFonts w:hint="eastAsia" w:ascii="宋体" w:hAnsi="宋体" w:cs="宋体"/>
          <w:szCs w:val="21"/>
        </w:rPr>
        <w:t>。</w:t>
      </w:r>
    </w:p>
    <w:p>
      <w:pPr>
        <w:spacing w:line="360" w:lineRule="auto"/>
        <w:rPr>
          <w:rFonts w:ascii="宋体" w:hAnsi="宋体" w:cs="宋体"/>
          <w:szCs w:val="21"/>
        </w:rPr>
      </w:pPr>
      <w:r>
        <w:rPr>
          <w:rFonts w:hint="eastAsia" w:ascii="宋体" w:hAnsi="宋体" w:cs="宋体"/>
          <w:szCs w:val="21"/>
        </w:rPr>
        <w:t>　　质量保修期自工程竣工验收合格之日起计算。</w:t>
      </w:r>
    </w:p>
    <w:p>
      <w:pPr>
        <w:spacing w:line="360" w:lineRule="auto"/>
        <w:ind w:firstLine="420" w:firstLineChars="200"/>
        <w:outlineLvl w:val="0"/>
        <w:rPr>
          <w:rFonts w:ascii="宋体" w:hAnsi="宋体" w:cs="宋体"/>
          <w:szCs w:val="21"/>
        </w:rPr>
      </w:pPr>
      <w:bookmarkStart w:id="934" w:name="_Toc24308"/>
      <w:bookmarkStart w:id="935" w:name="_Toc29289"/>
      <w:r>
        <w:rPr>
          <w:rFonts w:hint="eastAsia" w:ascii="宋体" w:hAnsi="宋体" w:cs="宋体"/>
          <w:szCs w:val="21"/>
        </w:rPr>
        <w:t>三、缺陷责任期</w:t>
      </w:r>
      <w:bookmarkEnd w:id="934"/>
      <w:bookmarkEnd w:id="935"/>
    </w:p>
    <w:p>
      <w:pPr>
        <w:spacing w:line="360" w:lineRule="auto"/>
        <w:ind w:firstLine="420" w:firstLineChars="200"/>
        <w:rPr>
          <w:rFonts w:ascii="宋体" w:hAnsi="宋体" w:cs="宋体"/>
          <w:szCs w:val="21"/>
        </w:rPr>
      </w:pPr>
      <w:r>
        <w:rPr>
          <w:rFonts w:hint="eastAsia" w:ascii="宋体" w:hAnsi="宋体" w:cs="宋体"/>
          <w:szCs w:val="21"/>
        </w:rPr>
        <w:t>工程缺陷责任期为个月，缺陷责任期自工程通过竣工验收之日起计算。单位工程先于全部工程进行验收，单位工程缺陷责任期自单位工程验收合格之日起算。</w:t>
      </w:r>
    </w:p>
    <w:p>
      <w:pPr>
        <w:spacing w:line="360" w:lineRule="auto"/>
        <w:ind w:firstLine="420" w:firstLineChars="200"/>
        <w:rPr>
          <w:rFonts w:ascii="宋体" w:hAnsi="宋体" w:cs="宋体"/>
          <w:szCs w:val="21"/>
        </w:rPr>
      </w:pPr>
      <w:r>
        <w:rPr>
          <w:rFonts w:hint="eastAsia" w:ascii="宋体" w:hAnsi="宋体" w:cs="宋体"/>
          <w:szCs w:val="21"/>
        </w:rPr>
        <w:t>缺陷责任期终止后，发包人应退还剩余的质量保证金。</w:t>
      </w:r>
    </w:p>
    <w:p>
      <w:pPr>
        <w:spacing w:line="360" w:lineRule="auto"/>
        <w:outlineLvl w:val="0"/>
        <w:rPr>
          <w:rFonts w:ascii="宋体" w:hAnsi="宋体" w:cs="宋体"/>
          <w:szCs w:val="21"/>
        </w:rPr>
      </w:pPr>
      <w:bookmarkStart w:id="936" w:name="_Toc4204"/>
      <w:bookmarkStart w:id="937" w:name="_Toc16669"/>
      <w:r>
        <w:rPr>
          <w:rFonts w:hint="eastAsia" w:ascii="宋体" w:hAnsi="宋体" w:cs="宋体"/>
          <w:szCs w:val="21"/>
        </w:rPr>
        <w:t>四、质量保修责任</w:t>
      </w:r>
      <w:bookmarkEnd w:id="936"/>
      <w:bookmarkEnd w:id="937"/>
    </w:p>
    <w:p>
      <w:pPr>
        <w:spacing w:line="360" w:lineRule="auto"/>
        <w:ind w:left="105" w:leftChars="50" w:firstLine="430" w:firstLineChars="205"/>
        <w:rPr>
          <w:rFonts w:ascii="宋体" w:hAnsi="宋体" w:cs="宋体"/>
          <w:szCs w:val="21"/>
        </w:rPr>
      </w:pPr>
      <w:r>
        <w:rPr>
          <w:rFonts w:hint="eastAsia" w:ascii="宋体" w:hAnsi="宋体" w:cs="宋体"/>
          <w:szCs w:val="21"/>
        </w:rPr>
        <w:t>1．属于保修范围、内容的项目，承包人应当在接到保修通知之日起7天内派人保修。承包人不在约定期限内派人保修的，发包人可以委托他人修理。</w:t>
      </w:r>
    </w:p>
    <w:p>
      <w:pPr>
        <w:spacing w:line="360" w:lineRule="auto"/>
        <w:ind w:left="105" w:leftChars="50" w:firstLine="430" w:firstLineChars="205"/>
        <w:rPr>
          <w:rFonts w:ascii="宋体" w:hAnsi="宋体" w:cs="宋体"/>
          <w:szCs w:val="21"/>
        </w:rPr>
      </w:pPr>
      <w:r>
        <w:rPr>
          <w:rFonts w:hint="eastAsia" w:ascii="宋体" w:hAnsi="宋体" w:cs="宋体"/>
          <w:szCs w:val="21"/>
        </w:rPr>
        <w:t>2．发生紧急事故需抢修的，承包人在接到事故通知后，应当立即到达事故现场抢修。</w:t>
      </w:r>
    </w:p>
    <w:p>
      <w:pPr>
        <w:spacing w:line="360" w:lineRule="auto"/>
        <w:ind w:left="105" w:leftChars="50" w:firstLine="430" w:firstLineChars="205"/>
        <w:rPr>
          <w:rFonts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20" w:leftChars="200" w:firstLine="105" w:firstLineChars="50"/>
        <w:rPr>
          <w:rFonts w:ascii="宋体" w:hAnsi="宋体" w:cs="宋体"/>
          <w:szCs w:val="21"/>
        </w:rPr>
      </w:pPr>
      <w:r>
        <w:rPr>
          <w:rFonts w:hint="eastAsia" w:ascii="宋体" w:hAnsi="宋体" w:cs="宋体"/>
          <w:szCs w:val="21"/>
        </w:rPr>
        <w:t>4．质量保修完成后，由发包人组织验收。</w:t>
      </w:r>
    </w:p>
    <w:p>
      <w:pPr>
        <w:spacing w:line="360" w:lineRule="auto"/>
        <w:outlineLvl w:val="0"/>
        <w:rPr>
          <w:rFonts w:ascii="宋体" w:hAnsi="宋体" w:cs="宋体"/>
          <w:szCs w:val="21"/>
        </w:rPr>
      </w:pPr>
      <w:r>
        <w:rPr>
          <w:rFonts w:hint="eastAsia" w:ascii="宋体" w:hAnsi="宋体" w:cs="宋体"/>
          <w:szCs w:val="21"/>
        </w:rPr>
        <w:t>　　</w:t>
      </w:r>
      <w:bookmarkStart w:id="938" w:name="_Toc4493"/>
      <w:bookmarkStart w:id="939" w:name="_Toc8108"/>
      <w:r>
        <w:rPr>
          <w:rFonts w:hint="eastAsia" w:ascii="宋体" w:hAnsi="宋体" w:cs="宋体"/>
          <w:szCs w:val="21"/>
        </w:rPr>
        <w:t>五、保修费用</w:t>
      </w:r>
      <w:bookmarkEnd w:id="938"/>
      <w:bookmarkEnd w:id="939"/>
    </w:p>
    <w:p>
      <w:pPr>
        <w:spacing w:line="360" w:lineRule="auto"/>
        <w:rPr>
          <w:rFonts w:ascii="宋体" w:hAnsi="宋体" w:cs="宋体"/>
          <w:szCs w:val="21"/>
        </w:rPr>
      </w:pPr>
      <w:r>
        <w:rPr>
          <w:rFonts w:hint="eastAsia" w:ascii="宋体" w:hAnsi="宋体" w:cs="宋体"/>
          <w:szCs w:val="21"/>
        </w:rPr>
        <w:t>　　保修费用由造成质量缺陷的责任方承担。</w:t>
      </w:r>
    </w:p>
    <w:p>
      <w:pPr>
        <w:spacing w:line="360" w:lineRule="auto"/>
        <w:ind w:firstLine="600"/>
        <w:jc w:val="left"/>
        <w:outlineLvl w:val="0"/>
        <w:rPr>
          <w:rFonts w:ascii="宋体" w:hAnsi="宋体" w:cs="宋体"/>
          <w:szCs w:val="21"/>
          <w:u w:val="single"/>
        </w:rPr>
      </w:pPr>
      <w:bookmarkStart w:id="940" w:name="_Toc2599"/>
      <w:bookmarkStart w:id="941" w:name="_Toc22857"/>
      <w:r>
        <w:rPr>
          <w:rFonts w:hint="eastAsia" w:ascii="宋体" w:hAnsi="宋体" w:cs="宋体"/>
          <w:b/>
          <w:szCs w:val="21"/>
        </w:rPr>
        <w:t>六</w:t>
      </w:r>
      <w:r>
        <w:rPr>
          <w:rFonts w:hint="eastAsia" w:ascii="宋体" w:hAnsi="宋体" w:cs="宋体"/>
          <w:szCs w:val="21"/>
        </w:rPr>
        <w:t>、双方约定的其他工程质量保修事项：</w:t>
      </w:r>
      <w:bookmarkEnd w:id="940"/>
      <w:bookmarkEnd w:id="941"/>
    </w:p>
    <w:p>
      <w:pPr>
        <w:spacing w:line="360" w:lineRule="auto"/>
        <w:jc w:val="left"/>
        <w:rPr>
          <w:rFonts w:ascii="宋体" w:hAnsi="宋体" w:cs="宋体"/>
          <w:szCs w:val="21"/>
        </w:rPr>
      </w:pPr>
      <w:r>
        <w:rPr>
          <w:rFonts w:hint="eastAsia" w:ascii="宋体" w:hAnsi="宋体" w:cs="宋体"/>
          <w:szCs w:val="21"/>
        </w:rPr>
        <w:t>。</w:t>
      </w:r>
    </w:p>
    <w:p>
      <w:pPr>
        <w:spacing w:line="360" w:lineRule="auto"/>
        <w:ind w:firstLine="399" w:firstLineChars="190"/>
        <w:rPr>
          <w:rFonts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pPr>
        <w:spacing w:line="360" w:lineRule="auto"/>
        <w:ind w:firstLine="420"/>
        <w:rPr>
          <w:rFonts w:ascii="宋体" w:hAnsi="宋体" w:cs="宋体"/>
          <w:szCs w:val="21"/>
        </w:rPr>
      </w:pPr>
    </w:p>
    <w:p>
      <w:pPr>
        <w:spacing w:line="360" w:lineRule="auto"/>
        <w:rPr>
          <w:rFonts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p>
    <w:p>
      <w:pPr>
        <w:spacing w:line="360" w:lineRule="auto"/>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p>
    <w:p>
      <w:pPr>
        <w:spacing w:line="360" w:lineRule="auto"/>
        <w:rPr>
          <w:rFonts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p>
    <w:p>
      <w:pPr>
        <w:spacing w:line="360" w:lineRule="auto"/>
        <w:rPr>
          <w:rFonts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rPr>
          <w:rFonts w:hint="eastAsia" w:ascii="宋体" w:hAnsi="宋体" w:cs="宋体"/>
          <w:b/>
          <w:szCs w:val="21"/>
        </w:rPr>
        <w:br w:type="page"/>
      </w:r>
      <w:r>
        <w:rPr>
          <w:rFonts w:hint="eastAsia" w:ascii="宋体" w:hAnsi="宋体" w:cs="宋体"/>
          <w:szCs w:val="21"/>
        </w:rPr>
        <w:t>附件4：</w:t>
      </w:r>
    </w:p>
    <w:p>
      <w:pPr>
        <w:spacing w:before="120" w:beforeLines="50" w:after="120" w:afterLines="50" w:line="440" w:lineRule="exact"/>
        <w:jc w:val="center"/>
        <w:rPr>
          <w:rFonts w:ascii="宋体" w:hAnsi="宋体" w:cs="宋体"/>
          <w:szCs w:val="21"/>
        </w:rPr>
      </w:pPr>
      <w:r>
        <w:rPr>
          <w:rFonts w:hint="eastAsia" w:ascii="宋体" w:hAnsi="宋体" w:cs="宋体"/>
          <w:szCs w:val="21"/>
        </w:rPr>
        <w:t>主要建设工程文件目录</w:t>
      </w:r>
    </w:p>
    <w:tbl>
      <w:tblPr>
        <w:tblStyle w:val="46"/>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文件名称</w:t>
            </w:r>
          </w:p>
        </w:tc>
        <w:tc>
          <w:tcPr>
            <w:tcW w:w="1276"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套数</w:t>
            </w:r>
          </w:p>
        </w:tc>
        <w:tc>
          <w:tcPr>
            <w:tcW w:w="145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费用（元）</w:t>
            </w:r>
          </w:p>
        </w:tc>
        <w:tc>
          <w:tcPr>
            <w:tcW w:w="1243"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质量</w:t>
            </w:r>
          </w:p>
        </w:tc>
        <w:tc>
          <w:tcPr>
            <w:tcW w:w="1450" w:type="dxa"/>
            <w:tcBorders>
              <w:top w:val="single" w:color="auto" w:sz="12" w:space="0"/>
              <w:bottom w:val="double" w:color="auto" w:sz="6" w:space="0"/>
            </w:tcBorders>
          </w:tcPr>
          <w:p>
            <w:pPr>
              <w:spacing w:line="440" w:lineRule="exact"/>
              <w:jc w:val="center"/>
              <w:rPr>
                <w:rFonts w:ascii="宋体" w:hAnsi="宋体" w:cs="宋体"/>
                <w:szCs w:val="21"/>
              </w:rPr>
            </w:pPr>
            <w:r>
              <w:rPr>
                <w:rFonts w:hint="eastAsia" w:ascii="宋体" w:hAnsi="宋体" w:cs="宋体"/>
                <w:szCs w:val="21"/>
              </w:rPr>
              <w:t>移交时间</w:t>
            </w:r>
          </w:p>
        </w:tc>
        <w:tc>
          <w:tcPr>
            <w:tcW w:w="1667" w:type="dxa"/>
            <w:tcBorders>
              <w:top w:val="single" w:color="auto" w:sz="12" w:space="0"/>
              <w:bottom w:val="double" w:color="auto" w:sz="6" w:space="0"/>
            </w:tcBorders>
          </w:tcPr>
          <w:p>
            <w:pPr>
              <w:spacing w:line="440" w:lineRule="exact"/>
              <w:jc w:val="center"/>
              <w:rPr>
                <w:rFonts w:ascii="宋体" w:hAnsi="宋体" w:cs="宋体"/>
                <w:szCs w:val="21"/>
              </w:rPr>
            </w:pPr>
            <w:r>
              <w:rPr>
                <w:rFonts w:hint="eastAsia" w:ascii="宋体" w:hAnsi="宋体" w:cs="宋体"/>
                <w:szCs w:val="21"/>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276"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45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243"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45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667"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276"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243"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667"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243"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667"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243"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667"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243"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667"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243"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667"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243"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667"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3"/>
              <w:keepNext/>
              <w:spacing w:after="0" w:line="440" w:lineRule="exact"/>
              <w:ind w:left="63" w:right="63"/>
              <w:rPr>
                <w:rFonts w:ascii="宋体" w:hAnsi="宋体" w:cs="宋体"/>
                <w:kern w:val="2"/>
                <w:sz w:val="21"/>
                <w:szCs w:val="21"/>
              </w:rPr>
            </w:pPr>
          </w:p>
        </w:tc>
        <w:tc>
          <w:tcPr>
            <w:tcW w:w="1276"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243" w:type="dxa"/>
            <w:vAlign w:val="center"/>
          </w:tcPr>
          <w:p>
            <w:pPr>
              <w:pStyle w:val="3"/>
              <w:keepNext/>
              <w:spacing w:after="0" w:line="440" w:lineRule="exact"/>
              <w:ind w:left="63" w:right="63"/>
              <w:rPr>
                <w:rFonts w:ascii="宋体" w:hAnsi="宋体" w:cs="宋体"/>
                <w:kern w:val="2"/>
                <w:sz w:val="21"/>
                <w:szCs w:val="21"/>
              </w:rPr>
            </w:pPr>
          </w:p>
        </w:tc>
        <w:tc>
          <w:tcPr>
            <w:tcW w:w="1450" w:type="dxa"/>
            <w:vAlign w:val="center"/>
          </w:tcPr>
          <w:p>
            <w:pPr>
              <w:pStyle w:val="3"/>
              <w:keepNext/>
              <w:spacing w:after="0" w:line="440" w:lineRule="exact"/>
              <w:ind w:left="63" w:right="63"/>
              <w:rPr>
                <w:rFonts w:ascii="宋体" w:hAnsi="宋体" w:cs="宋体"/>
                <w:kern w:val="2"/>
                <w:sz w:val="21"/>
                <w:szCs w:val="21"/>
              </w:rPr>
            </w:pPr>
          </w:p>
        </w:tc>
        <w:tc>
          <w:tcPr>
            <w:tcW w:w="1667"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ascii="宋体" w:hAnsi="宋体" w:cs="宋体"/>
                <w:szCs w:val="21"/>
              </w:rPr>
            </w:pPr>
          </w:p>
        </w:tc>
        <w:tc>
          <w:tcPr>
            <w:tcW w:w="1276" w:type="dxa"/>
          </w:tcPr>
          <w:p>
            <w:pPr>
              <w:rPr>
                <w:rFonts w:ascii="宋体" w:hAnsi="宋体" w:cs="宋体"/>
                <w:szCs w:val="21"/>
              </w:rPr>
            </w:pPr>
          </w:p>
        </w:tc>
        <w:tc>
          <w:tcPr>
            <w:tcW w:w="1450" w:type="dxa"/>
          </w:tcPr>
          <w:p>
            <w:pPr>
              <w:rPr>
                <w:rFonts w:ascii="宋体" w:hAnsi="宋体" w:cs="宋体"/>
                <w:szCs w:val="21"/>
              </w:rPr>
            </w:pPr>
          </w:p>
        </w:tc>
        <w:tc>
          <w:tcPr>
            <w:tcW w:w="1243" w:type="dxa"/>
          </w:tcPr>
          <w:p>
            <w:pPr>
              <w:rPr>
                <w:rFonts w:ascii="宋体" w:hAnsi="宋体" w:cs="宋体"/>
                <w:szCs w:val="21"/>
              </w:rPr>
            </w:pPr>
          </w:p>
        </w:tc>
        <w:tc>
          <w:tcPr>
            <w:tcW w:w="1450" w:type="dxa"/>
          </w:tcPr>
          <w:p>
            <w:pPr>
              <w:rPr>
                <w:rFonts w:ascii="宋体" w:hAnsi="宋体" w:cs="宋体"/>
                <w:szCs w:val="21"/>
              </w:rPr>
            </w:pPr>
          </w:p>
        </w:tc>
        <w:tc>
          <w:tcPr>
            <w:tcW w:w="1667" w:type="dxa"/>
          </w:tcPr>
          <w:p>
            <w:pPr>
              <w:rPr>
                <w:rFonts w:ascii="宋体" w:hAnsi="宋体" w:cs="宋体"/>
                <w:szCs w:val="21"/>
              </w:rPr>
            </w:pPr>
          </w:p>
        </w:tc>
      </w:tr>
    </w:tbl>
    <w:p>
      <w:pPr>
        <w:spacing w:line="440" w:lineRule="exact"/>
        <w:rPr>
          <w:rFonts w:ascii="宋体" w:hAnsi="宋体" w:cs="宋体"/>
          <w:szCs w:val="21"/>
        </w:rPr>
      </w:pPr>
    </w:p>
    <w:p>
      <w:pPr>
        <w:pStyle w:val="2"/>
        <w:ind w:left="63" w:right="63" w:firstLine="400"/>
        <w:rPr>
          <w:rFonts w:ascii="宋体" w:hAnsi="宋体" w:cs="宋体"/>
        </w:rPr>
      </w:pPr>
    </w:p>
    <w:p>
      <w:pPr>
        <w:pStyle w:val="44"/>
        <w:rPr>
          <w:rFonts w:ascii="宋体" w:hAnsi="宋体" w:cs="宋体"/>
          <w:szCs w:val="21"/>
        </w:rPr>
      </w:pPr>
    </w:p>
    <w:p>
      <w:pPr>
        <w:pStyle w:val="44"/>
        <w:rPr>
          <w:rFonts w:ascii="宋体" w:hAnsi="宋体" w:cs="宋体"/>
          <w:szCs w:val="21"/>
        </w:rPr>
      </w:pPr>
    </w:p>
    <w:p>
      <w:pPr>
        <w:spacing w:line="440" w:lineRule="exact"/>
        <w:rPr>
          <w:rFonts w:ascii="宋体" w:hAnsi="宋体" w:cs="宋体"/>
          <w:szCs w:val="21"/>
        </w:rPr>
      </w:pPr>
      <w:r>
        <w:rPr>
          <w:rFonts w:hint="eastAsia" w:ascii="宋体" w:hAnsi="宋体" w:cs="宋体"/>
          <w:szCs w:val="21"/>
        </w:rPr>
        <w:t>附</w:t>
      </w:r>
      <w:bookmarkStart w:id="942" w:name="_Toc296891267"/>
      <w:bookmarkStart w:id="943" w:name="_Toc296503227"/>
      <w:bookmarkStart w:id="944" w:name="_Toc296346728"/>
      <w:bookmarkStart w:id="945" w:name="_Toc296347226"/>
      <w:bookmarkStart w:id="946" w:name="_Toc296944566"/>
      <w:bookmarkStart w:id="947" w:name="_Toc267261698"/>
      <w:bookmarkStart w:id="948" w:name="_Toc296891055"/>
      <w:r>
        <w:rPr>
          <w:rFonts w:hint="eastAsia" w:ascii="宋体" w:hAnsi="宋体" w:cs="宋体"/>
          <w:szCs w:val="21"/>
        </w:rPr>
        <w:t>件5：</w:t>
      </w:r>
    </w:p>
    <w:bookmarkEnd w:id="942"/>
    <w:bookmarkEnd w:id="943"/>
    <w:bookmarkEnd w:id="944"/>
    <w:bookmarkEnd w:id="945"/>
    <w:bookmarkEnd w:id="946"/>
    <w:bookmarkEnd w:id="947"/>
    <w:bookmarkEnd w:id="948"/>
    <w:p>
      <w:pPr>
        <w:spacing w:before="120" w:beforeLines="50" w:after="120" w:afterLines="50" w:line="440" w:lineRule="exact"/>
        <w:jc w:val="center"/>
        <w:rPr>
          <w:rFonts w:ascii="宋体" w:hAnsi="宋体" w:cs="宋体"/>
          <w:szCs w:val="21"/>
        </w:rPr>
      </w:pPr>
      <w:r>
        <w:rPr>
          <w:rFonts w:hint="eastAsia" w:ascii="宋体" w:hAnsi="宋体" w:cs="宋体"/>
          <w:szCs w:val="21"/>
        </w:rPr>
        <w:t>承包人用于本工程施工的机械设备表</w:t>
      </w:r>
    </w:p>
    <w:tbl>
      <w:tblPr>
        <w:tblStyle w:val="4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序号</w:t>
            </w:r>
          </w:p>
        </w:tc>
        <w:tc>
          <w:tcPr>
            <w:tcW w:w="1418"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机械或设备名称</w:t>
            </w:r>
          </w:p>
        </w:tc>
        <w:tc>
          <w:tcPr>
            <w:tcW w:w="85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规格型号</w:t>
            </w:r>
          </w:p>
        </w:tc>
        <w:tc>
          <w:tcPr>
            <w:tcW w:w="1058"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数量</w:t>
            </w:r>
          </w:p>
        </w:tc>
        <w:tc>
          <w:tcPr>
            <w:tcW w:w="88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产地</w:t>
            </w:r>
          </w:p>
        </w:tc>
        <w:tc>
          <w:tcPr>
            <w:tcW w:w="102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制造年份</w:t>
            </w:r>
          </w:p>
        </w:tc>
        <w:tc>
          <w:tcPr>
            <w:tcW w:w="148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额定功率(kW)</w:t>
            </w:r>
          </w:p>
        </w:tc>
        <w:tc>
          <w:tcPr>
            <w:tcW w:w="1020"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生产能力</w:t>
            </w:r>
          </w:p>
        </w:tc>
        <w:tc>
          <w:tcPr>
            <w:tcW w:w="921"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418"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058"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88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02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48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1020"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c>
          <w:tcPr>
            <w:tcW w:w="921" w:type="dxa"/>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18"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5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058"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88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02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48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020"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921"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058" w:type="dxa"/>
            <w:vAlign w:val="center"/>
          </w:tcPr>
          <w:p>
            <w:pPr>
              <w:pStyle w:val="3"/>
              <w:keepNext/>
              <w:spacing w:after="0" w:line="440" w:lineRule="exact"/>
              <w:ind w:left="63" w:right="63"/>
              <w:rPr>
                <w:rFonts w:ascii="宋体" w:hAnsi="宋体" w:cs="宋体"/>
                <w:kern w:val="2"/>
                <w:sz w:val="21"/>
                <w:szCs w:val="21"/>
              </w:rPr>
            </w:pPr>
          </w:p>
        </w:tc>
        <w:tc>
          <w:tcPr>
            <w:tcW w:w="8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14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921"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058" w:type="dxa"/>
            <w:vAlign w:val="center"/>
          </w:tcPr>
          <w:p>
            <w:pPr>
              <w:pStyle w:val="3"/>
              <w:keepNext/>
              <w:spacing w:after="0" w:line="440" w:lineRule="exact"/>
              <w:ind w:left="63" w:right="63"/>
              <w:rPr>
                <w:rFonts w:ascii="宋体" w:hAnsi="宋体" w:cs="宋体"/>
                <w:kern w:val="2"/>
                <w:sz w:val="21"/>
                <w:szCs w:val="21"/>
              </w:rPr>
            </w:pPr>
          </w:p>
        </w:tc>
        <w:tc>
          <w:tcPr>
            <w:tcW w:w="8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14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921"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058" w:type="dxa"/>
            <w:vAlign w:val="center"/>
          </w:tcPr>
          <w:p>
            <w:pPr>
              <w:pStyle w:val="3"/>
              <w:keepNext/>
              <w:spacing w:after="0" w:line="440" w:lineRule="exact"/>
              <w:ind w:left="63" w:right="63"/>
              <w:rPr>
                <w:rFonts w:ascii="宋体" w:hAnsi="宋体" w:cs="宋体"/>
                <w:kern w:val="2"/>
                <w:sz w:val="21"/>
                <w:szCs w:val="21"/>
              </w:rPr>
            </w:pPr>
          </w:p>
        </w:tc>
        <w:tc>
          <w:tcPr>
            <w:tcW w:w="8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14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921"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058" w:type="dxa"/>
            <w:vAlign w:val="center"/>
          </w:tcPr>
          <w:p>
            <w:pPr>
              <w:pStyle w:val="3"/>
              <w:keepNext/>
              <w:spacing w:after="0" w:line="440" w:lineRule="exact"/>
              <w:ind w:left="63" w:right="63"/>
              <w:rPr>
                <w:rFonts w:ascii="宋体" w:hAnsi="宋体" w:cs="宋体"/>
                <w:kern w:val="2"/>
                <w:sz w:val="21"/>
                <w:szCs w:val="21"/>
              </w:rPr>
            </w:pPr>
          </w:p>
        </w:tc>
        <w:tc>
          <w:tcPr>
            <w:tcW w:w="8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14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921"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058" w:type="dxa"/>
            <w:vAlign w:val="center"/>
          </w:tcPr>
          <w:p>
            <w:pPr>
              <w:pStyle w:val="3"/>
              <w:keepNext/>
              <w:spacing w:after="0" w:line="440" w:lineRule="exact"/>
              <w:ind w:left="63" w:right="63"/>
              <w:rPr>
                <w:rFonts w:ascii="宋体" w:hAnsi="宋体" w:cs="宋体"/>
                <w:kern w:val="2"/>
                <w:sz w:val="21"/>
                <w:szCs w:val="21"/>
              </w:rPr>
            </w:pPr>
          </w:p>
        </w:tc>
        <w:tc>
          <w:tcPr>
            <w:tcW w:w="8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14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921"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058" w:type="dxa"/>
            <w:vAlign w:val="center"/>
          </w:tcPr>
          <w:p>
            <w:pPr>
              <w:pStyle w:val="3"/>
              <w:keepNext/>
              <w:spacing w:after="0" w:line="440" w:lineRule="exact"/>
              <w:ind w:left="63" w:right="63"/>
              <w:rPr>
                <w:rFonts w:ascii="宋体" w:hAnsi="宋体" w:cs="宋体"/>
                <w:kern w:val="2"/>
                <w:sz w:val="21"/>
                <w:szCs w:val="21"/>
              </w:rPr>
            </w:pPr>
          </w:p>
        </w:tc>
        <w:tc>
          <w:tcPr>
            <w:tcW w:w="8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14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921"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ascii="宋体" w:hAnsi="宋体" w:cs="宋体"/>
                <w:szCs w:val="21"/>
              </w:rPr>
            </w:pPr>
          </w:p>
        </w:tc>
        <w:tc>
          <w:tcPr>
            <w:tcW w:w="1418" w:type="dxa"/>
          </w:tcPr>
          <w:p>
            <w:pPr>
              <w:rPr>
                <w:rFonts w:ascii="宋体" w:hAnsi="宋体" w:cs="宋体"/>
                <w:szCs w:val="21"/>
              </w:rPr>
            </w:pPr>
          </w:p>
        </w:tc>
        <w:tc>
          <w:tcPr>
            <w:tcW w:w="850" w:type="dxa"/>
          </w:tcPr>
          <w:p>
            <w:pPr>
              <w:rPr>
                <w:rFonts w:ascii="宋体" w:hAnsi="宋体" w:cs="宋体"/>
                <w:szCs w:val="21"/>
              </w:rPr>
            </w:pPr>
          </w:p>
        </w:tc>
        <w:tc>
          <w:tcPr>
            <w:tcW w:w="1058" w:type="dxa"/>
          </w:tcPr>
          <w:p>
            <w:pPr>
              <w:rPr>
                <w:rFonts w:ascii="宋体" w:hAnsi="宋体" w:cs="宋体"/>
                <w:szCs w:val="21"/>
              </w:rPr>
            </w:pPr>
          </w:p>
        </w:tc>
        <w:tc>
          <w:tcPr>
            <w:tcW w:w="880" w:type="dxa"/>
          </w:tcPr>
          <w:p>
            <w:pPr>
              <w:rPr>
                <w:rFonts w:ascii="宋体" w:hAnsi="宋体" w:cs="宋体"/>
                <w:szCs w:val="21"/>
              </w:rPr>
            </w:pPr>
          </w:p>
        </w:tc>
        <w:tc>
          <w:tcPr>
            <w:tcW w:w="1020" w:type="dxa"/>
          </w:tcPr>
          <w:p>
            <w:pPr>
              <w:rPr>
                <w:rFonts w:ascii="宋体" w:hAnsi="宋体" w:cs="宋体"/>
                <w:szCs w:val="21"/>
              </w:rPr>
            </w:pPr>
          </w:p>
        </w:tc>
        <w:tc>
          <w:tcPr>
            <w:tcW w:w="1480" w:type="dxa"/>
          </w:tcPr>
          <w:p>
            <w:pPr>
              <w:rPr>
                <w:rFonts w:ascii="宋体" w:hAnsi="宋体" w:cs="宋体"/>
                <w:szCs w:val="21"/>
              </w:rPr>
            </w:pPr>
          </w:p>
        </w:tc>
        <w:tc>
          <w:tcPr>
            <w:tcW w:w="1020" w:type="dxa"/>
          </w:tcPr>
          <w:p>
            <w:pPr>
              <w:rPr>
                <w:rFonts w:ascii="宋体" w:hAnsi="宋体" w:cs="宋体"/>
                <w:szCs w:val="21"/>
              </w:rPr>
            </w:pPr>
          </w:p>
        </w:tc>
        <w:tc>
          <w:tcPr>
            <w:tcW w:w="921"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850" w:type="dxa"/>
            <w:vAlign w:val="center"/>
          </w:tcPr>
          <w:p>
            <w:pPr>
              <w:pStyle w:val="3"/>
              <w:keepNext/>
              <w:spacing w:after="0" w:line="440" w:lineRule="exact"/>
              <w:ind w:left="63" w:right="63"/>
              <w:rPr>
                <w:rFonts w:ascii="宋体" w:hAnsi="宋体" w:cs="宋体"/>
                <w:kern w:val="2"/>
                <w:sz w:val="21"/>
                <w:szCs w:val="21"/>
              </w:rPr>
            </w:pPr>
          </w:p>
        </w:tc>
        <w:tc>
          <w:tcPr>
            <w:tcW w:w="1058" w:type="dxa"/>
            <w:vAlign w:val="center"/>
          </w:tcPr>
          <w:p>
            <w:pPr>
              <w:pStyle w:val="3"/>
              <w:keepNext/>
              <w:spacing w:after="0" w:line="440" w:lineRule="exact"/>
              <w:ind w:left="63" w:right="63"/>
              <w:rPr>
                <w:rFonts w:ascii="宋体" w:hAnsi="宋体" w:cs="宋体"/>
                <w:kern w:val="2"/>
                <w:sz w:val="21"/>
                <w:szCs w:val="21"/>
              </w:rPr>
            </w:pPr>
          </w:p>
        </w:tc>
        <w:tc>
          <w:tcPr>
            <w:tcW w:w="8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1480" w:type="dxa"/>
            <w:vAlign w:val="center"/>
          </w:tcPr>
          <w:p>
            <w:pPr>
              <w:pStyle w:val="3"/>
              <w:keepNext/>
              <w:spacing w:after="0" w:line="440" w:lineRule="exact"/>
              <w:ind w:left="63" w:right="63"/>
              <w:rPr>
                <w:rFonts w:ascii="宋体" w:hAnsi="宋体" w:cs="宋体"/>
                <w:kern w:val="2"/>
                <w:sz w:val="21"/>
                <w:szCs w:val="21"/>
              </w:rPr>
            </w:pPr>
          </w:p>
        </w:tc>
        <w:tc>
          <w:tcPr>
            <w:tcW w:w="1020" w:type="dxa"/>
            <w:vAlign w:val="center"/>
          </w:tcPr>
          <w:p>
            <w:pPr>
              <w:pStyle w:val="3"/>
              <w:keepNext/>
              <w:spacing w:after="0" w:line="440" w:lineRule="exact"/>
              <w:ind w:left="63" w:right="63"/>
              <w:rPr>
                <w:rFonts w:ascii="宋体" w:hAnsi="宋体" w:cs="宋体"/>
                <w:kern w:val="2"/>
                <w:sz w:val="21"/>
                <w:szCs w:val="21"/>
              </w:rPr>
            </w:pPr>
          </w:p>
        </w:tc>
        <w:tc>
          <w:tcPr>
            <w:tcW w:w="921"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ascii="宋体" w:hAnsi="宋体" w:cs="宋体"/>
                <w:szCs w:val="21"/>
              </w:rPr>
            </w:pPr>
          </w:p>
        </w:tc>
        <w:tc>
          <w:tcPr>
            <w:tcW w:w="1418" w:type="dxa"/>
          </w:tcPr>
          <w:p>
            <w:pPr>
              <w:rPr>
                <w:rFonts w:ascii="宋体" w:hAnsi="宋体" w:cs="宋体"/>
                <w:szCs w:val="21"/>
              </w:rPr>
            </w:pPr>
          </w:p>
        </w:tc>
        <w:tc>
          <w:tcPr>
            <w:tcW w:w="850" w:type="dxa"/>
          </w:tcPr>
          <w:p>
            <w:pPr>
              <w:rPr>
                <w:rFonts w:ascii="宋体" w:hAnsi="宋体" w:cs="宋体"/>
                <w:szCs w:val="21"/>
              </w:rPr>
            </w:pPr>
          </w:p>
        </w:tc>
        <w:tc>
          <w:tcPr>
            <w:tcW w:w="1058" w:type="dxa"/>
          </w:tcPr>
          <w:p>
            <w:pPr>
              <w:rPr>
                <w:rFonts w:ascii="宋体" w:hAnsi="宋体" w:cs="宋体"/>
                <w:szCs w:val="21"/>
              </w:rPr>
            </w:pPr>
          </w:p>
        </w:tc>
        <w:tc>
          <w:tcPr>
            <w:tcW w:w="880" w:type="dxa"/>
          </w:tcPr>
          <w:p>
            <w:pPr>
              <w:rPr>
                <w:rFonts w:ascii="宋体" w:hAnsi="宋体" w:cs="宋体"/>
                <w:szCs w:val="21"/>
              </w:rPr>
            </w:pPr>
          </w:p>
        </w:tc>
        <w:tc>
          <w:tcPr>
            <w:tcW w:w="1020" w:type="dxa"/>
          </w:tcPr>
          <w:p>
            <w:pPr>
              <w:rPr>
                <w:rFonts w:ascii="宋体" w:hAnsi="宋体" w:cs="宋体"/>
                <w:szCs w:val="21"/>
              </w:rPr>
            </w:pPr>
          </w:p>
        </w:tc>
        <w:tc>
          <w:tcPr>
            <w:tcW w:w="1480" w:type="dxa"/>
          </w:tcPr>
          <w:p>
            <w:pPr>
              <w:rPr>
                <w:rFonts w:ascii="宋体" w:hAnsi="宋体" w:cs="宋体"/>
                <w:szCs w:val="21"/>
              </w:rPr>
            </w:pPr>
          </w:p>
        </w:tc>
        <w:tc>
          <w:tcPr>
            <w:tcW w:w="1020" w:type="dxa"/>
          </w:tcPr>
          <w:p>
            <w:pPr>
              <w:rPr>
                <w:rFonts w:ascii="宋体" w:hAnsi="宋体" w:cs="宋体"/>
                <w:szCs w:val="21"/>
              </w:rPr>
            </w:pPr>
          </w:p>
        </w:tc>
        <w:tc>
          <w:tcPr>
            <w:tcW w:w="921"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ascii="宋体" w:hAnsi="宋体" w:cs="宋体"/>
                <w:szCs w:val="21"/>
              </w:rPr>
            </w:pPr>
          </w:p>
        </w:tc>
        <w:tc>
          <w:tcPr>
            <w:tcW w:w="1418" w:type="dxa"/>
          </w:tcPr>
          <w:p>
            <w:pPr>
              <w:rPr>
                <w:rFonts w:ascii="宋体" w:hAnsi="宋体" w:cs="宋体"/>
                <w:szCs w:val="21"/>
              </w:rPr>
            </w:pPr>
          </w:p>
        </w:tc>
        <w:tc>
          <w:tcPr>
            <w:tcW w:w="850" w:type="dxa"/>
          </w:tcPr>
          <w:p>
            <w:pPr>
              <w:rPr>
                <w:rFonts w:ascii="宋体" w:hAnsi="宋体" w:cs="宋体"/>
                <w:szCs w:val="21"/>
              </w:rPr>
            </w:pPr>
          </w:p>
        </w:tc>
        <w:tc>
          <w:tcPr>
            <w:tcW w:w="1058" w:type="dxa"/>
          </w:tcPr>
          <w:p>
            <w:pPr>
              <w:rPr>
                <w:rFonts w:ascii="宋体" w:hAnsi="宋体" w:cs="宋体"/>
                <w:szCs w:val="21"/>
              </w:rPr>
            </w:pPr>
          </w:p>
        </w:tc>
        <w:tc>
          <w:tcPr>
            <w:tcW w:w="880" w:type="dxa"/>
          </w:tcPr>
          <w:p>
            <w:pPr>
              <w:rPr>
                <w:rFonts w:ascii="宋体" w:hAnsi="宋体" w:cs="宋体"/>
                <w:szCs w:val="21"/>
              </w:rPr>
            </w:pPr>
          </w:p>
        </w:tc>
        <w:tc>
          <w:tcPr>
            <w:tcW w:w="1020" w:type="dxa"/>
          </w:tcPr>
          <w:p>
            <w:pPr>
              <w:rPr>
                <w:rFonts w:ascii="宋体" w:hAnsi="宋体" w:cs="宋体"/>
                <w:szCs w:val="21"/>
              </w:rPr>
            </w:pPr>
          </w:p>
        </w:tc>
        <w:tc>
          <w:tcPr>
            <w:tcW w:w="1480" w:type="dxa"/>
          </w:tcPr>
          <w:p>
            <w:pPr>
              <w:rPr>
                <w:rFonts w:ascii="宋体" w:hAnsi="宋体" w:cs="宋体"/>
                <w:szCs w:val="21"/>
              </w:rPr>
            </w:pPr>
          </w:p>
        </w:tc>
        <w:tc>
          <w:tcPr>
            <w:tcW w:w="1020" w:type="dxa"/>
          </w:tcPr>
          <w:p>
            <w:pPr>
              <w:rPr>
                <w:rFonts w:ascii="宋体" w:hAnsi="宋体" w:cs="宋体"/>
                <w:szCs w:val="21"/>
              </w:rPr>
            </w:pPr>
          </w:p>
        </w:tc>
        <w:tc>
          <w:tcPr>
            <w:tcW w:w="921"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ascii="宋体" w:hAnsi="宋体" w:cs="宋体"/>
                <w:szCs w:val="21"/>
              </w:rPr>
            </w:pPr>
          </w:p>
        </w:tc>
        <w:tc>
          <w:tcPr>
            <w:tcW w:w="1418" w:type="dxa"/>
          </w:tcPr>
          <w:p>
            <w:pPr>
              <w:rPr>
                <w:rFonts w:ascii="宋体" w:hAnsi="宋体" w:cs="宋体"/>
                <w:szCs w:val="21"/>
              </w:rPr>
            </w:pPr>
          </w:p>
        </w:tc>
        <w:tc>
          <w:tcPr>
            <w:tcW w:w="850" w:type="dxa"/>
          </w:tcPr>
          <w:p>
            <w:pPr>
              <w:rPr>
                <w:rFonts w:ascii="宋体" w:hAnsi="宋体" w:cs="宋体"/>
                <w:szCs w:val="21"/>
              </w:rPr>
            </w:pPr>
          </w:p>
        </w:tc>
        <w:tc>
          <w:tcPr>
            <w:tcW w:w="1058" w:type="dxa"/>
          </w:tcPr>
          <w:p>
            <w:pPr>
              <w:rPr>
                <w:rFonts w:ascii="宋体" w:hAnsi="宋体" w:cs="宋体"/>
                <w:szCs w:val="21"/>
              </w:rPr>
            </w:pPr>
          </w:p>
        </w:tc>
        <w:tc>
          <w:tcPr>
            <w:tcW w:w="880" w:type="dxa"/>
          </w:tcPr>
          <w:p>
            <w:pPr>
              <w:rPr>
                <w:rFonts w:ascii="宋体" w:hAnsi="宋体" w:cs="宋体"/>
                <w:szCs w:val="21"/>
              </w:rPr>
            </w:pPr>
          </w:p>
        </w:tc>
        <w:tc>
          <w:tcPr>
            <w:tcW w:w="1020" w:type="dxa"/>
          </w:tcPr>
          <w:p>
            <w:pPr>
              <w:rPr>
                <w:rFonts w:ascii="宋体" w:hAnsi="宋体" w:cs="宋体"/>
                <w:szCs w:val="21"/>
              </w:rPr>
            </w:pPr>
          </w:p>
        </w:tc>
        <w:tc>
          <w:tcPr>
            <w:tcW w:w="1480" w:type="dxa"/>
          </w:tcPr>
          <w:p>
            <w:pPr>
              <w:rPr>
                <w:rFonts w:ascii="宋体" w:hAnsi="宋体" w:cs="宋体"/>
                <w:szCs w:val="21"/>
              </w:rPr>
            </w:pPr>
          </w:p>
        </w:tc>
        <w:tc>
          <w:tcPr>
            <w:tcW w:w="1020" w:type="dxa"/>
          </w:tcPr>
          <w:p>
            <w:pPr>
              <w:rPr>
                <w:rFonts w:ascii="宋体" w:hAnsi="宋体" w:cs="宋体"/>
                <w:szCs w:val="21"/>
              </w:rPr>
            </w:pPr>
          </w:p>
        </w:tc>
        <w:tc>
          <w:tcPr>
            <w:tcW w:w="921"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ascii="宋体" w:hAnsi="宋体" w:cs="宋体"/>
                <w:szCs w:val="21"/>
              </w:rPr>
            </w:pPr>
          </w:p>
        </w:tc>
        <w:tc>
          <w:tcPr>
            <w:tcW w:w="1418" w:type="dxa"/>
          </w:tcPr>
          <w:p>
            <w:pPr>
              <w:rPr>
                <w:rFonts w:ascii="宋体" w:hAnsi="宋体" w:cs="宋体"/>
                <w:szCs w:val="21"/>
              </w:rPr>
            </w:pPr>
          </w:p>
        </w:tc>
        <w:tc>
          <w:tcPr>
            <w:tcW w:w="850" w:type="dxa"/>
          </w:tcPr>
          <w:p>
            <w:pPr>
              <w:rPr>
                <w:rFonts w:ascii="宋体" w:hAnsi="宋体" w:cs="宋体"/>
                <w:szCs w:val="21"/>
              </w:rPr>
            </w:pPr>
          </w:p>
        </w:tc>
        <w:tc>
          <w:tcPr>
            <w:tcW w:w="1058" w:type="dxa"/>
          </w:tcPr>
          <w:p>
            <w:pPr>
              <w:rPr>
                <w:rFonts w:ascii="宋体" w:hAnsi="宋体" w:cs="宋体"/>
                <w:szCs w:val="21"/>
              </w:rPr>
            </w:pPr>
          </w:p>
        </w:tc>
        <w:tc>
          <w:tcPr>
            <w:tcW w:w="880" w:type="dxa"/>
          </w:tcPr>
          <w:p>
            <w:pPr>
              <w:rPr>
                <w:rFonts w:ascii="宋体" w:hAnsi="宋体" w:cs="宋体"/>
                <w:szCs w:val="21"/>
              </w:rPr>
            </w:pPr>
          </w:p>
        </w:tc>
        <w:tc>
          <w:tcPr>
            <w:tcW w:w="1020" w:type="dxa"/>
          </w:tcPr>
          <w:p>
            <w:pPr>
              <w:rPr>
                <w:rFonts w:ascii="宋体" w:hAnsi="宋体" w:cs="宋体"/>
                <w:szCs w:val="21"/>
              </w:rPr>
            </w:pPr>
          </w:p>
        </w:tc>
        <w:tc>
          <w:tcPr>
            <w:tcW w:w="1480" w:type="dxa"/>
          </w:tcPr>
          <w:p>
            <w:pPr>
              <w:rPr>
                <w:rFonts w:ascii="宋体" w:hAnsi="宋体" w:cs="宋体"/>
                <w:szCs w:val="21"/>
              </w:rPr>
            </w:pPr>
          </w:p>
        </w:tc>
        <w:tc>
          <w:tcPr>
            <w:tcW w:w="1020" w:type="dxa"/>
          </w:tcPr>
          <w:p>
            <w:pPr>
              <w:rPr>
                <w:rFonts w:ascii="宋体" w:hAnsi="宋体" w:cs="宋体"/>
                <w:szCs w:val="21"/>
              </w:rPr>
            </w:pPr>
          </w:p>
        </w:tc>
        <w:tc>
          <w:tcPr>
            <w:tcW w:w="921"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ascii="宋体" w:hAnsi="宋体" w:cs="宋体"/>
                <w:szCs w:val="21"/>
              </w:rPr>
            </w:pPr>
          </w:p>
        </w:tc>
        <w:tc>
          <w:tcPr>
            <w:tcW w:w="1418" w:type="dxa"/>
          </w:tcPr>
          <w:p>
            <w:pPr>
              <w:rPr>
                <w:rFonts w:ascii="宋体" w:hAnsi="宋体" w:cs="宋体"/>
                <w:szCs w:val="21"/>
              </w:rPr>
            </w:pPr>
          </w:p>
        </w:tc>
        <w:tc>
          <w:tcPr>
            <w:tcW w:w="850" w:type="dxa"/>
          </w:tcPr>
          <w:p>
            <w:pPr>
              <w:rPr>
                <w:rFonts w:ascii="宋体" w:hAnsi="宋体" w:cs="宋体"/>
                <w:szCs w:val="21"/>
              </w:rPr>
            </w:pPr>
          </w:p>
        </w:tc>
        <w:tc>
          <w:tcPr>
            <w:tcW w:w="1058" w:type="dxa"/>
          </w:tcPr>
          <w:p>
            <w:pPr>
              <w:rPr>
                <w:rFonts w:ascii="宋体" w:hAnsi="宋体" w:cs="宋体"/>
                <w:szCs w:val="21"/>
              </w:rPr>
            </w:pPr>
          </w:p>
        </w:tc>
        <w:tc>
          <w:tcPr>
            <w:tcW w:w="880" w:type="dxa"/>
          </w:tcPr>
          <w:p>
            <w:pPr>
              <w:rPr>
                <w:rFonts w:ascii="宋体" w:hAnsi="宋体" w:cs="宋体"/>
                <w:szCs w:val="21"/>
              </w:rPr>
            </w:pPr>
          </w:p>
        </w:tc>
        <w:tc>
          <w:tcPr>
            <w:tcW w:w="1020" w:type="dxa"/>
          </w:tcPr>
          <w:p>
            <w:pPr>
              <w:rPr>
                <w:rFonts w:ascii="宋体" w:hAnsi="宋体" w:cs="宋体"/>
                <w:szCs w:val="21"/>
              </w:rPr>
            </w:pPr>
          </w:p>
        </w:tc>
        <w:tc>
          <w:tcPr>
            <w:tcW w:w="1480" w:type="dxa"/>
          </w:tcPr>
          <w:p>
            <w:pPr>
              <w:rPr>
                <w:rFonts w:ascii="宋体" w:hAnsi="宋体" w:cs="宋体"/>
                <w:szCs w:val="21"/>
              </w:rPr>
            </w:pPr>
          </w:p>
        </w:tc>
        <w:tc>
          <w:tcPr>
            <w:tcW w:w="1020" w:type="dxa"/>
          </w:tcPr>
          <w:p>
            <w:pPr>
              <w:rPr>
                <w:rFonts w:ascii="宋体" w:hAnsi="宋体" w:cs="宋体"/>
                <w:szCs w:val="21"/>
              </w:rPr>
            </w:pPr>
          </w:p>
        </w:tc>
        <w:tc>
          <w:tcPr>
            <w:tcW w:w="921"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ascii="宋体" w:hAnsi="宋体" w:cs="宋体"/>
                <w:szCs w:val="21"/>
              </w:rPr>
            </w:pPr>
          </w:p>
        </w:tc>
        <w:tc>
          <w:tcPr>
            <w:tcW w:w="1418" w:type="dxa"/>
          </w:tcPr>
          <w:p>
            <w:pPr>
              <w:rPr>
                <w:rFonts w:ascii="宋体" w:hAnsi="宋体" w:cs="宋体"/>
                <w:szCs w:val="21"/>
              </w:rPr>
            </w:pPr>
          </w:p>
        </w:tc>
        <w:tc>
          <w:tcPr>
            <w:tcW w:w="850" w:type="dxa"/>
          </w:tcPr>
          <w:p>
            <w:pPr>
              <w:rPr>
                <w:rFonts w:ascii="宋体" w:hAnsi="宋体" w:cs="宋体"/>
                <w:szCs w:val="21"/>
              </w:rPr>
            </w:pPr>
          </w:p>
        </w:tc>
        <w:tc>
          <w:tcPr>
            <w:tcW w:w="1058" w:type="dxa"/>
          </w:tcPr>
          <w:p>
            <w:pPr>
              <w:rPr>
                <w:rFonts w:ascii="宋体" w:hAnsi="宋体" w:cs="宋体"/>
                <w:szCs w:val="21"/>
              </w:rPr>
            </w:pPr>
          </w:p>
        </w:tc>
        <w:tc>
          <w:tcPr>
            <w:tcW w:w="880" w:type="dxa"/>
          </w:tcPr>
          <w:p>
            <w:pPr>
              <w:rPr>
                <w:rFonts w:ascii="宋体" w:hAnsi="宋体" w:cs="宋体"/>
                <w:szCs w:val="21"/>
              </w:rPr>
            </w:pPr>
          </w:p>
        </w:tc>
        <w:tc>
          <w:tcPr>
            <w:tcW w:w="1020" w:type="dxa"/>
          </w:tcPr>
          <w:p>
            <w:pPr>
              <w:rPr>
                <w:rFonts w:ascii="宋体" w:hAnsi="宋体" w:cs="宋体"/>
                <w:szCs w:val="21"/>
              </w:rPr>
            </w:pPr>
          </w:p>
        </w:tc>
        <w:tc>
          <w:tcPr>
            <w:tcW w:w="1480" w:type="dxa"/>
          </w:tcPr>
          <w:p>
            <w:pPr>
              <w:rPr>
                <w:rFonts w:ascii="宋体" w:hAnsi="宋体" w:cs="宋体"/>
                <w:szCs w:val="21"/>
              </w:rPr>
            </w:pPr>
          </w:p>
        </w:tc>
        <w:tc>
          <w:tcPr>
            <w:tcW w:w="1020" w:type="dxa"/>
          </w:tcPr>
          <w:p>
            <w:pPr>
              <w:rPr>
                <w:rFonts w:ascii="宋体" w:hAnsi="宋体" w:cs="宋体"/>
                <w:szCs w:val="21"/>
              </w:rPr>
            </w:pPr>
          </w:p>
        </w:tc>
        <w:tc>
          <w:tcPr>
            <w:tcW w:w="921" w:type="dxa"/>
          </w:tcPr>
          <w:p>
            <w:pPr>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ascii="宋体" w:hAnsi="宋体" w:cs="宋体"/>
                <w:szCs w:val="21"/>
              </w:rPr>
            </w:pPr>
          </w:p>
        </w:tc>
        <w:tc>
          <w:tcPr>
            <w:tcW w:w="1418" w:type="dxa"/>
          </w:tcPr>
          <w:p>
            <w:pPr>
              <w:rPr>
                <w:rFonts w:ascii="宋体" w:hAnsi="宋体" w:cs="宋体"/>
                <w:szCs w:val="21"/>
              </w:rPr>
            </w:pPr>
          </w:p>
        </w:tc>
        <w:tc>
          <w:tcPr>
            <w:tcW w:w="850" w:type="dxa"/>
          </w:tcPr>
          <w:p>
            <w:pPr>
              <w:rPr>
                <w:rFonts w:ascii="宋体" w:hAnsi="宋体" w:cs="宋体"/>
                <w:szCs w:val="21"/>
              </w:rPr>
            </w:pPr>
          </w:p>
        </w:tc>
        <w:tc>
          <w:tcPr>
            <w:tcW w:w="1058" w:type="dxa"/>
          </w:tcPr>
          <w:p>
            <w:pPr>
              <w:rPr>
                <w:rFonts w:ascii="宋体" w:hAnsi="宋体" w:cs="宋体"/>
                <w:szCs w:val="21"/>
              </w:rPr>
            </w:pPr>
          </w:p>
        </w:tc>
        <w:tc>
          <w:tcPr>
            <w:tcW w:w="880" w:type="dxa"/>
          </w:tcPr>
          <w:p>
            <w:pPr>
              <w:rPr>
                <w:rFonts w:ascii="宋体" w:hAnsi="宋体" w:cs="宋体"/>
                <w:szCs w:val="21"/>
              </w:rPr>
            </w:pPr>
          </w:p>
        </w:tc>
        <w:tc>
          <w:tcPr>
            <w:tcW w:w="1020" w:type="dxa"/>
          </w:tcPr>
          <w:p>
            <w:pPr>
              <w:rPr>
                <w:rFonts w:ascii="宋体" w:hAnsi="宋体" w:cs="宋体"/>
                <w:szCs w:val="21"/>
              </w:rPr>
            </w:pPr>
          </w:p>
        </w:tc>
        <w:tc>
          <w:tcPr>
            <w:tcW w:w="1480" w:type="dxa"/>
          </w:tcPr>
          <w:p>
            <w:pPr>
              <w:rPr>
                <w:rFonts w:ascii="宋体" w:hAnsi="宋体" w:cs="宋体"/>
                <w:szCs w:val="21"/>
              </w:rPr>
            </w:pPr>
          </w:p>
        </w:tc>
        <w:tc>
          <w:tcPr>
            <w:tcW w:w="1020" w:type="dxa"/>
          </w:tcPr>
          <w:p>
            <w:pPr>
              <w:rPr>
                <w:rFonts w:ascii="宋体" w:hAnsi="宋体" w:cs="宋体"/>
                <w:szCs w:val="21"/>
              </w:rPr>
            </w:pPr>
          </w:p>
        </w:tc>
        <w:tc>
          <w:tcPr>
            <w:tcW w:w="921" w:type="dxa"/>
          </w:tcPr>
          <w:p>
            <w:pPr>
              <w:rPr>
                <w:rFonts w:ascii="宋体" w:hAnsi="宋体" w:cs="宋体"/>
                <w:szCs w:val="21"/>
              </w:rPr>
            </w:pPr>
          </w:p>
        </w:tc>
      </w:tr>
    </w:tbl>
    <w:p>
      <w:pPr>
        <w:spacing w:line="440" w:lineRule="exact"/>
        <w:rPr>
          <w:rFonts w:ascii="宋体" w:hAnsi="宋体" w:cs="宋体"/>
          <w:szCs w:val="21"/>
        </w:rPr>
      </w:pPr>
    </w:p>
    <w:p>
      <w:pPr>
        <w:pStyle w:val="29"/>
        <w:rPr>
          <w:rFonts w:ascii="宋体" w:hAnsi="宋体" w:cs="宋体"/>
          <w:szCs w:val="21"/>
        </w:rPr>
      </w:pPr>
    </w:p>
    <w:p>
      <w:pPr>
        <w:pStyle w:val="29"/>
        <w:rPr>
          <w:rFonts w:ascii="宋体" w:hAnsi="宋体" w:cs="宋体"/>
          <w:szCs w:val="21"/>
        </w:rPr>
      </w:pPr>
    </w:p>
    <w:p>
      <w:pPr>
        <w:pStyle w:val="29"/>
        <w:rPr>
          <w:rFonts w:ascii="宋体" w:hAnsi="宋体" w:cs="宋体"/>
          <w:szCs w:val="21"/>
        </w:rPr>
      </w:pPr>
    </w:p>
    <w:p>
      <w:pPr>
        <w:pStyle w:val="29"/>
        <w:rPr>
          <w:rFonts w:ascii="宋体" w:hAnsi="宋体" w:cs="宋体"/>
          <w:szCs w:val="21"/>
        </w:rPr>
      </w:pPr>
    </w:p>
    <w:p>
      <w:pPr>
        <w:spacing w:line="440" w:lineRule="exact"/>
        <w:rPr>
          <w:rFonts w:ascii="宋体" w:hAnsi="宋体" w:cs="宋体"/>
          <w:szCs w:val="21"/>
        </w:rPr>
      </w:pPr>
      <w:r>
        <w:rPr>
          <w:rFonts w:hint="eastAsia" w:ascii="宋体" w:hAnsi="宋体" w:cs="宋体"/>
          <w:szCs w:val="21"/>
        </w:rPr>
        <w:t>附</w:t>
      </w:r>
      <w:bookmarkStart w:id="949" w:name="_Toc296891268"/>
      <w:bookmarkStart w:id="950" w:name="_Toc296944567"/>
      <w:bookmarkStart w:id="951" w:name="_Toc296347227"/>
      <w:bookmarkStart w:id="952" w:name="_Toc296503228"/>
      <w:bookmarkStart w:id="953" w:name="_Toc296891056"/>
      <w:bookmarkStart w:id="954" w:name="_Toc296346729"/>
      <w:bookmarkStart w:id="955" w:name="_Toc267261699"/>
      <w:r>
        <w:rPr>
          <w:rFonts w:hint="eastAsia" w:ascii="宋体" w:hAnsi="宋体" w:cs="宋体"/>
          <w:szCs w:val="21"/>
        </w:rPr>
        <w:t>件6：</w:t>
      </w:r>
    </w:p>
    <w:bookmarkEnd w:id="949"/>
    <w:bookmarkEnd w:id="950"/>
    <w:bookmarkEnd w:id="951"/>
    <w:bookmarkEnd w:id="952"/>
    <w:bookmarkEnd w:id="953"/>
    <w:bookmarkEnd w:id="954"/>
    <w:bookmarkEnd w:id="955"/>
    <w:p>
      <w:pPr>
        <w:spacing w:before="120" w:beforeLines="50" w:after="120" w:afterLines="50" w:line="440" w:lineRule="exact"/>
        <w:jc w:val="center"/>
        <w:rPr>
          <w:rFonts w:ascii="宋体" w:hAnsi="宋体" w:cs="宋体"/>
          <w:szCs w:val="21"/>
        </w:rPr>
      </w:pPr>
      <w:r>
        <w:rPr>
          <w:rFonts w:hint="eastAsia" w:ascii="宋体" w:hAnsi="宋体" w:cs="宋体"/>
          <w:szCs w:val="21"/>
        </w:rPr>
        <w:t>承包人主要施工管理人员表</w:t>
      </w:r>
    </w:p>
    <w:tbl>
      <w:tblPr>
        <w:tblStyle w:val="4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名    称</w:t>
            </w:r>
          </w:p>
        </w:tc>
        <w:tc>
          <w:tcPr>
            <w:tcW w:w="1418"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姓名</w:t>
            </w:r>
          </w:p>
        </w:tc>
        <w:tc>
          <w:tcPr>
            <w:tcW w:w="1134"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职务</w:t>
            </w:r>
          </w:p>
        </w:tc>
        <w:tc>
          <w:tcPr>
            <w:tcW w:w="1134"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职称</w:t>
            </w:r>
          </w:p>
        </w:tc>
        <w:tc>
          <w:tcPr>
            <w:tcW w:w="4252"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项目主管</w:t>
            </w:r>
          </w:p>
        </w:tc>
        <w:tc>
          <w:tcPr>
            <w:tcW w:w="1418"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134"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134"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4252"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其他人员</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项目经理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项目副经理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技术负责人</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造价管理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质量管理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材料管理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计划管理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安全管理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其他人员</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宋体" w:hAnsi="宋体" w:cs="宋体"/>
                <w:kern w:val="2"/>
                <w:sz w:val="21"/>
                <w:szCs w:val="21"/>
              </w:rPr>
            </w:pPr>
          </w:p>
        </w:tc>
        <w:tc>
          <w:tcPr>
            <w:tcW w:w="1418" w:type="dxa"/>
            <w:tcBorders>
              <w:bottom w:val="nil"/>
            </w:tcBorders>
            <w:vAlign w:val="center"/>
          </w:tcPr>
          <w:p>
            <w:pPr>
              <w:pStyle w:val="3"/>
              <w:keepNext/>
              <w:spacing w:after="0" w:line="440" w:lineRule="exact"/>
              <w:ind w:left="63" w:right="63"/>
              <w:rPr>
                <w:rFonts w:ascii="宋体" w:hAnsi="宋体" w:cs="宋体"/>
                <w:kern w:val="2"/>
                <w:sz w:val="21"/>
                <w:szCs w:val="21"/>
              </w:rPr>
            </w:pPr>
          </w:p>
        </w:tc>
        <w:tc>
          <w:tcPr>
            <w:tcW w:w="1134" w:type="dxa"/>
            <w:tcBorders>
              <w:bottom w:val="nil"/>
            </w:tcBorders>
            <w:vAlign w:val="center"/>
          </w:tcPr>
          <w:p>
            <w:pPr>
              <w:pStyle w:val="3"/>
              <w:keepNext/>
              <w:spacing w:after="0" w:line="440" w:lineRule="exact"/>
              <w:ind w:left="63" w:right="63"/>
              <w:rPr>
                <w:rFonts w:ascii="宋体" w:hAnsi="宋体" w:cs="宋体"/>
                <w:kern w:val="2"/>
                <w:sz w:val="21"/>
                <w:szCs w:val="21"/>
              </w:rPr>
            </w:pPr>
          </w:p>
        </w:tc>
        <w:tc>
          <w:tcPr>
            <w:tcW w:w="1134" w:type="dxa"/>
            <w:tcBorders>
              <w:bottom w:val="nil"/>
            </w:tcBorders>
            <w:vAlign w:val="center"/>
          </w:tcPr>
          <w:p>
            <w:pPr>
              <w:pStyle w:val="3"/>
              <w:keepNext/>
              <w:spacing w:after="0" w:line="440" w:lineRule="exact"/>
              <w:ind w:left="63" w:right="63"/>
              <w:rPr>
                <w:rFonts w:ascii="宋体" w:hAnsi="宋体" w:cs="宋体"/>
                <w:kern w:val="2"/>
                <w:sz w:val="21"/>
                <w:szCs w:val="21"/>
              </w:rPr>
            </w:pPr>
          </w:p>
        </w:tc>
        <w:tc>
          <w:tcPr>
            <w:tcW w:w="4252" w:type="dxa"/>
            <w:tcBorders>
              <w:bottom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c>
          <w:tcPr>
            <w:tcW w:w="1418" w:type="dxa"/>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c>
          <w:tcPr>
            <w:tcW w:w="1134" w:type="dxa"/>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c>
          <w:tcPr>
            <w:tcW w:w="1134" w:type="dxa"/>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c>
          <w:tcPr>
            <w:tcW w:w="4252" w:type="dxa"/>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r>
    </w:tbl>
    <w:p>
      <w:pPr>
        <w:spacing w:line="440" w:lineRule="exact"/>
        <w:rPr>
          <w:rFonts w:ascii="宋体" w:hAnsi="宋体" w:cs="宋体"/>
          <w:szCs w:val="21"/>
        </w:rPr>
      </w:pPr>
      <w:r>
        <w:rPr>
          <w:rFonts w:hint="eastAsia" w:ascii="宋体" w:hAnsi="宋体" w:cs="宋体"/>
          <w:szCs w:val="21"/>
        </w:rPr>
        <w:br w:type="page"/>
      </w:r>
      <w:r>
        <w:rPr>
          <w:rFonts w:hint="eastAsia" w:ascii="宋体" w:hAnsi="宋体" w:cs="宋体"/>
          <w:szCs w:val="21"/>
        </w:rPr>
        <w:t>附</w:t>
      </w:r>
      <w:bookmarkStart w:id="956" w:name="_Toc296346730"/>
      <w:bookmarkStart w:id="957" w:name="_Toc296347228"/>
      <w:bookmarkStart w:id="958" w:name="_Toc296891057"/>
      <w:bookmarkStart w:id="959" w:name="_Toc296891269"/>
      <w:bookmarkStart w:id="960" w:name="_Toc296503229"/>
      <w:bookmarkStart w:id="961" w:name="_Toc296944568"/>
      <w:r>
        <w:rPr>
          <w:rFonts w:hint="eastAsia" w:ascii="宋体" w:hAnsi="宋体" w:cs="宋体"/>
          <w:szCs w:val="21"/>
        </w:rPr>
        <w:t>件7：</w:t>
      </w:r>
    </w:p>
    <w:bookmarkEnd w:id="956"/>
    <w:bookmarkEnd w:id="957"/>
    <w:bookmarkEnd w:id="958"/>
    <w:bookmarkEnd w:id="959"/>
    <w:bookmarkEnd w:id="960"/>
    <w:bookmarkEnd w:id="961"/>
    <w:p>
      <w:pPr>
        <w:spacing w:before="120" w:beforeLines="50" w:after="120" w:afterLines="50" w:line="440" w:lineRule="exact"/>
        <w:jc w:val="center"/>
        <w:rPr>
          <w:rFonts w:ascii="宋体" w:hAnsi="宋体" w:cs="宋体"/>
          <w:szCs w:val="21"/>
        </w:rPr>
      </w:pPr>
      <w:r>
        <w:rPr>
          <w:rFonts w:hint="eastAsia" w:ascii="宋体" w:hAnsi="宋体" w:cs="宋体"/>
          <w:szCs w:val="21"/>
        </w:rPr>
        <w:t>分包人主要施工管理人员表</w:t>
      </w:r>
    </w:p>
    <w:tbl>
      <w:tblPr>
        <w:tblStyle w:val="4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名    称</w:t>
            </w:r>
          </w:p>
        </w:tc>
        <w:tc>
          <w:tcPr>
            <w:tcW w:w="1418"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姓名</w:t>
            </w:r>
          </w:p>
        </w:tc>
        <w:tc>
          <w:tcPr>
            <w:tcW w:w="1134"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职务</w:t>
            </w:r>
          </w:p>
        </w:tc>
        <w:tc>
          <w:tcPr>
            <w:tcW w:w="1134"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职称</w:t>
            </w:r>
          </w:p>
        </w:tc>
        <w:tc>
          <w:tcPr>
            <w:tcW w:w="4252" w:type="dxa"/>
            <w:tcBorders>
              <w:top w:val="single" w:color="auto" w:sz="12" w:space="0"/>
              <w:bottom w:val="doub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项目主管</w:t>
            </w:r>
          </w:p>
        </w:tc>
        <w:tc>
          <w:tcPr>
            <w:tcW w:w="1418"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134"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1134" w:type="dxa"/>
            <w:tcBorders>
              <w:top w:val="nil"/>
            </w:tcBorders>
            <w:vAlign w:val="center"/>
          </w:tcPr>
          <w:p>
            <w:pPr>
              <w:pStyle w:val="3"/>
              <w:keepNext/>
              <w:spacing w:after="0" w:line="440" w:lineRule="exact"/>
              <w:ind w:left="63" w:right="63"/>
              <w:rPr>
                <w:rFonts w:ascii="宋体" w:hAnsi="宋体" w:cs="宋体"/>
                <w:kern w:val="2"/>
                <w:sz w:val="21"/>
                <w:szCs w:val="21"/>
              </w:rPr>
            </w:pPr>
          </w:p>
        </w:tc>
        <w:tc>
          <w:tcPr>
            <w:tcW w:w="4252" w:type="dxa"/>
            <w:tcBorders>
              <w:top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其他人员</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项目经理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项目副经理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技术负责人</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造价管理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质量管理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材料管理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计划管理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安全管理</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3"/>
              <w:keepNext/>
              <w:spacing w:after="0" w:line="440" w:lineRule="exact"/>
              <w:ind w:left="63" w:right="63"/>
              <w:rPr>
                <w:rFonts w:ascii="宋体" w:hAnsi="宋体" w:cs="宋体"/>
                <w:kern w:val="2"/>
                <w:sz w:val="21"/>
                <w:szCs w:val="21"/>
              </w:rPr>
            </w:pPr>
            <w:r>
              <w:rPr>
                <w:rFonts w:hint="eastAsia" w:ascii="宋体" w:hAnsi="宋体" w:cs="宋体"/>
                <w:kern w:val="2"/>
                <w:sz w:val="21"/>
                <w:szCs w:val="21"/>
              </w:rPr>
              <w:t>其他人员</w:t>
            </w: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宋体" w:hAnsi="宋体" w:cs="宋体"/>
                <w:kern w:val="2"/>
                <w:sz w:val="21"/>
                <w:szCs w:val="21"/>
              </w:rPr>
            </w:pPr>
          </w:p>
        </w:tc>
        <w:tc>
          <w:tcPr>
            <w:tcW w:w="1418" w:type="dxa"/>
            <w:tcBorders>
              <w:bottom w:val="nil"/>
            </w:tcBorders>
            <w:vAlign w:val="center"/>
          </w:tcPr>
          <w:p>
            <w:pPr>
              <w:pStyle w:val="3"/>
              <w:keepNext/>
              <w:spacing w:after="0" w:line="440" w:lineRule="exact"/>
              <w:ind w:left="63" w:right="63"/>
              <w:rPr>
                <w:rFonts w:ascii="宋体" w:hAnsi="宋体" w:cs="宋体"/>
                <w:kern w:val="2"/>
                <w:sz w:val="21"/>
                <w:szCs w:val="21"/>
              </w:rPr>
            </w:pPr>
          </w:p>
        </w:tc>
        <w:tc>
          <w:tcPr>
            <w:tcW w:w="1134" w:type="dxa"/>
            <w:tcBorders>
              <w:bottom w:val="nil"/>
            </w:tcBorders>
            <w:vAlign w:val="center"/>
          </w:tcPr>
          <w:p>
            <w:pPr>
              <w:pStyle w:val="3"/>
              <w:keepNext/>
              <w:spacing w:after="0" w:line="440" w:lineRule="exact"/>
              <w:ind w:left="63" w:right="63"/>
              <w:rPr>
                <w:rFonts w:ascii="宋体" w:hAnsi="宋体" w:cs="宋体"/>
                <w:kern w:val="2"/>
                <w:sz w:val="21"/>
                <w:szCs w:val="21"/>
              </w:rPr>
            </w:pPr>
          </w:p>
        </w:tc>
        <w:tc>
          <w:tcPr>
            <w:tcW w:w="1134" w:type="dxa"/>
            <w:tcBorders>
              <w:bottom w:val="nil"/>
            </w:tcBorders>
            <w:vAlign w:val="center"/>
          </w:tcPr>
          <w:p>
            <w:pPr>
              <w:pStyle w:val="3"/>
              <w:keepNext/>
              <w:spacing w:after="0" w:line="440" w:lineRule="exact"/>
              <w:ind w:left="63" w:right="63"/>
              <w:rPr>
                <w:rFonts w:ascii="宋体" w:hAnsi="宋体" w:cs="宋体"/>
                <w:kern w:val="2"/>
                <w:sz w:val="21"/>
                <w:szCs w:val="21"/>
              </w:rPr>
            </w:pPr>
          </w:p>
        </w:tc>
        <w:tc>
          <w:tcPr>
            <w:tcW w:w="4252" w:type="dxa"/>
            <w:tcBorders>
              <w:bottom w:val="nil"/>
            </w:tcBorders>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宋体" w:hAnsi="宋体" w:cs="宋体"/>
                <w:kern w:val="2"/>
                <w:sz w:val="21"/>
                <w:szCs w:val="21"/>
              </w:rPr>
            </w:pPr>
          </w:p>
        </w:tc>
        <w:tc>
          <w:tcPr>
            <w:tcW w:w="1418"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1134" w:type="dxa"/>
            <w:vAlign w:val="center"/>
          </w:tcPr>
          <w:p>
            <w:pPr>
              <w:pStyle w:val="3"/>
              <w:keepNext/>
              <w:spacing w:after="0" w:line="440" w:lineRule="exact"/>
              <w:ind w:left="63" w:right="63"/>
              <w:rPr>
                <w:rFonts w:ascii="宋体" w:hAnsi="宋体" w:cs="宋体"/>
                <w:kern w:val="2"/>
                <w:sz w:val="21"/>
                <w:szCs w:val="21"/>
              </w:rPr>
            </w:pPr>
          </w:p>
        </w:tc>
        <w:tc>
          <w:tcPr>
            <w:tcW w:w="4252" w:type="dxa"/>
            <w:vAlign w:val="center"/>
          </w:tcPr>
          <w:p>
            <w:pPr>
              <w:pStyle w:val="3"/>
              <w:keepNext/>
              <w:spacing w:after="0" w:line="440" w:lineRule="exact"/>
              <w:ind w:left="63" w:right="63"/>
              <w:rPr>
                <w:rFonts w:ascii="宋体" w:hAnsi="宋体" w:cs="宋体"/>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c>
          <w:tcPr>
            <w:tcW w:w="1418" w:type="dxa"/>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c>
          <w:tcPr>
            <w:tcW w:w="1134" w:type="dxa"/>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c>
          <w:tcPr>
            <w:tcW w:w="1134" w:type="dxa"/>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c>
          <w:tcPr>
            <w:tcW w:w="4252" w:type="dxa"/>
            <w:tcBorders>
              <w:bottom w:val="single" w:color="auto" w:sz="12" w:space="0"/>
            </w:tcBorders>
            <w:vAlign w:val="center"/>
          </w:tcPr>
          <w:p>
            <w:pPr>
              <w:pStyle w:val="3"/>
              <w:keepNext/>
              <w:spacing w:after="0" w:line="440" w:lineRule="exact"/>
              <w:ind w:left="63" w:right="63"/>
              <w:rPr>
                <w:rFonts w:ascii="宋体" w:hAnsi="宋体" w:cs="宋体"/>
                <w:kern w:val="2"/>
                <w:sz w:val="21"/>
                <w:szCs w:val="21"/>
              </w:rPr>
            </w:pPr>
          </w:p>
        </w:tc>
      </w:tr>
    </w:tbl>
    <w:p>
      <w:pPr>
        <w:spacing w:line="440" w:lineRule="exact"/>
        <w:rPr>
          <w:rFonts w:ascii="宋体" w:hAnsi="宋体" w:cs="宋体"/>
          <w:szCs w:val="21"/>
        </w:rPr>
      </w:pPr>
      <w:r>
        <w:rPr>
          <w:rFonts w:hint="eastAsia" w:ascii="宋体" w:hAnsi="宋体" w:cs="宋体"/>
          <w:szCs w:val="21"/>
        </w:rPr>
        <w:br w:type="page"/>
      </w:r>
      <w:bookmarkStart w:id="962" w:name="_Toc267261701"/>
      <w:r>
        <w:rPr>
          <w:rFonts w:hint="eastAsia" w:ascii="宋体" w:hAnsi="宋体" w:cs="宋体"/>
          <w:szCs w:val="21"/>
        </w:rPr>
        <w:t>附</w:t>
      </w:r>
      <w:bookmarkStart w:id="963" w:name="_Toc296891059"/>
      <w:bookmarkStart w:id="964" w:name="_Toc296346732"/>
      <w:bookmarkStart w:id="965" w:name="_Toc296944570"/>
      <w:bookmarkStart w:id="966" w:name="_Toc296347230"/>
      <w:bookmarkStart w:id="967" w:name="_Toc296891271"/>
      <w:bookmarkStart w:id="968" w:name="_Toc296503231"/>
      <w:r>
        <w:rPr>
          <w:rFonts w:hint="eastAsia" w:ascii="宋体" w:hAnsi="宋体" w:cs="宋体"/>
          <w:szCs w:val="21"/>
        </w:rPr>
        <w:t>件8：</w:t>
      </w:r>
    </w:p>
    <w:bookmarkEnd w:id="962"/>
    <w:bookmarkEnd w:id="963"/>
    <w:bookmarkEnd w:id="964"/>
    <w:bookmarkEnd w:id="965"/>
    <w:bookmarkEnd w:id="966"/>
    <w:bookmarkEnd w:id="967"/>
    <w:bookmarkEnd w:id="968"/>
    <w:p>
      <w:pPr>
        <w:spacing w:before="120" w:beforeLines="50" w:after="120" w:afterLines="50" w:line="440" w:lineRule="exact"/>
        <w:jc w:val="center"/>
        <w:rPr>
          <w:rFonts w:ascii="宋体" w:hAnsi="宋体" w:cs="宋体"/>
          <w:szCs w:val="21"/>
        </w:rPr>
      </w:pPr>
      <w:r>
        <w:rPr>
          <w:rFonts w:hint="eastAsia" w:ascii="宋体" w:hAnsi="宋体" w:cs="宋体"/>
          <w:szCs w:val="21"/>
        </w:rPr>
        <w:t>履约担保</w:t>
      </w:r>
    </w:p>
    <w:p>
      <w:pPr>
        <w:spacing w:line="440" w:lineRule="exact"/>
        <w:rPr>
          <w:rFonts w:ascii="宋体" w:hAnsi="宋体" w:cs="宋体"/>
          <w:szCs w:val="21"/>
        </w:rPr>
      </w:pPr>
      <w:r>
        <w:rPr>
          <w:rFonts w:hint="eastAsia" w:ascii="宋体" w:hAnsi="宋体" w:cs="宋体"/>
          <w:szCs w:val="21"/>
          <w:u w:val="single"/>
        </w:rPr>
        <w:tab/>
      </w:r>
      <w:r>
        <w:rPr>
          <w:rFonts w:hint="eastAsia" w:ascii="宋体" w:hAnsi="宋体" w:cs="宋体"/>
          <w:szCs w:val="21"/>
        </w:rPr>
        <w:t>（发包人名称）：</w:t>
      </w:r>
    </w:p>
    <w:p>
      <w:pPr>
        <w:spacing w:line="440" w:lineRule="exact"/>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鉴于（发包人名称，以下简称“发包人”）与</w:t>
      </w:r>
    </w:p>
    <w:p>
      <w:pPr>
        <w:spacing w:line="360" w:lineRule="auto"/>
        <w:rPr>
          <w:rFonts w:ascii="宋体" w:hAnsi="宋体" w:cs="宋体"/>
          <w:szCs w:val="21"/>
        </w:rPr>
      </w:pPr>
      <w:r>
        <w:rPr>
          <w:rFonts w:hint="eastAsia" w:ascii="宋体" w:hAnsi="宋体" w:cs="宋体"/>
          <w:szCs w:val="21"/>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pPr>
        <w:spacing w:line="360" w:lineRule="auto"/>
        <w:ind w:firstLine="420" w:firstLineChars="200"/>
        <w:rPr>
          <w:rFonts w:ascii="宋体" w:hAnsi="宋体" w:cs="宋体"/>
          <w:szCs w:val="21"/>
        </w:rPr>
      </w:pPr>
      <w:r>
        <w:rPr>
          <w:rFonts w:hint="eastAsia" w:ascii="宋体" w:hAnsi="宋体" w:cs="宋体"/>
          <w:szCs w:val="21"/>
        </w:rPr>
        <w:t>1. 担保金额人民币（大写）元（¥）。</w:t>
      </w:r>
    </w:p>
    <w:p>
      <w:pPr>
        <w:spacing w:line="360" w:lineRule="auto"/>
        <w:ind w:firstLine="420" w:firstLineChars="200"/>
        <w:rPr>
          <w:rFonts w:ascii="宋体" w:hAnsi="宋体" w:cs="宋体"/>
          <w:szCs w:val="21"/>
        </w:rPr>
      </w:pPr>
      <w:r>
        <w:rPr>
          <w:rFonts w:hint="eastAsia" w:ascii="宋体" w:hAnsi="宋体" w:cs="宋体"/>
          <w:szCs w:val="21"/>
        </w:rPr>
        <w:t>2. 担保有效期自你方与承包人签订的合同生效之日起至你方签发或应签发工程接收证书之日止。</w:t>
      </w:r>
    </w:p>
    <w:p>
      <w:pPr>
        <w:spacing w:line="360" w:lineRule="auto"/>
        <w:ind w:firstLine="420" w:firstLineChars="200"/>
        <w:rPr>
          <w:rFonts w:ascii="宋体" w:hAnsi="宋体" w:cs="宋体"/>
          <w:szCs w:val="21"/>
        </w:rPr>
      </w:pPr>
      <w:r>
        <w:rPr>
          <w:rFonts w:hint="eastAsia" w:ascii="宋体" w:hAnsi="宋体" w:cs="宋体"/>
          <w:szCs w:val="21"/>
        </w:rPr>
        <w:t>3. 在本担保有效期内，因承包人违反合同约定的义务给你方造成经济损失时，我方在收到你方以书面形式提出的在担保金额内的赔偿要求后，在7天内无条件支付。</w:t>
      </w:r>
    </w:p>
    <w:p>
      <w:pPr>
        <w:spacing w:line="360" w:lineRule="auto"/>
        <w:ind w:firstLine="420" w:firstLineChars="200"/>
        <w:rPr>
          <w:rFonts w:ascii="宋体" w:hAnsi="宋体" w:cs="宋体"/>
          <w:szCs w:val="21"/>
        </w:rPr>
      </w:pPr>
      <w:r>
        <w:rPr>
          <w:rFonts w:hint="eastAsia" w:ascii="宋体" w:hAnsi="宋体" w:cs="宋体"/>
          <w:szCs w:val="21"/>
        </w:rPr>
        <w:t>4. 你方和承包人按合同约定变更合同时，我方承担本担保规定的义务不变。</w:t>
      </w:r>
    </w:p>
    <w:p>
      <w:pPr>
        <w:spacing w:line="360" w:lineRule="auto"/>
        <w:ind w:firstLine="420" w:firstLineChars="200"/>
        <w:rPr>
          <w:rFonts w:ascii="宋体" w:hAnsi="宋体" w:cs="宋体"/>
          <w:szCs w:val="21"/>
        </w:rPr>
      </w:pPr>
      <w:r>
        <w:rPr>
          <w:rFonts w:hint="eastAsia" w:ascii="宋体" w:hAnsi="宋体" w:cs="宋体"/>
          <w:szCs w:val="21"/>
        </w:rPr>
        <w:t>5. 因本保函发生的纠纷，可由双方协商解决，协商不成的，任何一方均可提请仲裁委员会仲裁。</w:t>
      </w:r>
    </w:p>
    <w:p>
      <w:pPr>
        <w:spacing w:line="360" w:lineRule="auto"/>
        <w:ind w:firstLine="420" w:firstLineChars="200"/>
        <w:rPr>
          <w:rFonts w:ascii="宋体" w:hAnsi="宋体" w:cs="宋体"/>
          <w:szCs w:val="21"/>
        </w:rPr>
      </w:pPr>
      <w:r>
        <w:rPr>
          <w:rFonts w:hint="eastAsia" w:ascii="宋体" w:hAnsi="宋体" w:cs="宋体"/>
          <w:szCs w:val="21"/>
        </w:rPr>
        <w:t>6. 本保函自我方法定代表人（或其授权代理人）签字并加盖公章之日起生效。</w:t>
      </w:r>
    </w:p>
    <w:p>
      <w:pPr>
        <w:spacing w:line="360" w:lineRule="auto"/>
        <w:rPr>
          <w:rFonts w:ascii="宋体" w:hAnsi="宋体" w:cs="宋体"/>
          <w:szCs w:val="21"/>
        </w:rPr>
      </w:pPr>
    </w:p>
    <w:p>
      <w:pPr>
        <w:spacing w:line="360" w:lineRule="auto"/>
        <w:ind w:firstLine="1260" w:firstLineChars="600"/>
        <w:rPr>
          <w:rFonts w:ascii="宋体" w:hAnsi="宋体" w:cs="宋体"/>
          <w:szCs w:val="21"/>
        </w:rPr>
      </w:pPr>
      <w:r>
        <w:rPr>
          <w:rFonts w:hint="eastAsia" w:ascii="宋体" w:hAnsi="宋体" w:cs="宋体"/>
          <w:szCs w:val="21"/>
        </w:rPr>
        <w:t>担 保 人：（盖单位章）</w:t>
      </w:r>
    </w:p>
    <w:p>
      <w:pPr>
        <w:spacing w:line="360" w:lineRule="auto"/>
        <w:ind w:firstLine="1260" w:firstLineChars="600"/>
        <w:rPr>
          <w:rFonts w:ascii="宋体" w:hAnsi="宋体" w:cs="宋体"/>
          <w:szCs w:val="21"/>
        </w:rPr>
      </w:pPr>
      <w:r>
        <w:rPr>
          <w:rFonts w:hint="eastAsia" w:ascii="宋体" w:hAnsi="宋体" w:cs="宋体"/>
          <w:szCs w:val="21"/>
        </w:rPr>
        <w:t>法定代表人或其委托代理人：（签字）</w:t>
      </w:r>
    </w:p>
    <w:p>
      <w:pPr>
        <w:spacing w:line="360" w:lineRule="auto"/>
        <w:ind w:firstLine="1260" w:firstLineChars="600"/>
        <w:rPr>
          <w:rFonts w:ascii="宋体" w:hAnsi="宋体" w:cs="宋体"/>
          <w:szCs w:val="21"/>
        </w:rPr>
      </w:pPr>
      <w:r>
        <w:rPr>
          <w:rFonts w:hint="eastAsia" w:ascii="宋体" w:hAnsi="宋体" w:cs="宋体"/>
          <w:szCs w:val="21"/>
        </w:rPr>
        <w:t>地    址：</w:t>
      </w:r>
    </w:p>
    <w:p>
      <w:pPr>
        <w:spacing w:line="360" w:lineRule="auto"/>
        <w:ind w:firstLine="1260" w:firstLineChars="600"/>
        <w:rPr>
          <w:rFonts w:ascii="宋体" w:hAnsi="宋体" w:cs="宋体"/>
          <w:szCs w:val="21"/>
        </w:rPr>
      </w:pPr>
      <w:r>
        <w:rPr>
          <w:rFonts w:hint="eastAsia" w:ascii="宋体" w:hAnsi="宋体" w:cs="宋体"/>
          <w:szCs w:val="21"/>
        </w:rPr>
        <w:t>邮政编码：</w:t>
      </w:r>
    </w:p>
    <w:p>
      <w:pPr>
        <w:spacing w:line="360" w:lineRule="auto"/>
        <w:ind w:firstLine="1260" w:firstLineChars="600"/>
        <w:rPr>
          <w:rFonts w:ascii="宋体" w:hAnsi="宋体" w:cs="宋体"/>
          <w:szCs w:val="21"/>
          <w:u w:val="single"/>
        </w:rPr>
      </w:pPr>
      <w:r>
        <w:rPr>
          <w:rFonts w:hint="eastAsia" w:ascii="宋体" w:hAnsi="宋体" w:cs="宋体"/>
          <w:szCs w:val="21"/>
        </w:rPr>
        <w:t>电    话：</w:t>
      </w:r>
    </w:p>
    <w:p>
      <w:pPr>
        <w:spacing w:line="360" w:lineRule="auto"/>
        <w:ind w:firstLine="1260" w:firstLineChars="600"/>
        <w:rPr>
          <w:rFonts w:ascii="宋体" w:hAnsi="宋体" w:cs="宋体"/>
          <w:szCs w:val="21"/>
        </w:rPr>
      </w:pPr>
      <w:r>
        <w:rPr>
          <w:rFonts w:hint="eastAsia" w:ascii="宋体" w:hAnsi="宋体" w:cs="宋体"/>
          <w:szCs w:val="21"/>
        </w:rPr>
        <w:t>传    真：</w:t>
      </w:r>
    </w:p>
    <w:p>
      <w:pPr>
        <w:spacing w:line="360" w:lineRule="auto"/>
        <w:rPr>
          <w:rFonts w:ascii="宋体" w:hAnsi="宋体" w:cs="宋体"/>
          <w:szCs w:val="21"/>
          <w:u w:val="single"/>
        </w:rPr>
      </w:pPr>
    </w:p>
    <w:p>
      <w:pPr>
        <w:spacing w:line="360" w:lineRule="auto"/>
        <w:ind w:left="1329" w:hanging="1329" w:hangingChars="633"/>
        <w:rPr>
          <w:rFonts w:ascii="宋体" w:hAnsi="宋体" w:cs="宋体"/>
          <w:szCs w:val="21"/>
        </w:rPr>
      </w:pPr>
      <w:r>
        <w:rPr>
          <w:rFonts w:hint="eastAsia" w:ascii="宋体" w:hAnsi="宋体" w:cs="宋体"/>
          <w:szCs w:val="21"/>
        </w:rPr>
        <w:t>年月日</w:t>
      </w:r>
    </w:p>
    <w:p>
      <w:pPr>
        <w:spacing w:line="360" w:lineRule="auto"/>
        <w:ind w:left="1329" w:hanging="1329" w:hangingChars="633"/>
        <w:rPr>
          <w:rFonts w:ascii="宋体" w:hAnsi="宋体" w:cs="宋体"/>
          <w:szCs w:val="21"/>
        </w:rPr>
      </w:pPr>
    </w:p>
    <w:p>
      <w:pPr>
        <w:spacing w:line="360" w:lineRule="auto"/>
        <w:ind w:left="1329" w:hanging="1329" w:hangingChars="633"/>
        <w:rPr>
          <w:rFonts w:ascii="宋体" w:hAnsi="宋体" w:cs="宋体"/>
          <w:szCs w:val="21"/>
        </w:rPr>
      </w:pPr>
    </w:p>
    <w:p>
      <w:pPr>
        <w:spacing w:line="360" w:lineRule="auto"/>
        <w:ind w:left="1329" w:hanging="1329" w:hangingChars="633"/>
        <w:rPr>
          <w:rFonts w:ascii="宋体" w:hAnsi="宋体" w:cs="宋体"/>
          <w:szCs w:val="21"/>
        </w:rPr>
      </w:pPr>
    </w:p>
    <w:p>
      <w:pPr>
        <w:pStyle w:val="29"/>
        <w:rPr>
          <w:rFonts w:ascii="宋体" w:hAnsi="宋体" w:cs="宋体"/>
          <w:szCs w:val="21"/>
        </w:rPr>
      </w:pPr>
    </w:p>
    <w:p>
      <w:pPr>
        <w:pStyle w:val="29"/>
        <w:rPr>
          <w:rFonts w:ascii="宋体" w:hAnsi="宋体" w:cs="宋体"/>
          <w:szCs w:val="21"/>
        </w:rPr>
      </w:pPr>
    </w:p>
    <w:p>
      <w:pPr>
        <w:spacing w:line="360" w:lineRule="auto"/>
        <w:rPr>
          <w:rFonts w:ascii="宋体" w:hAnsi="宋体" w:cs="宋体"/>
          <w:szCs w:val="21"/>
        </w:rPr>
      </w:pPr>
    </w:p>
    <w:p>
      <w:pPr>
        <w:pStyle w:val="7"/>
      </w:pPr>
    </w:p>
    <w:p>
      <w:pPr>
        <w:spacing w:line="360" w:lineRule="auto"/>
        <w:rPr>
          <w:rFonts w:ascii="宋体" w:hAnsi="宋体" w:cs="宋体"/>
          <w:szCs w:val="21"/>
        </w:rPr>
      </w:pPr>
      <w:r>
        <w:rPr>
          <w:rFonts w:hint="eastAsia" w:ascii="宋体" w:hAnsi="宋体" w:cs="宋体"/>
          <w:szCs w:val="21"/>
        </w:rPr>
        <w:t>附</w:t>
      </w:r>
      <w:bookmarkStart w:id="969" w:name="_Toc296347231"/>
      <w:bookmarkStart w:id="970" w:name="_Toc296503232"/>
      <w:bookmarkStart w:id="971" w:name="_Toc296891060"/>
      <w:bookmarkStart w:id="972" w:name="_Toc296944571"/>
      <w:bookmarkStart w:id="973" w:name="_Toc267261702"/>
      <w:bookmarkStart w:id="974" w:name="_Toc296891272"/>
      <w:bookmarkStart w:id="975" w:name="_Toc296346733"/>
      <w:r>
        <w:rPr>
          <w:rFonts w:hint="eastAsia" w:ascii="宋体" w:hAnsi="宋体" w:cs="宋体"/>
          <w:szCs w:val="21"/>
        </w:rPr>
        <w:t>件9 ：</w:t>
      </w:r>
    </w:p>
    <w:bookmarkEnd w:id="969"/>
    <w:bookmarkEnd w:id="970"/>
    <w:bookmarkEnd w:id="971"/>
    <w:bookmarkEnd w:id="972"/>
    <w:bookmarkEnd w:id="973"/>
    <w:bookmarkEnd w:id="974"/>
    <w:bookmarkEnd w:id="975"/>
    <w:p>
      <w:pPr>
        <w:spacing w:before="120" w:beforeLines="50" w:after="120" w:afterLines="50" w:line="440" w:lineRule="exact"/>
        <w:jc w:val="center"/>
        <w:rPr>
          <w:rFonts w:ascii="宋体" w:hAnsi="宋体" w:cs="宋体"/>
          <w:szCs w:val="21"/>
        </w:rPr>
      </w:pPr>
      <w:r>
        <w:rPr>
          <w:rFonts w:hint="eastAsia" w:ascii="宋体" w:hAnsi="宋体" w:cs="宋体"/>
          <w:szCs w:val="21"/>
        </w:rPr>
        <w:t>预付款担保</w:t>
      </w:r>
    </w:p>
    <w:p>
      <w:pPr>
        <w:spacing w:line="360" w:lineRule="auto"/>
        <w:rPr>
          <w:rFonts w:ascii="宋体" w:hAnsi="宋体" w:cs="宋体"/>
          <w:szCs w:val="21"/>
        </w:rPr>
      </w:pP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 （发包人名称）：</w:t>
      </w:r>
    </w:p>
    <w:p>
      <w:pPr>
        <w:spacing w:line="360" w:lineRule="auto"/>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根据（承包人名称）（以下称“承包人”）与</w:t>
      </w:r>
      <w:bookmarkStart w:id="976" w:name="_Toc19167"/>
      <w:bookmarkStart w:id="977" w:name="_Toc14452"/>
      <w:r>
        <w:rPr>
          <w:rFonts w:hint="eastAsia" w:ascii="宋体" w:hAnsi="宋体" w:cs="宋体"/>
          <w:szCs w:val="21"/>
        </w:rPr>
        <w:t>（发包人名称）（以下简称“发包人”）</w:t>
      </w:r>
      <w:bookmarkEnd w:id="976"/>
      <w:bookmarkEnd w:id="977"/>
      <w:r>
        <w:rPr>
          <w:rFonts w:hint="eastAsia" w:ascii="宋体" w:hAnsi="宋体" w:cs="宋体"/>
          <w:szCs w:val="21"/>
        </w:rPr>
        <w:t>于年月日签订的（工程名称）《建设工程施工合同》，承包人按约定的金额向你方提交一份预付款担保，即有权得到你方支付相等金额的预付款。我方愿意就你方提供给承包人的预付款为承包人提供连带责任担保。</w:t>
      </w:r>
    </w:p>
    <w:p>
      <w:pPr>
        <w:spacing w:line="360" w:lineRule="auto"/>
        <w:ind w:firstLine="420" w:firstLineChars="200"/>
        <w:rPr>
          <w:rFonts w:ascii="宋体" w:hAnsi="宋体" w:cs="宋体"/>
          <w:szCs w:val="21"/>
        </w:rPr>
      </w:pPr>
      <w:r>
        <w:rPr>
          <w:rFonts w:hint="eastAsia" w:ascii="宋体" w:hAnsi="宋体" w:cs="宋体"/>
          <w:szCs w:val="21"/>
        </w:rPr>
        <w:t>1. 担保金额人民币（大写）元（¥）。</w:t>
      </w:r>
    </w:p>
    <w:p>
      <w:pPr>
        <w:spacing w:line="360" w:lineRule="auto"/>
        <w:ind w:firstLine="420" w:firstLineChars="200"/>
        <w:rPr>
          <w:rFonts w:ascii="宋体" w:hAnsi="宋体" w:cs="宋体"/>
          <w:szCs w:val="21"/>
        </w:rPr>
      </w:pPr>
      <w:r>
        <w:rPr>
          <w:rFonts w:hint="eastAsia" w:ascii="宋体" w:hAnsi="宋体" w:cs="宋体"/>
          <w:szCs w:val="21"/>
        </w:rPr>
        <w:t>2. 担保有效期自预付款支付给承包人起生效，至你方签发的进度款支付证书说明已完全扣清止。</w:t>
      </w:r>
    </w:p>
    <w:p>
      <w:pPr>
        <w:spacing w:line="360" w:lineRule="auto"/>
        <w:ind w:firstLine="420" w:firstLineChars="200"/>
        <w:rPr>
          <w:rFonts w:ascii="宋体" w:hAnsi="宋体" w:cs="宋体"/>
          <w:szCs w:val="21"/>
        </w:rPr>
      </w:pPr>
      <w:r>
        <w:rPr>
          <w:rFonts w:hint="eastAsia" w:ascii="宋体" w:hAnsi="宋体" w:cs="宋体"/>
          <w:szCs w:val="21"/>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pPr>
        <w:spacing w:line="360" w:lineRule="auto"/>
        <w:ind w:firstLine="420" w:firstLineChars="200"/>
        <w:rPr>
          <w:rFonts w:ascii="宋体" w:hAnsi="宋体" w:cs="宋体"/>
          <w:szCs w:val="21"/>
        </w:rPr>
      </w:pPr>
      <w:r>
        <w:rPr>
          <w:rFonts w:hint="eastAsia" w:ascii="宋体" w:hAnsi="宋体" w:cs="宋体"/>
          <w:szCs w:val="21"/>
        </w:rPr>
        <w:t>4. 你方和承包人按合同约定变更合同时，我方承担本保函规定的义务不变。</w:t>
      </w:r>
    </w:p>
    <w:p>
      <w:pPr>
        <w:spacing w:line="360" w:lineRule="auto"/>
        <w:ind w:firstLine="420" w:firstLineChars="200"/>
        <w:jc w:val="left"/>
        <w:rPr>
          <w:rFonts w:ascii="宋体" w:hAnsi="宋体" w:cs="宋体"/>
          <w:szCs w:val="21"/>
        </w:rPr>
      </w:pPr>
      <w:r>
        <w:rPr>
          <w:rFonts w:hint="eastAsia" w:ascii="宋体" w:hAnsi="宋体" w:cs="宋体"/>
          <w:szCs w:val="21"/>
        </w:rPr>
        <w:t>5. 因本保函发生的纠纷，可由双方协商解决，协商不成的，任何一方均可提请仲裁委员会仲裁。</w:t>
      </w:r>
    </w:p>
    <w:p>
      <w:pPr>
        <w:spacing w:line="360" w:lineRule="auto"/>
        <w:ind w:firstLine="420" w:firstLineChars="200"/>
        <w:jc w:val="left"/>
        <w:rPr>
          <w:rFonts w:ascii="宋体" w:hAnsi="宋体" w:cs="宋体"/>
          <w:szCs w:val="21"/>
        </w:rPr>
      </w:pPr>
      <w:r>
        <w:rPr>
          <w:rFonts w:hint="eastAsia" w:ascii="宋体" w:hAnsi="宋体" w:cs="宋体"/>
          <w:szCs w:val="21"/>
        </w:rPr>
        <w:t>6. 本保函自我方法定代表人（或其授权代理人）签字并加盖公章之日起生效。</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1470" w:firstLineChars="700"/>
        <w:rPr>
          <w:rFonts w:ascii="宋体" w:hAnsi="宋体" w:cs="宋体"/>
          <w:szCs w:val="21"/>
        </w:rPr>
      </w:pPr>
      <w:r>
        <w:rPr>
          <w:rFonts w:hint="eastAsia" w:ascii="宋体" w:hAnsi="宋体" w:cs="宋体"/>
          <w:szCs w:val="21"/>
        </w:rPr>
        <w:t>担保人：（盖单位章）</w:t>
      </w:r>
    </w:p>
    <w:p>
      <w:pPr>
        <w:spacing w:line="360" w:lineRule="auto"/>
        <w:ind w:firstLine="1470" w:firstLineChars="700"/>
        <w:rPr>
          <w:rFonts w:ascii="宋体" w:hAnsi="宋体" w:cs="宋体"/>
          <w:szCs w:val="21"/>
        </w:rPr>
      </w:pPr>
      <w:r>
        <w:rPr>
          <w:rFonts w:hint="eastAsia" w:ascii="宋体" w:hAnsi="宋体" w:cs="宋体"/>
          <w:szCs w:val="21"/>
        </w:rPr>
        <w:t>法定代表人或其委托代理人：（签字）</w:t>
      </w:r>
    </w:p>
    <w:p>
      <w:pPr>
        <w:spacing w:line="360" w:lineRule="auto"/>
        <w:ind w:firstLine="1470" w:firstLineChars="700"/>
        <w:rPr>
          <w:rFonts w:ascii="宋体" w:hAnsi="宋体" w:cs="宋体"/>
          <w:szCs w:val="21"/>
        </w:rPr>
      </w:pPr>
      <w:r>
        <w:rPr>
          <w:rFonts w:hint="eastAsia" w:ascii="宋体" w:hAnsi="宋体" w:cs="宋体"/>
          <w:szCs w:val="21"/>
        </w:rPr>
        <w:t>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ind w:firstLine="1470" w:firstLineChars="700"/>
        <w:rPr>
          <w:rFonts w:ascii="宋体" w:hAnsi="宋体" w:cs="宋体"/>
          <w:szCs w:val="21"/>
          <w:u w:val="single"/>
        </w:rPr>
      </w:pPr>
      <w:r>
        <w:rPr>
          <w:rFonts w:hint="eastAsia" w:ascii="宋体" w:hAnsi="宋体" w:cs="宋体"/>
          <w:szCs w:val="21"/>
        </w:rPr>
        <w:t>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ind w:firstLine="1470" w:firstLineChars="700"/>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ind w:firstLine="1470" w:firstLineChars="700"/>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rPr>
          <w:rFonts w:ascii="宋体" w:hAnsi="宋体" w:cs="宋体"/>
          <w:szCs w:val="21"/>
        </w:rPr>
      </w:pPr>
    </w:p>
    <w:p>
      <w:pPr>
        <w:spacing w:line="360" w:lineRule="auto"/>
        <w:rPr>
          <w:rFonts w:ascii="宋体" w:hAnsi="宋体" w:cs="宋体"/>
          <w:szCs w:val="21"/>
          <w:u w:val="single"/>
        </w:rPr>
      </w:pPr>
    </w:p>
    <w:p>
      <w:pPr>
        <w:spacing w:line="360" w:lineRule="auto"/>
        <w:rPr>
          <w:rFonts w:ascii="宋体" w:hAnsi="宋体" w:cs="宋体"/>
          <w:szCs w:val="21"/>
        </w:rPr>
      </w:pPr>
      <w:r>
        <w:rPr>
          <w:rFonts w:hint="eastAsia" w:ascii="宋体" w:hAnsi="宋体" w:cs="宋体"/>
          <w:szCs w:val="21"/>
        </w:rPr>
        <w:t>年月日</w:t>
      </w:r>
    </w:p>
    <w:p>
      <w:pPr>
        <w:spacing w:line="440" w:lineRule="exact"/>
        <w:rPr>
          <w:rFonts w:ascii="宋体" w:hAnsi="宋体" w:cs="宋体"/>
          <w:szCs w:val="21"/>
        </w:rPr>
      </w:pPr>
      <w:r>
        <w:rPr>
          <w:rFonts w:hint="eastAsia" w:ascii="宋体" w:hAnsi="宋体" w:cs="宋体"/>
          <w:b/>
          <w:szCs w:val="21"/>
        </w:rPr>
        <w:br w:type="page"/>
      </w:r>
      <w:r>
        <w:rPr>
          <w:rFonts w:hint="eastAsia" w:ascii="宋体" w:hAnsi="宋体" w:cs="宋体"/>
          <w:szCs w:val="21"/>
        </w:rPr>
        <w:t>附</w:t>
      </w:r>
      <w:bookmarkStart w:id="978" w:name="_Toc296891273"/>
      <w:bookmarkStart w:id="979" w:name="_Toc296891061"/>
      <w:bookmarkStart w:id="980" w:name="_Toc296346734"/>
      <w:bookmarkStart w:id="981" w:name="_Toc296503233"/>
      <w:bookmarkStart w:id="982" w:name="_Toc296347232"/>
      <w:bookmarkStart w:id="983" w:name="_Toc296944572"/>
      <w:r>
        <w:rPr>
          <w:rFonts w:hint="eastAsia" w:ascii="宋体" w:hAnsi="宋体" w:cs="宋体"/>
          <w:szCs w:val="21"/>
        </w:rPr>
        <w:t xml:space="preserve">件10:  </w:t>
      </w:r>
    </w:p>
    <w:bookmarkEnd w:id="978"/>
    <w:bookmarkEnd w:id="979"/>
    <w:bookmarkEnd w:id="980"/>
    <w:bookmarkEnd w:id="981"/>
    <w:bookmarkEnd w:id="982"/>
    <w:bookmarkEnd w:id="983"/>
    <w:p>
      <w:pPr>
        <w:spacing w:before="120" w:beforeLines="50" w:after="120" w:afterLines="50" w:line="440" w:lineRule="exact"/>
        <w:jc w:val="center"/>
        <w:rPr>
          <w:rFonts w:ascii="宋体" w:hAnsi="宋体" w:cs="宋体"/>
          <w:szCs w:val="21"/>
        </w:rPr>
      </w:pPr>
      <w:r>
        <w:rPr>
          <w:rFonts w:hint="eastAsia" w:ascii="宋体" w:hAnsi="宋体" w:cs="宋体"/>
          <w:szCs w:val="21"/>
        </w:rPr>
        <w:t>支付担保</w:t>
      </w:r>
    </w:p>
    <w:p>
      <w:pPr>
        <w:spacing w:line="440" w:lineRule="exact"/>
        <w:jc w:val="left"/>
        <w:rPr>
          <w:rFonts w:ascii="宋体" w:hAnsi="宋体" w:cs="宋体"/>
          <w:szCs w:val="21"/>
        </w:rPr>
      </w:pPr>
      <w:r>
        <w:rPr>
          <w:rFonts w:hint="eastAsia" w:ascii="宋体" w:hAnsi="宋体" w:cs="宋体"/>
          <w:szCs w:val="21"/>
        </w:rPr>
        <w:t>（承包人）：</w:t>
      </w:r>
    </w:p>
    <w:p>
      <w:pPr>
        <w:spacing w:line="440" w:lineRule="exact"/>
        <w:jc w:val="left"/>
        <w:rPr>
          <w:rFonts w:ascii="宋体" w:hAnsi="宋体" w:cs="宋体"/>
          <w:szCs w:val="21"/>
        </w:rPr>
      </w:pPr>
    </w:p>
    <w:p>
      <w:pPr>
        <w:spacing w:line="360" w:lineRule="auto"/>
        <w:ind w:firstLine="420" w:firstLineChars="200"/>
        <w:jc w:val="left"/>
        <w:rPr>
          <w:rFonts w:ascii="宋体" w:hAnsi="宋体" w:cs="宋体"/>
          <w:szCs w:val="21"/>
        </w:rPr>
      </w:pPr>
      <w:r>
        <w:rPr>
          <w:rFonts w:hint="eastAsia" w:ascii="宋体" w:hAnsi="宋体" w:cs="宋体"/>
          <w:szCs w:val="21"/>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pPr>
        <w:spacing w:line="360" w:lineRule="auto"/>
        <w:ind w:firstLine="420" w:firstLineChars="200"/>
        <w:jc w:val="left"/>
        <w:outlineLvl w:val="0"/>
        <w:rPr>
          <w:rFonts w:ascii="宋体" w:hAnsi="宋体" w:cs="宋体"/>
          <w:szCs w:val="21"/>
        </w:rPr>
      </w:pPr>
      <w:bookmarkStart w:id="984" w:name="_Toc32746"/>
      <w:bookmarkStart w:id="985" w:name="_Toc256"/>
      <w:r>
        <w:rPr>
          <w:rFonts w:hint="eastAsia" w:ascii="宋体" w:hAnsi="宋体" w:cs="宋体"/>
          <w:szCs w:val="21"/>
        </w:rPr>
        <w:t>一、保证的范围及保证金额</w:t>
      </w:r>
      <w:bookmarkEnd w:id="984"/>
      <w:bookmarkEnd w:id="985"/>
    </w:p>
    <w:p>
      <w:pPr>
        <w:spacing w:line="360" w:lineRule="auto"/>
        <w:ind w:firstLine="420" w:firstLineChars="200"/>
        <w:jc w:val="left"/>
        <w:rPr>
          <w:rFonts w:ascii="宋体" w:hAnsi="宋体" w:cs="宋体"/>
          <w:szCs w:val="21"/>
        </w:rPr>
      </w:pPr>
      <w:r>
        <w:rPr>
          <w:rFonts w:hint="eastAsia" w:ascii="宋体" w:hAnsi="宋体" w:cs="宋体"/>
          <w:szCs w:val="21"/>
        </w:rPr>
        <w:t>1. 我方的保证范围是主合同约定的工程款。</w:t>
      </w:r>
    </w:p>
    <w:p>
      <w:pPr>
        <w:spacing w:line="360" w:lineRule="auto"/>
        <w:ind w:firstLine="420" w:firstLineChars="200"/>
        <w:jc w:val="left"/>
        <w:rPr>
          <w:rFonts w:ascii="宋体" w:hAnsi="宋体" w:cs="宋体"/>
          <w:szCs w:val="21"/>
        </w:rPr>
      </w:pPr>
      <w:r>
        <w:rPr>
          <w:rFonts w:hint="eastAsia" w:ascii="宋体" w:hAnsi="宋体" w:cs="宋体"/>
          <w:szCs w:val="21"/>
        </w:rPr>
        <w:t>2. 本保函所称主合同约定的工程款是指主合同约定的除工程质量保证金以外的合同价款。</w:t>
      </w:r>
    </w:p>
    <w:p>
      <w:pPr>
        <w:spacing w:line="360" w:lineRule="auto"/>
        <w:ind w:firstLine="420" w:firstLineChars="200"/>
        <w:jc w:val="left"/>
        <w:rPr>
          <w:rFonts w:ascii="宋体" w:hAnsi="宋体" w:cs="宋体"/>
          <w:szCs w:val="21"/>
        </w:rPr>
      </w:pPr>
      <w:r>
        <w:rPr>
          <w:rFonts w:hint="eastAsia" w:ascii="宋体" w:hAnsi="宋体" w:cs="宋体"/>
          <w:szCs w:val="21"/>
        </w:rPr>
        <w:t>3. 我方保证的金额是主合同约定的工程款的%，数额最高不超过人民币元（大写：）。</w:t>
      </w:r>
    </w:p>
    <w:p>
      <w:pPr>
        <w:spacing w:line="360" w:lineRule="auto"/>
        <w:ind w:firstLine="420" w:firstLineChars="200"/>
        <w:jc w:val="left"/>
        <w:outlineLvl w:val="0"/>
        <w:rPr>
          <w:rFonts w:ascii="宋体" w:hAnsi="宋体" w:cs="宋体"/>
          <w:szCs w:val="21"/>
        </w:rPr>
      </w:pPr>
      <w:bookmarkStart w:id="986" w:name="_Toc22224"/>
      <w:bookmarkStart w:id="987" w:name="_Toc5877"/>
      <w:r>
        <w:rPr>
          <w:rFonts w:hint="eastAsia" w:ascii="宋体" w:hAnsi="宋体" w:cs="宋体"/>
          <w:szCs w:val="21"/>
        </w:rPr>
        <w:t>二、保证的方式及保证期间</w:t>
      </w:r>
      <w:bookmarkEnd w:id="986"/>
      <w:bookmarkEnd w:id="987"/>
    </w:p>
    <w:p>
      <w:pPr>
        <w:spacing w:line="360" w:lineRule="auto"/>
        <w:ind w:firstLine="420" w:firstLineChars="200"/>
        <w:jc w:val="left"/>
        <w:rPr>
          <w:rFonts w:ascii="宋体" w:hAnsi="宋体" w:cs="宋体"/>
          <w:szCs w:val="21"/>
        </w:rPr>
      </w:pPr>
      <w:r>
        <w:rPr>
          <w:rFonts w:hint="eastAsia" w:ascii="宋体" w:hAnsi="宋体" w:cs="宋体"/>
          <w:szCs w:val="21"/>
        </w:rPr>
        <w:t>1. 我方保证的方式为：连带责任保证。</w:t>
      </w:r>
    </w:p>
    <w:p>
      <w:pPr>
        <w:spacing w:line="360" w:lineRule="auto"/>
        <w:ind w:firstLine="420" w:firstLineChars="200"/>
        <w:jc w:val="left"/>
        <w:rPr>
          <w:rFonts w:ascii="宋体" w:hAnsi="宋体" w:cs="宋体"/>
          <w:szCs w:val="21"/>
        </w:rPr>
      </w:pPr>
      <w:r>
        <w:rPr>
          <w:rFonts w:hint="eastAsia" w:ascii="宋体" w:hAnsi="宋体" w:cs="宋体"/>
          <w:szCs w:val="21"/>
        </w:rPr>
        <w:t>2. 我方保证的期间为：自本合同生效之日起至主合同约定的工程款支付完毕之日后日内。</w:t>
      </w:r>
    </w:p>
    <w:p>
      <w:pPr>
        <w:spacing w:line="360" w:lineRule="auto"/>
        <w:ind w:firstLine="420" w:firstLineChars="200"/>
        <w:jc w:val="left"/>
        <w:rPr>
          <w:rFonts w:ascii="宋体" w:hAnsi="宋体" w:cs="宋体"/>
          <w:szCs w:val="21"/>
        </w:rPr>
      </w:pPr>
      <w:r>
        <w:rPr>
          <w:rFonts w:hint="eastAsia" w:ascii="宋体" w:hAnsi="宋体" w:cs="宋体"/>
          <w:szCs w:val="21"/>
        </w:rPr>
        <w:t>3. 你方与发包人协议变更工程款支付日期的，经我方书面同意后，保证期间按照变更后的支付日期做相应调整。</w:t>
      </w:r>
    </w:p>
    <w:p>
      <w:pPr>
        <w:spacing w:line="360" w:lineRule="auto"/>
        <w:ind w:firstLine="420" w:firstLineChars="200"/>
        <w:jc w:val="left"/>
        <w:outlineLvl w:val="0"/>
        <w:rPr>
          <w:rFonts w:ascii="宋体" w:hAnsi="宋体" w:cs="宋体"/>
          <w:szCs w:val="21"/>
        </w:rPr>
      </w:pPr>
      <w:bookmarkStart w:id="988" w:name="_Toc30141"/>
      <w:bookmarkStart w:id="989" w:name="_Toc2166"/>
      <w:r>
        <w:rPr>
          <w:rFonts w:hint="eastAsia" w:ascii="宋体" w:hAnsi="宋体" w:cs="宋体"/>
          <w:szCs w:val="21"/>
        </w:rPr>
        <w:t>三、承担保证责任的形式</w:t>
      </w:r>
      <w:bookmarkEnd w:id="988"/>
      <w:bookmarkEnd w:id="989"/>
    </w:p>
    <w:p>
      <w:pPr>
        <w:spacing w:line="360" w:lineRule="auto"/>
        <w:ind w:firstLine="420" w:firstLineChars="200"/>
        <w:jc w:val="left"/>
        <w:rPr>
          <w:rFonts w:ascii="宋体" w:hAnsi="宋体" w:cs="宋体"/>
          <w:szCs w:val="21"/>
        </w:rPr>
      </w:pPr>
      <w:r>
        <w:rPr>
          <w:rFonts w:hint="eastAsia" w:ascii="宋体" w:hAnsi="宋体" w:cs="宋体"/>
          <w:szCs w:val="21"/>
        </w:rPr>
        <w:t>我方承担保证责任的形式是代为支付。发包人未按主合同约定向你方支付工程款的，由我方在保证金额内代为支付。</w:t>
      </w:r>
    </w:p>
    <w:p>
      <w:pPr>
        <w:spacing w:line="360" w:lineRule="auto"/>
        <w:ind w:firstLine="420" w:firstLineChars="200"/>
        <w:jc w:val="left"/>
        <w:outlineLvl w:val="0"/>
        <w:rPr>
          <w:rFonts w:ascii="宋体" w:hAnsi="宋体" w:cs="宋体"/>
          <w:szCs w:val="21"/>
        </w:rPr>
      </w:pPr>
      <w:bookmarkStart w:id="990" w:name="_Toc23817"/>
      <w:bookmarkStart w:id="991" w:name="_Toc21315"/>
      <w:r>
        <w:rPr>
          <w:rFonts w:hint="eastAsia" w:ascii="宋体" w:hAnsi="宋体" w:cs="宋体"/>
          <w:szCs w:val="21"/>
        </w:rPr>
        <w:t>四、代偿的安排</w:t>
      </w:r>
      <w:bookmarkEnd w:id="990"/>
      <w:bookmarkEnd w:id="991"/>
    </w:p>
    <w:p>
      <w:pPr>
        <w:spacing w:line="360" w:lineRule="auto"/>
        <w:ind w:firstLine="420" w:firstLineChars="200"/>
        <w:jc w:val="left"/>
        <w:rPr>
          <w:rFonts w:ascii="宋体" w:hAnsi="宋体" w:cs="宋体"/>
          <w:szCs w:val="21"/>
        </w:rPr>
      </w:pPr>
      <w:r>
        <w:rPr>
          <w:rFonts w:hint="eastAsia" w:ascii="宋体" w:hAnsi="宋体" w:cs="宋体"/>
          <w:szCs w:val="21"/>
        </w:rPr>
        <w:t>1. 你方要求我方承担保证责任的，应向我方发出书面索赔通知及发包人未支付主合同约定工程款的证明材料。索赔通知应写明要求索赔的金额，支付款项应到达的账号。</w:t>
      </w:r>
    </w:p>
    <w:p>
      <w:pPr>
        <w:spacing w:line="360" w:lineRule="auto"/>
        <w:ind w:firstLine="420" w:firstLineChars="200"/>
        <w:jc w:val="left"/>
        <w:rPr>
          <w:rFonts w:ascii="宋体" w:hAnsi="宋体" w:cs="宋体"/>
          <w:szCs w:val="21"/>
        </w:rPr>
      </w:pPr>
      <w:r>
        <w:rPr>
          <w:rFonts w:hint="eastAsia" w:ascii="宋体" w:hAnsi="宋体" w:cs="宋体"/>
          <w:szCs w:val="21"/>
        </w:rPr>
        <w:t>2. 在出现你方与发包人因工程质量发生争议，发包人拒绝向你方支付工程款的情形时，你方要求我方履行保证责任代为支付的，需提供符合相应条件要求的工程质量检测机构出具的质量说明材料。</w:t>
      </w:r>
    </w:p>
    <w:p>
      <w:pPr>
        <w:spacing w:line="360" w:lineRule="auto"/>
        <w:ind w:firstLine="420" w:firstLineChars="200"/>
        <w:jc w:val="left"/>
        <w:rPr>
          <w:rFonts w:ascii="宋体" w:hAnsi="宋体" w:cs="宋体"/>
          <w:szCs w:val="21"/>
        </w:rPr>
      </w:pPr>
      <w:r>
        <w:rPr>
          <w:rFonts w:hint="eastAsia" w:ascii="宋体" w:hAnsi="宋体" w:cs="宋体"/>
          <w:szCs w:val="21"/>
        </w:rPr>
        <w:t>3. 我方收到你方的书面索赔通知及相应的证明材料后７天内无条件支付。</w:t>
      </w:r>
    </w:p>
    <w:p>
      <w:pPr>
        <w:spacing w:line="360" w:lineRule="auto"/>
        <w:ind w:firstLine="420" w:firstLineChars="200"/>
        <w:jc w:val="left"/>
        <w:outlineLvl w:val="0"/>
        <w:rPr>
          <w:rFonts w:ascii="宋体" w:hAnsi="宋体" w:cs="宋体"/>
          <w:szCs w:val="21"/>
        </w:rPr>
      </w:pPr>
      <w:bookmarkStart w:id="992" w:name="_Toc10393"/>
      <w:bookmarkStart w:id="993" w:name="_Toc3611"/>
      <w:r>
        <w:rPr>
          <w:rFonts w:hint="eastAsia" w:ascii="宋体" w:hAnsi="宋体" w:cs="宋体"/>
          <w:szCs w:val="21"/>
        </w:rPr>
        <w:t>五、保证责任的解除</w:t>
      </w:r>
      <w:bookmarkEnd w:id="992"/>
      <w:bookmarkEnd w:id="993"/>
    </w:p>
    <w:p>
      <w:pPr>
        <w:spacing w:line="360" w:lineRule="auto"/>
        <w:ind w:firstLine="420" w:firstLineChars="200"/>
        <w:jc w:val="left"/>
        <w:rPr>
          <w:rFonts w:ascii="宋体" w:hAnsi="宋体" w:cs="宋体"/>
          <w:szCs w:val="21"/>
        </w:rPr>
      </w:pPr>
      <w:r>
        <w:rPr>
          <w:rFonts w:hint="eastAsia" w:ascii="宋体" w:hAnsi="宋体" w:cs="宋体"/>
          <w:szCs w:val="21"/>
        </w:rPr>
        <w:t>1. 在本保函承诺的保证期间内，你方未书面向我方主张保证责任的，自保证期间届满次日起，我方保证责任解除。</w:t>
      </w:r>
    </w:p>
    <w:p>
      <w:pPr>
        <w:spacing w:line="360" w:lineRule="auto"/>
        <w:ind w:firstLine="420" w:firstLineChars="200"/>
        <w:jc w:val="left"/>
        <w:rPr>
          <w:rFonts w:ascii="宋体" w:hAnsi="宋体" w:cs="宋体"/>
          <w:szCs w:val="21"/>
        </w:rPr>
      </w:pPr>
      <w:r>
        <w:rPr>
          <w:rFonts w:hint="eastAsia" w:ascii="宋体" w:hAnsi="宋体" w:cs="宋体"/>
          <w:szCs w:val="21"/>
        </w:rPr>
        <w:t>2. 发包人按主合同约定履行了工程款的全部支付义务的，自本保函承诺的保证期间届满次日起，我方保证责任解除。</w:t>
      </w:r>
    </w:p>
    <w:p>
      <w:pPr>
        <w:spacing w:line="360" w:lineRule="auto"/>
        <w:ind w:firstLine="420" w:firstLineChars="200"/>
        <w:jc w:val="left"/>
        <w:rPr>
          <w:rFonts w:ascii="宋体" w:hAnsi="宋体" w:cs="宋体"/>
          <w:szCs w:val="21"/>
        </w:rPr>
      </w:pPr>
      <w:r>
        <w:rPr>
          <w:rFonts w:hint="eastAsia" w:ascii="宋体" w:hAnsi="宋体" w:cs="宋体"/>
          <w:szCs w:val="21"/>
        </w:rPr>
        <w:t>3. 我方按照本保函向你方履行保证责任所支付金额达到本保函保证金额时，自我方向你方支付（支付款项从我方账户划出）之日起，保证责任即解除。</w:t>
      </w:r>
    </w:p>
    <w:p>
      <w:pPr>
        <w:spacing w:line="360" w:lineRule="auto"/>
        <w:ind w:firstLine="420" w:firstLineChars="200"/>
        <w:jc w:val="left"/>
        <w:rPr>
          <w:rFonts w:ascii="宋体" w:hAnsi="宋体" w:cs="宋体"/>
          <w:szCs w:val="21"/>
        </w:rPr>
      </w:pPr>
      <w:r>
        <w:rPr>
          <w:rFonts w:hint="eastAsia" w:ascii="宋体" w:hAnsi="宋体" w:cs="宋体"/>
          <w:szCs w:val="21"/>
        </w:rPr>
        <w:t>4. 按照法律法规的规定或出现应解除我方保证责任的其他情形的，我方在本保函项下的保证责任亦解除。</w:t>
      </w:r>
    </w:p>
    <w:p>
      <w:pPr>
        <w:spacing w:line="360" w:lineRule="auto"/>
        <w:jc w:val="left"/>
        <w:rPr>
          <w:rFonts w:ascii="宋体" w:hAnsi="宋体" w:cs="宋体"/>
          <w:szCs w:val="21"/>
        </w:rPr>
      </w:pPr>
    </w:p>
    <w:p>
      <w:pPr>
        <w:spacing w:line="360" w:lineRule="auto"/>
        <w:ind w:firstLine="420" w:firstLineChars="200"/>
        <w:jc w:val="left"/>
        <w:rPr>
          <w:rFonts w:ascii="宋体" w:hAnsi="宋体" w:cs="宋体"/>
          <w:szCs w:val="21"/>
        </w:rPr>
      </w:pPr>
      <w:r>
        <w:rPr>
          <w:rFonts w:hint="eastAsia" w:ascii="宋体" w:hAnsi="宋体" w:cs="宋体"/>
          <w:szCs w:val="21"/>
        </w:rPr>
        <w:t>5. 我方解除保证责任后，你方应自我方保证责任解除之日起个工作日内，将本保函原件返还我方。</w:t>
      </w:r>
    </w:p>
    <w:p>
      <w:pPr>
        <w:spacing w:line="360" w:lineRule="auto"/>
        <w:ind w:firstLine="420" w:firstLineChars="200"/>
        <w:jc w:val="left"/>
        <w:outlineLvl w:val="0"/>
        <w:rPr>
          <w:rFonts w:ascii="宋体" w:hAnsi="宋体" w:cs="宋体"/>
          <w:szCs w:val="21"/>
        </w:rPr>
      </w:pPr>
      <w:bookmarkStart w:id="994" w:name="_Toc18816"/>
      <w:bookmarkStart w:id="995" w:name="_Toc3154"/>
      <w:r>
        <w:rPr>
          <w:rFonts w:hint="eastAsia" w:ascii="宋体" w:hAnsi="宋体" w:cs="宋体"/>
          <w:szCs w:val="21"/>
        </w:rPr>
        <w:t>六、免责条款</w:t>
      </w:r>
      <w:bookmarkEnd w:id="994"/>
      <w:bookmarkEnd w:id="995"/>
    </w:p>
    <w:p>
      <w:pPr>
        <w:spacing w:line="360" w:lineRule="auto"/>
        <w:ind w:firstLine="420" w:firstLineChars="200"/>
        <w:jc w:val="left"/>
        <w:rPr>
          <w:rFonts w:ascii="宋体" w:hAnsi="宋体" w:cs="宋体"/>
          <w:szCs w:val="21"/>
        </w:rPr>
      </w:pPr>
      <w:r>
        <w:rPr>
          <w:rFonts w:hint="eastAsia" w:ascii="宋体" w:hAnsi="宋体" w:cs="宋体"/>
          <w:szCs w:val="21"/>
        </w:rPr>
        <w:t>1. 因你方违约致使发包人不能履行义务的，我方不承担保证责任。</w:t>
      </w:r>
    </w:p>
    <w:p>
      <w:pPr>
        <w:spacing w:line="360" w:lineRule="auto"/>
        <w:ind w:firstLine="420" w:firstLineChars="200"/>
        <w:jc w:val="left"/>
        <w:rPr>
          <w:rFonts w:ascii="宋体" w:hAnsi="宋体" w:cs="宋体"/>
          <w:szCs w:val="21"/>
        </w:rPr>
      </w:pPr>
      <w:r>
        <w:rPr>
          <w:rFonts w:hint="eastAsia" w:ascii="宋体" w:hAnsi="宋体" w:cs="宋体"/>
          <w:szCs w:val="21"/>
        </w:rPr>
        <w:t>2. 依照法律法规的规定或你方与发包人的另行约定，免除发包人部分或全部义务的，我方亦免除其相应的保证责任。</w:t>
      </w:r>
    </w:p>
    <w:p>
      <w:pPr>
        <w:spacing w:line="360" w:lineRule="auto"/>
        <w:ind w:firstLine="420" w:firstLineChars="200"/>
        <w:jc w:val="left"/>
        <w:rPr>
          <w:rFonts w:ascii="宋体" w:hAnsi="宋体" w:cs="宋体"/>
          <w:szCs w:val="21"/>
        </w:rPr>
      </w:pPr>
      <w:r>
        <w:rPr>
          <w:rFonts w:hint="eastAsia" w:ascii="宋体" w:hAnsi="宋体" w:cs="宋体"/>
          <w:szCs w:val="21"/>
        </w:rPr>
        <w:t>3. 你方与发包人协议变更主合同的，如加重发包人责任致使我方保证责任加重的，需征得我方书面同意，否则我方不再承担因此而加重部分的保证责任，但主合同第10条〔变更〕约定的变更不受本款限制。</w:t>
      </w:r>
    </w:p>
    <w:p>
      <w:pPr>
        <w:spacing w:line="360" w:lineRule="auto"/>
        <w:ind w:firstLine="420" w:firstLineChars="200"/>
        <w:jc w:val="left"/>
        <w:rPr>
          <w:rFonts w:ascii="宋体" w:hAnsi="宋体" w:cs="宋体"/>
          <w:szCs w:val="21"/>
        </w:rPr>
      </w:pPr>
      <w:r>
        <w:rPr>
          <w:rFonts w:hint="eastAsia" w:ascii="宋体" w:hAnsi="宋体" w:cs="宋体"/>
          <w:szCs w:val="21"/>
        </w:rPr>
        <w:t>4. 因不可抗力造成发包人不能履行义务的，我方不承担保证责任。</w:t>
      </w:r>
    </w:p>
    <w:p>
      <w:pPr>
        <w:spacing w:line="360" w:lineRule="auto"/>
        <w:ind w:firstLine="420" w:firstLineChars="200"/>
        <w:jc w:val="left"/>
        <w:outlineLvl w:val="0"/>
        <w:rPr>
          <w:rFonts w:ascii="宋体" w:hAnsi="宋体" w:cs="宋体"/>
          <w:szCs w:val="21"/>
        </w:rPr>
      </w:pPr>
      <w:bookmarkStart w:id="996" w:name="_Toc9240"/>
      <w:bookmarkStart w:id="997" w:name="_Toc26407"/>
      <w:r>
        <w:rPr>
          <w:rFonts w:hint="eastAsia" w:ascii="宋体" w:hAnsi="宋体" w:cs="宋体"/>
          <w:szCs w:val="21"/>
        </w:rPr>
        <w:t>七、争议解决</w:t>
      </w:r>
      <w:bookmarkEnd w:id="996"/>
      <w:bookmarkEnd w:id="997"/>
    </w:p>
    <w:p>
      <w:pPr>
        <w:spacing w:after="120" w:line="360" w:lineRule="auto"/>
        <w:ind w:firstLine="420" w:firstLineChars="200"/>
        <w:rPr>
          <w:rFonts w:ascii="宋体" w:hAnsi="宋体" w:cs="宋体"/>
          <w:szCs w:val="21"/>
        </w:rPr>
      </w:pPr>
      <w:r>
        <w:rPr>
          <w:rFonts w:hint="eastAsia" w:ascii="宋体" w:hAnsi="宋体" w:cs="宋体"/>
          <w:szCs w:val="21"/>
        </w:rPr>
        <w:t>因本保函或本保函相关事项发生的纠纷，可由双方协商解决，协商不成的，按下列第种方式解决：</w:t>
      </w:r>
    </w:p>
    <w:p>
      <w:pPr>
        <w:spacing w:line="360" w:lineRule="auto"/>
        <w:ind w:firstLine="420" w:firstLineChars="200"/>
        <w:jc w:val="left"/>
        <w:rPr>
          <w:rFonts w:ascii="宋体" w:hAnsi="宋体" w:cs="宋体"/>
          <w:szCs w:val="21"/>
        </w:rPr>
      </w:pPr>
      <w:r>
        <w:rPr>
          <w:rFonts w:hint="eastAsia" w:ascii="宋体" w:hAnsi="宋体" w:cs="宋体"/>
          <w:szCs w:val="21"/>
        </w:rPr>
        <w:t>（1）向仲裁委员会申请仲裁；</w:t>
      </w:r>
    </w:p>
    <w:p>
      <w:pPr>
        <w:spacing w:line="360" w:lineRule="auto"/>
        <w:ind w:firstLine="420" w:firstLineChars="200"/>
        <w:jc w:val="left"/>
        <w:rPr>
          <w:rFonts w:ascii="宋体" w:hAnsi="宋体" w:cs="宋体"/>
          <w:szCs w:val="21"/>
        </w:rPr>
      </w:pPr>
      <w:r>
        <w:rPr>
          <w:rFonts w:hint="eastAsia" w:ascii="宋体" w:hAnsi="宋体" w:cs="宋体"/>
          <w:szCs w:val="21"/>
        </w:rPr>
        <w:t>（2）向人民法院起诉。</w:t>
      </w:r>
    </w:p>
    <w:p>
      <w:pPr>
        <w:spacing w:line="360" w:lineRule="auto"/>
        <w:ind w:firstLine="420" w:firstLineChars="200"/>
        <w:jc w:val="left"/>
        <w:outlineLvl w:val="0"/>
        <w:rPr>
          <w:rFonts w:ascii="宋体" w:hAnsi="宋体" w:cs="宋体"/>
          <w:szCs w:val="21"/>
        </w:rPr>
      </w:pPr>
      <w:bookmarkStart w:id="998" w:name="_Toc28953"/>
      <w:bookmarkStart w:id="999" w:name="_Toc28969"/>
      <w:r>
        <w:rPr>
          <w:rFonts w:hint="eastAsia" w:ascii="宋体" w:hAnsi="宋体" w:cs="宋体"/>
          <w:szCs w:val="21"/>
        </w:rPr>
        <w:t>八、保函的生效</w:t>
      </w:r>
      <w:bookmarkEnd w:id="998"/>
      <w:bookmarkEnd w:id="999"/>
    </w:p>
    <w:p>
      <w:pPr>
        <w:spacing w:line="360" w:lineRule="auto"/>
        <w:ind w:firstLine="420" w:firstLineChars="200"/>
        <w:jc w:val="left"/>
        <w:rPr>
          <w:rFonts w:ascii="宋体" w:hAnsi="宋体" w:cs="宋体"/>
          <w:szCs w:val="21"/>
        </w:rPr>
      </w:pPr>
      <w:r>
        <w:rPr>
          <w:rFonts w:hint="eastAsia" w:ascii="宋体" w:hAnsi="宋体" w:cs="宋体"/>
          <w:szCs w:val="21"/>
        </w:rPr>
        <w:t>本保函自我方法定代表人（或其授权代理人）签字并加盖公章之日起生效。</w:t>
      </w:r>
    </w:p>
    <w:p>
      <w:pPr>
        <w:spacing w:line="360" w:lineRule="auto"/>
        <w:ind w:firstLine="420" w:firstLineChars="200"/>
        <w:jc w:val="left"/>
        <w:rPr>
          <w:rFonts w:ascii="宋体" w:hAnsi="宋体" w:cs="宋体"/>
          <w:szCs w:val="21"/>
        </w:rPr>
      </w:pPr>
    </w:p>
    <w:p>
      <w:pPr>
        <w:spacing w:line="360" w:lineRule="auto"/>
        <w:ind w:right="600"/>
        <w:jc w:val="left"/>
        <w:rPr>
          <w:rFonts w:ascii="宋体" w:hAnsi="宋体" w:cs="宋体"/>
          <w:szCs w:val="21"/>
        </w:rPr>
      </w:pPr>
    </w:p>
    <w:p>
      <w:pPr>
        <w:spacing w:line="360" w:lineRule="auto"/>
        <w:ind w:right="600" w:firstLine="210" w:firstLineChars="100"/>
        <w:jc w:val="left"/>
        <w:rPr>
          <w:rFonts w:ascii="宋体" w:hAnsi="宋体" w:cs="宋体"/>
          <w:szCs w:val="21"/>
        </w:rPr>
      </w:pPr>
      <w:r>
        <w:rPr>
          <w:rFonts w:hint="eastAsia" w:ascii="宋体" w:hAnsi="宋体" w:cs="宋体"/>
          <w:szCs w:val="21"/>
        </w:rPr>
        <w:t>担保人：（盖章）</w:t>
      </w:r>
    </w:p>
    <w:p>
      <w:pPr>
        <w:spacing w:line="360" w:lineRule="auto"/>
        <w:ind w:right="1200" w:firstLine="210" w:firstLineChars="100"/>
        <w:rPr>
          <w:rFonts w:ascii="宋体" w:hAnsi="宋体" w:cs="宋体"/>
          <w:szCs w:val="21"/>
        </w:rPr>
      </w:pPr>
      <w:r>
        <w:rPr>
          <w:rFonts w:hint="eastAsia" w:ascii="宋体" w:hAnsi="宋体" w:cs="宋体"/>
          <w:szCs w:val="21"/>
        </w:rPr>
        <w:t>法定代表人或委托代理人：（签字）</w:t>
      </w:r>
    </w:p>
    <w:p>
      <w:pPr>
        <w:spacing w:line="360" w:lineRule="auto"/>
        <w:ind w:firstLine="210" w:firstLineChars="100"/>
        <w:jc w:val="left"/>
        <w:rPr>
          <w:rFonts w:ascii="宋体" w:hAnsi="宋体" w:cs="宋体"/>
          <w:szCs w:val="21"/>
        </w:rPr>
      </w:pPr>
      <w:r>
        <w:rPr>
          <w:rFonts w:hint="eastAsia" w:ascii="宋体" w:hAnsi="宋体" w:cs="宋体"/>
          <w:szCs w:val="21"/>
        </w:rPr>
        <w:t>地    址：</w:t>
      </w:r>
    </w:p>
    <w:p>
      <w:pPr>
        <w:spacing w:line="360" w:lineRule="auto"/>
        <w:ind w:firstLine="210" w:firstLineChars="100"/>
        <w:jc w:val="left"/>
        <w:rPr>
          <w:rFonts w:ascii="宋体" w:hAnsi="宋体" w:cs="宋体"/>
          <w:szCs w:val="21"/>
        </w:rPr>
      </w:pPr>
      <w:r>
        <w:rPr>
          <w:rFonts w:hint="eastAsia" w:ascii="宋体" w:hAnsi="宋体" w:cs="宋体"/>
          <w:szCs w:val="21"/>
        </w:rPr>
        <w:t>邮政编码：</w:t>
      </w:r>
    </w:p>
    <w:p>
      <w:pPr>
        <w:spacing w:line="360" w:lineRule="auto"/>
        <w:ind w:firstLine="210" w:firstLineChars="100"/>
        <w:jc w:val="left"/>
        <w:rPr>
          <w:rFonts w:ascii="宋体" w:hAnsi="宋体" w:cs="宋体"/>
          <w:szCs w:val="21"/>
        </w:rPr>
      </w:pPr>
      <w:r>
        <w:rPr>
          <w:rFonts w:hint="eastAsia" w:ascii="宋体" w:hAnsi="宋体" w:cs="宋体"/>
          <w:szCs w:val="21"/>
        </w:rPr>
        <w:t>传    真：</w:t>
      </w:r>
    </w:p>
    <w:p>
      <w:pPr>
        <w:spacing w:line="360" w:lineRule="auto"/>
        <w:ind w:right="150" w:firstLine="420" w:firstLineChars="200"/>
        <w:jc w:val="left"/>
        <w:rPr>
          <w:rFonts w:ascii="宋体" w:hAnsi="宋体" w:cs="宋体"/>
          <w:szCs w:val="21"/>
          <w:u w:val="single"/>
        </w:rPr>
      </w:pPr>
    </w:p>
    <w:p>
      <w:pPr>
        <w:spacing w:line="360" w:lineRule="auto"/>
        <w:ind w:right="150" w:firstLine="420" w:firstLineChars="200"/>
        <w:jc w:val="left"/>
        <w:rPr>
          <w:rFonts w:ascii="宋体" w:hAnsi="宋体" w:cs="宋体"/>
          <w:szCs w:val="21"/>
        </w:rPr>
      </w:pPr>
      <w:r>
        <w:rPr>
          <w:rFonts w:hint="eastAsia" w:ascii="宋体" w:hAnsi="宋体" w:cs="宋体"/>
          <w:szCs w:val="21"/>
        </w:rPr>
        <w:t>年月日</w:t>
      </w:r>
    </w:p>
    <w:p>
      <w:pPr>
        <w:spacing w:line="440" w:lineRule="exact"/>
        <w:rPr>
          <w:rFonts w:eastAsia="黑体"/>
          <w:sz w:val="30"/>
          <w:szCs w:val="30"/>
        </w:rPr>
      </w:pPr>
      <w:r>
        <w:rPr>
          <w:rFonts w:eastAsia="仿宋_GB2312"/>
          <w:sz w:val="30"/>
          <w:szCs w:val="30"/>
        </w:rPr>
        <w:br w:type="page"/>
      </w:r>
      <w:r>
        <w:rPr>
          <w:rFonts w:eastAsia="仿宋_GB2312"/>
          <w:sz w:val="30"/>
          <w:szCs w:val="30"/>
        </w:rPr>
        <w:t>附件11：</w:t>
      </w:r>
    </w:p>
    <w:p>
      <w:pPr>
        <w:spacing w:before="120" w:beforeLines="50" w:after="120" w:afterLines="50" w:line="440" w:lineRule="exact"/>
        <w:jc w:val="center"/>
        <w:outlineLvl w:val="0"/>
        <w:rPr>
          <w:rFonts w:eastAsia="黑体"/>
          <w:sz w:val="30"/>
          <w:szCs w:val="30"/>
        </w:rPr>
      </w:pPr>
      <w:bookmarkStart w:id="1000" w:name="_Toc16037"/>
      <w:bookmarkStart w:id="1001" w:name="_Toc7380"/>
      <w:r>
        <w:rPr>
          <w:rFonts w:eastAsia="黑体"/>
          <w:sz w:val="30"/>
          <w:szCs w:val="30"/>
        </w:rPr>
        <w:t>11-1：材料暂估价表</w:t>
      </w:r>
      <w:bookmarkEnd w:id="1000"/>
      <w:bookmarkEnd w:id="1001"/>
    </w:p>
    <w:tbl>
      <w:tblPr>
        <w:tblStyle w:val="4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序号</w:t>
            </w:r>
          </w:p>
        </w:tc>
        <w:tc>
          <w:tcPr>
            <w:tcW w:w="1984"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名称</w:t>
            </w:r>
          </w:p>
        </w:tc>
        <w:tc>
          <w:tcPr>
            <w:tcW w:w="851"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单位</w:t>
            </w:r>
          </w:p>
        </w:tc>
        <w:tc>
          <w:tcPr>
            <w:tcW w:w="774"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数量</w:t>
            </w:r>
          </w:p>
        </w:tc>
        <w:tc>
          <w:tcPr>
            <w:tcW w:w="1352"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单价</w:t>
            </w:r>
            <w:r>
              <w:rPr>
                <w:rFonts w:hint="eastAsia" w:eastAsia="仿宋_GB2312"/>
                <w:kern w:val="2"/>
                <w:sz w:val="28"/>
                <w:szCs w:val="30"/>
              </w:rPr>
              <w:t>（元）</w:t>
            </w:r>
          </w:p>
        </w:tc>
        <w:tc>
          <w:tcPr>
            <w:tcW w:w="1418"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合价</w:t>
            </w:r>
            <w:r>
              <w:rPr>
                <w:rFonts w:hint="eastAsia" w:eastAsia="仿宋_GB2312"/>
                <w:kern w:val="2"/>
                <w:sz w:val="28"/>
                <w:szCs w:val="30"/>
              </w:rPr>
              <w:t>（元）</w:t>
            </w:r>
          </w:p>
        </w:tc>
        <w:tc>
          <w:tcPr>
            <w:tcW w:w="1701"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1984"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851"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774"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1352"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1418"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1701"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pPr>
              <w:pStyle w:val="3"/>
              <w:keepNext/>
              <w:spacing w:after="0" w:line="440" w:lineRule="exact"/>
              <w:ind w:left="63" w:right="63"/>
              <w:rPr>
                <w:rFonts w:eastAsia="仿宋_GB2312"/>
                <w:kern w:val="2"/>
                <w:sz w:val="28"/>
                <w:szCs w:val="30"/>
              </w:rPr>
            </w:pPr>
          </w:p>
        </w:tc>
        <w:tc>
          <w:tcPr>
            <w:tcW w:w="1984" w:type="dxa"/>
            <w:tcBorders>
              <w:top w:val="nil"/>
            </w:tcBorders>
          </w:tcPr>
          <w:p>
            <w:pPr>
              <w:pStyle w:val="3"/>
              <w:keepNext/>
              <w:spacing w:after="0" w:line="440" w:lineRule="exact"/>
              <w:ind w:left="63" w:right="63"/>
              <w:rPr>
                <w:rFonts w:eastAsia="仿宋_GB2312"/>
                <w:kern w:val="2"/>
                <w:sz w:val="28"/>
                <w:szCs w:val="30"/>
              </w:rPr>
            </w:pPr>
          </w:p>
        </w:tc>
        <w:tc>
          <w:tcPr>
            <w:tcW w:w="851" w:type="dxa"/>
            <w:tcBorders>
              <w:top w:val="nil"/>
            </w:tcBorders>
          </w:tcPr>
          <w:p>
            <w:pPr>
              <w:pStyle w:val="3"/>
              <w:keepNext/>
              <w:spacing w:after="0" w:line="440" w:lineRule="exact"/>
              <w:ind w:left="63" w:right="63"/>
              <w:rPr>
                <w:rFonts w:eastAsia="仿宋_GB2312"/>
                <w:kern w:val="2"/>
                <w:sz w:val="28"/>
                <w:szCs w:val="30"/>
              </w:rPr>
            </w:pPr>
          </w:p>
        </w:tc>
        <w:tc>
          <w:tcPr>
            <w:tcW w:w="774" w:type="dxa"/>
            <w:tcBorders>
              <w:top w:val="nil"/>
            </w:tcBorders>
          </w:tcPr>
          <w:p>
            <w:pPr>
              <w:pStyle w:val="3"/>
              <w:keepNext/>
              <w:spacing w:after="0" w:line="440" w:lineRule="exact"/>
              <w:ind w:left="63" w:right="63"/>
              <w:rPr>
                <w:rFonts w:eastAsia="仿宋_GB2312"/>
                <w:kern w:val="2"/>
                <w:sz w:val="28"/>
                <w:szCs w:val="30"/>
              </w:rPr>
            </w:pPr>
          </w:p>
        </w:tc>
        <w:tc>
          <w:tcPr>
            <w:tcW w:w="1352" w:type="dxa"/>
            <w:tcBorders>
              <w:top w:val="nil"/>
            </w:tcBorders>
          </w:tcPr>
          <w:p>
            <w:pPr>
              <w:pStyle w:val="3"/>
              <w:keepNext/>
              <w:spacing w:after="0" w:line="440" w:lineRule="exact"/>
              <w:ind w:left="63" w:right="63"/>
              <w:rPr>
                <w:rFonts w:eastAsia="仿宋_GB2312"/>
                <w:kern w:val="2"/>
                <w:sz w:val="28"/>
                <w:szCs w:val="30"/>
              </w:rPr>
            </w:pPr>
          </w:p>
        </w:tc>
        <w:tc>
          <w:tcPr>
            <w:tcW w:w="1418" w:type="dxa"/>
            <w:tcBorders>
              <w:top w:val="nil"/>
            </w:tcBorders>
          </w:tcPr>
          <w:p>
            <w:pPr>
              <w:pStyle w:val="3"/>
              <w:keepNext/>
              <w:spacing w:after="0" w:line="440" w:lineRule="exact"/>
              <w:ind w:left="63" w:right="63"/>
              <w:rPr>
                <w:rFonts w:eastAsia="仿宋_GB2312"/>
                <w:kern w:val="2"/>
                <w:sz w:val="28"/>
                <w:szCs w:val="30"/>
              </w:rPr>
            </w:pPr>
          </w:p>
        </w:tc>
        <w:tc>
          <w:tcPr>
            <w:tcW w:w="1701" w:type="dxa"/>
            <w:tcBorders>
              <w:top w:val="nil"/>
            </w:tcBorders>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bl>
    <w:p>
      <w:pPr>
        <w:spacing w:before="120" w:beforeLines="50" w:after="120" w:afterLines="50" w:line="440" w:lineRule="exact"/>
        <w:jc w:val="center"/>
        <w:outlineLvl w:val="0"/>
        <w:rPr>
          <w:rFonts w:eastAsia="黑体"/>
          <w:sz w:val="30"/>
          <w:szCs w:val="30"/>
        </w:rPr>
      </w:pPr>
    </w:p>
    <w:p>
      <w:pPr>
        <w:pStyle w:val="29"/>
        <w:rPr>
          <w:rFonts w:eastAsia="黑体"/>
          <w:sz w:val="30"/>
          <w:szCs w:val="30"/>
        </w:rPr>
      </w:pPr>
    </w:p>
    <w:p>
      <w:pPr>
        <w:pStyle w:val="29"/>
        <w:rPr>
          <w:rFonts w:eastAsia="黑体"/>
          <w:sz w:val="30"/>
          <w:szCs w:val="30"/>
        </w:rPr>
      </w:pPr>
    </w:p>
    <w:p>
      <w:pPr>
        <w:spacing w:before="120" w:beforeLines="50" w:after="120" w:afterLines="50" w:line="440" w:lineRule="exact"/>
        <w:rPr>
          <w:rFonts w:eastAsia="黑体"/>
          <w:sz w:val="30"/>
          <w:szCs w:val="30"/>
        </w:rPr>
      </w:pPr>
    </w:p>
    <w:p>
      <w:pPr>
        <w:spacing w:before="120" w:beforeLines="50" w:after="120" w:afterLines="50" w:line="440" w:lineRule="exact"/>
        <w:jc w:val="center"/>
        <w:rPr>
          <w:rFonts w:eastAsia="黑体"/>
          <w:sz w:val="30"/>
          <w:szCs w:val="30"/>
        </w:rPr>
      </w:pPr>
      <w:r>
        <w:rPr>
          <w:rFonts w:eastAsia="黑体"/>
          <w:sz w:val="30"/>
          <w:szCs w:val="30"/>
        </w:rPr>
        <w:t>11-2：工程设备暂估价表</w:t>
      </w:r>
    </w:p>
    <w:tbl>
      <w:tblPr>
        <w:tblStyle w:val="4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序号</w:t>
            </w:r>
          </w:p>
        </w:tc>
        <w:tc>
          <w:tcPr>
            <w:tcW w:w="1984"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名称</w:t>
            </w:r>
          </w:p>
        </w:tc>
        <w:tc>
          <w:tcPr>
            <w:tcW w:w="851"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单位</w:t>
            </w:r>
          </w:p>
        </w:tc>
        <w:tc>
          <w:tcPr>
            <w:tcW w:w="774"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数量</w:t>
            </w:r>
          </w:p>
        </w:tc>
        <w:tc>
          <w:tcPr>
            <w:tcW w:w="1352"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单价</w:t>
            </w:r>
            <w:r>
              <w:rPr>
                <w:rFonts w:hint="eastAsia" w:eastAsia="仿宋_GB2312"/>
                <w:kern w:val="2"/>
                <w:sz w:val="28"/>
                <w:szCs w:val="30"/>
              </w:rPr>
              <w:t>（元）</w:t>
            </w:r>
          </w:p>
        </w:tc>
        <w:tc>
          <w:tcPr>
            <w:tcW w:w="1418"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合价</w:t>
            </w:r>
            <w:r>
              <w:rPr>
                <w:rFonts w:hint="eastAsia" w:eastAsia="仿宋_GB2312"/>
                <w:kern w:val="2"/>
                <w:sz w:val="28"/>
                <w:szCs w:val="30"/>
              </w:rPr>
              <w:t>（元）</w:t>
            </w:r>
          </w:p>
        </w:tc>
        <w:tc>
          <w:tcPr>
            <w:tcW w:w="1701"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1984"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851"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774"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1352"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1418"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c>
          <w:tcPr>
            <w:tcW w:w="1701" w:type="dxa"/>
            <w:tcBorders>
              <w:top w:val="double" w:color="auto" w:sz="6" w:space="0"/>
              <w:bottom w:val="single" w:color="auto" w:sz="6" w:space="0"/>
            </w:tcBorders>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pPr>
              <w:pStyle w:val="3"/>
              <w:keepNext/>
              <w:spacing w:after="0" w:line="440" w:lineRule="exact"/>
              <w:ind w:left="63" w:right="63"/>
              <w:rPr>
                <w:rFonts w:eastAsia="仿宋_GB2312"/>
                <w:kern w:val="2"/>
                <w:sz w:val="28"/>
                <w:szCs w:val="30"/>
              </w:rPr>
            </w:pPr>
          </w:p>
        </w:tc>
        <w:tc>
          <w:tcPr>
            <w:tcW w:w="1984" w:type="dxa"/>
            <w:tcBorders>
              <w:top w:val="nil"/>
            </w:tcBorders>
          </w:tcPr>
          <w:p>
            <w:pPr>
              <w:pStyle w:val="3"/>
              <w:keepNext/>
              <w:spacing w:after="0" w:line="440" w:lineRule="exact"/>
              <w:ind w:left="63" w:right="63"/>
              <w:rPr>
                <w:rFonts w:eastAsia="仿宋_GB2312"/>
                <w:kern w:val="2"/>
                <w:sz w:val="28"/>
                <w:szCs w:val="30"/>
              </w:rPr>
            </w:pPr>
          </w:p>
        </w:tc>
        <w:tc>
          <w:tcPr>
            <w:tcW w:w="851" w:type="dxa"/>
            <w:tcBorders>
              <w:top w:val="nil"/>
            </w:tcBorders>
          </w:tcPr>
          <w:p>
            <w:pPr>
              <w:pStyle w:val="3"/>
              <w:keepNext/>
              <w:spacing w:after="0" w:line="440" w:lineRule="exact"/>
              <w:ind w:left="63" w:right="63"/>
              <w:rPr>
                <w:rFonts w:eastAsia="仿宋_GB2312"/>
                <w:kern w:val="2"/>
                <w:sz w:val="28"/>
                <w:szCs w:val="30"/>
              </w:rPr>
            </w:pPr>
          </w:p>
        </w:tc>
        <w:tc>
          <w:tcPr>
            <w:tcW w:w="774" w:type="dxa"/>
            <w:tcBorders>
              <w:top w:val="nil"/>
            </w:tcBorders>
          </w:tcPr>
          <w:p>
            <w:pPr>
              <w:pStyle w:val="3"/>
              <w:keepNext/>
              <w:spacing w:after="0" w:line="440" w:lineRule="exact"/>
              <w:ind w:left="63" w:right="63"/>
              <w:rPr>
                <w:rFonts w:eastAsia="仿宋_GB2312"/>
                <w:kern w:val="2"/>
                <w:sz w:val="28"/>
                <w:szCs w:val="30"/>
              </w:rPr>
            </w:pPr>
          </w:p>
        </w:tc>
        <w:tc>
          <w:tcPr>
            <w:tcW w:w="1352" w:type="dxa"/>
            <w:tcBorders>
              <w:top w:val="nil"/>
            </w:tcBorders>
          </w:tcPr>
          <w:p>
            <w:pPr>
              <w:pStyle w:val="3"/>
              <w:keepNext/>
              <w:spacing w:after="0" w:line="440" w:lineRule="exact"/>
              <w:ind w:left="63" w:right="63"/>
              <w:rPr>
                <w:rFonts w:eastAsia="仿宋_GB2312"/>
                <w:kern w:val="2"/>
                <w:sz w:val="28"/>
                <w:szCs w:val="30"/>
              </w:rPr>
            </w:pPr>
          </w:p>
        </w:tc>
        <w:tc>
          <w:tcPr>
            <w:tcW w:w="1418" w:type="dxa"/>
            <w:tcBorders>
              <w:top w:val="nil"/>
            </w:tcBorders>
          </w:tcPr>
          <w:p>
            <w:pPr>
              <w:pStyle w:val="3"/>
              <w:keepNext/>
              <w:spacing w:after="0" w:line="440" w:lineRule="exact"/>
              <w:ind w:left="63" w:right="63"/>
              <w:rPr>
                <w:rFonts w:eastAsia="仿宋_GB2312"/>
                <w:kern w:val="2"/>
                <w:sz w:val="28"/>
                <w:szCs w:val="30"/>
              </w:rPr>
            </w:pPr>
          </w:p>
        </w:tc>
        <w:tc>
          <w:tcPr>
            <w:tcW w:w="1701" w:type="dxa"/>
            <w:tcBorders>
              <w:top w:val="nil"/>
            </w:tcBorders>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3"/>
              <w:keepNext/>
              <w:spacing w:after="0" w:line="440" w:lineRule="exact"/>
              <w:ind w:left="63" w:right="63"/>
              <w:rPr>
                <w:rFonts w:eastAsia="仿宋_GB2312"/>
                <w:kern w:val="2"/>
                <w:sz w:val="28"/>
                <w:szCs w:val="30"/>
              </w:rPr>
            </w:pPr>
          </w:p>
        </w:tc>
        <w:tc>
          <w:tcPr>
            <w:tcW w:w="1984" w:type="dxa"/>
          </w:tcPr>
          <w:p>
            <w:pPr>
              <w:pStyle w:val="3"/>
              <w:keepNext/>
              <w:spacing w:after="0" w:line="440" w:lineRule="exact"/>
              <w:ind w:left="63" w:right="63"/>
              <w:rPr>
                <w:rFonts w:eastAsia="仿宋_GB2312"/>
                <w:kern w:val="2"/>
                <w:sz w:val="28"/>
                <w:szCs w:val="30"/>
              </w:rPr>
            </w:pPr>
          </w:p>
        </w:tc>
        <w:tc>
          <w:tcPr>
            <w:tcW w:w="851" w:type="dxa"/>
          </w:tcPr>
          <w:p>
            <w:pPr>
              <w:pStyle w:val="3"/>
              <w:keepNext/>
              <w:spacing w:after="0" w:line="440" w:lineRule="exact"/>
              <w:ind w:left="63" w:right="63"/>
              <w:rPr>
                <w:rFonts w:eastAsia="仿宋_GB2312"/>
                <w:kern w:val="2"/>
                <w:sz w:val="28"/>
                <w:szCs w:val="30"/>
              </w:rPr>
            </w:pPr>
          </w:p>
        </w:tc>
        <w:tc>
          <w:tcPr>
            <w:tcW w:w="774" w:type="dxa"/>
          </w:tcPr>
          <w:p>
            <w:pPr>
              <w:pStyle w:val="3"/>
              <w:keepNext/>
              <w:spacing w:after="0" w:line="440" w:lineRule="exact"/>
              <w:ind w:left="63" w:right="63"/>
              <w:rPr>
                <w:rFonts w:eastAsia="仿宋_GB2312"/>
                <w:kern w:val="2"/>
                <w:sz w:val="28"/>
                <w:szCs w:val="30"/>
              </w:rPr>
            </w:pPr>
          </w:p>
        </w:tc>
        <w:tc>
          <w:tcPr>
            <w:tcW w:w="1352" w:type="dxa"/>
          </w:tcPr>
          <w:p>
            <w:pPr>
              <w:pStyle w:val="3"/>
              <w:keepNext/>
              <w:spacing w:after="0" w:line="440" w:lineRule="exact"/>
              <w:ind w:left="63" w:right="63"/>
              <w:rPr>
                <w:rFonts w:eastAsia="仿宋_GB2312"/>
                <w:kern w:val="2"/>
                <w:sz w:val="28"/>
                <w:szCs w:val="30"/>
              </w:rPr>
            </w:pPr>
          </w:p>
        </w:tc>
        <w:tc>
          <w:tcPr>
            <w:tcW w:w="1418" w:type="dxa"/>
          </w:tcPr>
          <w:p>
            <w:pPr>
              <w:pStyle w:val="3"/>
              <w:keepNext/>
              <w:spacing w:after="0" w:line="440" w:lineRule="exact"/>
              <w:ind w:left="63" w:right="63"/>
              <w:rPr>
                <w:rFonts w:eastAsia="仿宋_GB2312"/>
                <w:kern w:val="2"/>
                <w:sz w:val="28"/>
                <w:szCs w:val="30"/>
              </w:rPr>
            </w:pPr>
          </w:p>
        </w:tc>
        <w:tc>
          <w:tcPr>
            <w:tcW w:w="1701" w:type="dxa"/>
          </w:tcPr>
          <w:p>
            <w:pPr>
              <w:pStyle w:val="3"/>
              <w:keepNext/>
              <w:spacing w:after="0" w:line="440" w:lineRule="exact"/>
              <w:ind w:left="63" w:right="63"/>
              <w:rPr>
                <w:rFonts w:eastAsia="仿宋_GB2312"/>
                <w:kern w:val="2"/>
                <w:sz w:val="28"/>
                <w:szCs w:val="30"/>
              </w:rPr>
            </w:pPr>
          </w:p>
        </w:tc>
      </w:tr>
    </w:tbl>
    <w:p>
      <w:pPr>
        <w:spacing w:line="440" w:lineRule="exact"/>
        <w:rPr>
          <w:rFonts w:eastAsia="仿宋_GB2312"/>
          <w:sz w:val="30"/>
          <w:szCs w:val="30"/>
        </w:rPr>
      </w:pPr>
    </w:p>
    <w:p>
      <w:pPr>
        <w:spacing w:before="120" w:beforeLines="50" w:after="120" w:afterLines="50" w:line="440" w:lineRule="exact"/>
        <w:jc w:val="center"/>
        <w:rPr>
          <w:rFonts w:eastAsia="黑体"/>
          <w:sz w:val="30"/>
          <w:szCs w:val="30"/>
        </w:rPr>
      </w:pPr>
      <w:r>
        <w:rPr>
          <w:rFonts w:eastAsia="仿宋_GB2312"/>
          <w:sz w:val="30"/>
          <w:szCs w:val="30"/>
        </w:rPr>
        <w:br w:type="page"/>
      </w:r>
      <w:r>
        <w:rPr>
          <w:rFonts w:eastAsia="黑体"/>
          <w:sz w:val="30"/>
          <w:szCs w:val="30"/>
        </w:rPr>
        <w:t>11-3：专业工程暂估价表</w:t>
      </w:r>
    </w:p>
    <w:tbl>
      <w:tblPr>
        <w:tblStyle w:val="46"/>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序号</w:t>
            </w:r>
          </w:p>
        </w:tc>
        <w:tc>
          <w:tcPr>
            <w:tcW w:w="1984"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专业工程名称</w:t>
            </w:r>
          </w:p>
        </w:tc>
        <w:tc>
          <w:tcPr>
            <w:tcW w:w="4678"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工程内容</w:t>
            </w:r>
          </w:p>
        </w:tc>
        <w:tc>
          <w:tcPr>
            <w:tcW w:w="1276" w:type="dxa"/>
            <w:tcBorders>
              <w:top w:val="single" w:color="auto" w:sz="12" w:space="0"/>
              <w:bottom w:val="double" w:color="auto" w:sz="6" w:space="0"/>
            </w:tcBorders>
          </w:tcPr>
          <w:p>
            <w:pPr>
              <w:pStyle w:val="3"/>
              <w:keepNext/>
              <w:spacing w:after="0" w:line="440" w:lineRule="exact"/>
              <w:ind w:left="63" w:right="63"/>
              <w:rPr>
                <w:rFonts w:eastAsia="仿宋_GB2312"/>
                <w:kern w:val="2"/>
                <w:sz w:val="28"/>
                <w:szCs w:val="30"/>
              </w:rPr>
            </w:pPr>
            <w:r>
              <w:rPr>
                <w:rFonts w:eastAsia="仿宋_GB2312"/>
                <w:kern w:val="2"/>
                <w:sz w:val="28"/>
                <w:szCs w:val="30"/>
              </w:rPr>
              <w:t>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pPr>
              <w:pStyle w:val="3"/>
              <w:keepNext/>
              <w:spacing w:after="0" w:line="440" w:lineRule="exact"/>
              <w:ind w:left="63" w:right="63"/>
              <w:rPr>
                <w:kern w:val="2"/>
                <w:sz w:val="21"/>
                <w:szCs w:val="21"/>
              </w:rPr>
            </w:pPr>
          </w:p>
        </w:tc>
        <w:tc>
          <w:tcPr>
            <w:tcW w:w="1984" w:type="dxa"/>
            <w:tcBorders>
              <w:top w:val="double" w:color="auto" w:sz="6" w:space="0"/>
              <w:bottom w:val="single" w:color="auto" w:sz="6" w:space="0"/>
            </w:tcBorders>
          </w:tcPr>
          <w:p>
            <w:pPr>
              <w:pStyle w:val="3"/>
              <w:keepNext/>
              <w:spacing w:after="0" w:line="440" w:lineRule="exact"/>
              <w:ind w:left="63" w:right="63"/>
              <w:rPr>
                <w:kern w:val="2"/>
                <w:sz w:val="21"/>
                <w:szCs w:val="21"/>
              </w:rPr>
            </w:pPr>
          </w:p>
        </w:tc>
        <w:tc>
          <w:tcPr>
            <w:tcW w:w="4678" w:type="dxa"/>
            <w:tcBorders>
              <w:top w:val="double" w:color="auto" w:sz="6" w:space="0"/>
              <w:bottom w:val="single" w:color="auto" w:sz="6" w:space="0"/>
            </w:tcBorders>
          </w:tcPr>
          <w:p>
            <w:pPr>
              <w:pStyle w:val="3"/>
              <w:keepNext/>
              <w:spacing w:after="0" w:line="440" w:lineRule="exact"/>
              <w:ind w:left="63" w:right="63"/>
              <w:rPr>
                <w:kern w:val="2"/>
                <w:sz w:val="21"/>
                <w:szCs w:val="21"/>
              </w:rPr>
            </w:pPr>
          </w:p>
        </w:tc>
        <w:tc>
          <w:tcPr>
            <w:tcW w:w="1276" w:type="dxa"/>
            <w:tcBorders>
              <w:top w:val="double" w:color="auto" w:sz="6" w:space="0"/>
              <w:bottom w:val="single" w:color="auto" w:sz="6" w:space="0"/>
            </w:tcBorders>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pPr>
              <w:pStyle w:val="3"/>
              <w:keepNext/>
              <w:spacing w:after="0" w:line="440" w:lineRule="exact"/>
              <w:ind w:left="63" w:right="63"/>
              <w:rPr>
                <w:kern w:val="2"/>
                <w:sz w:val="21"/>
                <w:szCs w:val="21"/>
              </w:rPr>
            </w:pPr>
          </w:p>
        </w:tc>
        <w:tc>
          <w:tcPr>
            <w:tcW w:w="1984" w:type="dxa"/>
            <w:tcBorders>
              <w:top w:val="nil"/>
            </w:tcBorders>
          </w:tcPr>
          <w:p>
            <w:pPr>
              <w:pStyle w:val="3"/>
              <w:keepNext/>
              <w:spacing w:after="0" w:line="440" w:lineRule="exact"/>
              <w:ind w:left="63" w:right="63"/>
              <w:rPr>
                <w:kern w:val="2"/>
                <w:sz w:val="21"/>
                <w:szCs w:val="21"/>
              </w:rPr>
            </w:pPr>
          </w:p>
        </w:tc>
        <w:tc>
          <w:tcPr>
            <w:tcW w:w="4678" w:type="dxa"/>
            <w:tcBorders>
              <w:top w:val="nil"/>
            </w:tcBorders>
          </w:tcPr>
          <w:p>
            <w:pPr>
              <w:pStyle w:val="3"/>
              <w:keepNext/>
              <w:spacing w:after="0" w:line="440" w:lineRule="exact"/>
              <w:ind w:left="63" w:right="63"/>
              <w:rPr>
                <w:kern w:val="2"/>
                <w:sz w:val="21"/>
                <w:szCs w:val="21"/>
              </w:rPr>
            </w:pPr>
          </w:p>
        </w:tc>
        <w:tc>
          <w:tcPr>
            <w:tcW w:w="1276" w:type="dxa"/>
            <w:tcBorders>
              <w:top w:val="nil"/>
            </w:tcBorders>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pPr>
              <w:pStyle w:val="3"/>
              <w:keepNext/>
              <w:spacing w:after="0" w:line="440" w:lineRule="exact"/>
              <w:ind w:left="63" w:right="63"/>
              <w:rPr>
                <w:kern w:val="2"/>
                <w:sz w:val="21"/>
                <w:szCs w:val="21"/>
              </w:rPr>
            </w:pPr>
          </w:p>
        </w:tc>
        <w:tc>
          <w:tcPr>
            <w:tcW w:w="1984" w:type="dxa"/>
            <w:tcBorders>
              <w:top w:val="nil"/>
            </w:tcBorders>
          </w:tcPr>
          <w:p>
            <w:pPr>
              <w:pStyle w:val="3"/>
              <w:keepNext/>
              <w:spacing w:after="0" w:line="440" w:lineRule="exact"/>
              <w:ind w:left="63" w:right="63"/>
              <w:rPr>
                <w:kern w:val="2"/>
                <w:sz w:val="21"/>
                <w:szCs w:val="21"/>
              </w:rPr>
            </w:pPr>
          </w:p>
        </w:tc>
        <w:tc>
          <w:tcPr>
            <w:tcW w:w="4678" w:type="dxa"/>
            <w:tcBorders>
              <w:top w:val="nil"/>
            </w:tcBorders>
          </w:tcPr>
          <w:p>
            <w:pPr>
              <w:pStyle w:val="3"/>
              <w:keepNext/>
              <w:spacing w:after="0" w:line="440" w:lineRule="exact"/>
              <w:ind w:left="63" w:right="63"/>
              <w:rPr>
                <w:kern w:val="2"/>
                <w:sz w:val="21"/>
                <w:szCs w:val="21"/>
              </w:rPr>
            </w:pPr>
          </w:p>
        </w:tc>
        <w:tc>
          <w:tcPr>
            <w:tcW w:w="1276" w:type="dxa"/>
            <w:tcBorders>
              <w:top w:val="nil"/>
            </w:tcBorders>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pPr>
              <w:pStyle w:val="3"/>
              <w:keepNext/>
              <w:spacing w:after="0" w:line="440" w:lineRule="exact"/>
              <w:ind w:left="63" w:right="63"/>
              <w:rPr>
                <w:kern w:val="2"/>
                <w:sz w:val="21"/>
                <w:szCs w:val="21"/>
              </w:rPr>
            </w:pPr>
          </w:p>
        </w:tc>
        <w:tc>
          <w:tcPr>
            <w:tcW w:w="1984" w:type="dxa"/>
          </w:tcPr>
          <w:p>
            <w:pPr>
              <w:pStyle w:val="3"/>
              <w:keepNext/>
              <w:spacing w:after="0" w:line="440" w:lineRule="exact"/>
              <w:ind w:left="63" w:right="63"/>
              <w:rPr>
                <w:kern w:val="2"/>
                <w:sz w:val="21"/>
                <w:szCs w:val="21"/>
              </w:rPr>
            </w:pPr>
          </w:p>
        </w:tc>
        <w:tc>
          <w:tcPr>
            <w:tcW w:w="4678" w:type="dxa"/>
          </w:tcPr>
          <w:p>
            <w:pPr>
              <w:pStyle w:val="3"/>
              <w:keepNext/>
              <w:spacing w:after="0" w:line="440" w:lineRule="exact"/>
              <w:ind w:left="63" w:right="63"/>
              <w:rPr>
                <w:kern w:val="2"/>
                <w:sz w:val="21"/>
                <w:szCs w:val="21"/>
              </w:rPr>
            </w:pPr>
          </w:p>
        </w:tc>
        <w:tc>
          <w:tcPr>
            <w:tcW w:w="1276" w:type="dxa"/>
          </w:tcPr>
          <w:p>
            <w:pPr>
              <w:pStyle w:val="3"/>
              <w:keepNext/>
              <w:spacing w:after="0" w:line="440" w:lineRule="exact"/>
              <w:ind w:left="63" w:right="63"/>
              <w:rPr>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pPr>
              <w:pStyle w:val="3"/>
              <w:keepNext/>
              <w:spacing w:after="0" w:line="440" w:lineRule="exact"/>
              <w:ind w:left="63" w:right="63"/>
              <w:rPr>
                <w:kern w:val="2"/>
                <w:sz w:val="21"/>
                <w:szCs w:val="21"/>
              </w:rPr>
            </w:pPr>
            <w:r>
              <w:rPr>
                <w:rFonts w:eastAsia="仿宋_GB2312"/>
                <w:kern w:val="2"/>
                <w:sz w:val="28"/>
                <w:szCs w:val="30"/>
              </w:rPr>
              <w:t>小计：</w:t>
            </w:r>
          </w:p>
        </w:tc>
      </w:tr>
    </w:tbl>
    <w:p/>
    <w:p>
      <w:pPr>
        <w:autoSpaceDE w:val="0"/>
        <w:autoSpaceDN w:val="0"/>
        <w:adjustRightInd w:val="0"/>
        <w:spacing w:line="400" w:lineRule="exact"/>
        <w:ind w:right="-34" w:rightChars="-16"/>
        <w:jc w:val="center"/>
        <w:outlineLvl w:val="0"/>
        <w:rPr>
          <w:rFonts w:ascii="宋体" w:hAnsi="宋体"/>
          <w:b/>
          <w:kern w:val="0"/>
          <w:sz w:val="36"/>
        </w:rPr>
      </w:pPr>
      <w:bookmarkStart w:id="1002" w:name="_Toc272772653"/>
      <w:bookmarkStart w:id="1003" w:name="_Toc9453"/>
      <w:bookmarkStart w:id="1004" w:name="_Toc9161"/>
    </w:p>
    <w:p>
      <w:pPr>
        <w:autoSpaceDE w:val="0"/>
        <w:autoSpaceDN w:val="0"/>
        <w:adjustRightInd w:val="0"/>
        <w:spacing w:line="400" w:lineRule="exact"/>
        <w:ind w:right="-34" w:rightChars="-16"/>
        <w:jc w:val="center"/>
        <w:outlineLvl w:val="0"/>
        <w:rPr>
          <w:rFonts w:ascii="宋体" w:hAnsi="宋体"/>
          <w:b/>
          <w:kern w:val="0"/>
          <w:sz w:val="36"/>
        </w:rPr>
      </w:pPr>
    </w:p>
    <w:p>
      <w:pPr>
        <w:autoSpaceDE w:val="0"/>
        <w:autoSpaceDN w:val="0"/>
        <w:adjustRightInd w:val="0"/>
        <w:spacing w:line="400" w:lineRule="exact"/>
        <w:ind w:right="-34" w:rightChars="-16"/>
        <w:jc w:val="center"/>
        <w:outlineLvl w:val="0"/>
        <w:rPr>
          <w:rFonts w:ascii="宋体" w:hAnsi="宋体"/>
          <w:b/>
          <w:kern w:val="0"/>
          <w:sz w:val="36"/>
        </w:rPr>
      </w:pPr>
    </w:p>
    <w:p>
      <w:pPr>
        <w:autoSpaceDE w:val="0"/>
        <w:autoSpaceDN w:val="0"/>
        <w:adjustRightInd w:val="0"/>
        <w:spacing w:line="400" w:lineRule="exact"/>
        <w:ind w:right="-34" w:rightChars="-16"/>
        <w:jc w:val="center"/>
        <w:outlineLvl w:val="0"/>
        <w:rPr>
          <w:rFonts w:ascii="黑体" w:hAnsi="新宋体" w:eastAsia="黑体"/>
          <w:sz w:val="36"/>
        </w:rPr>
      </w:pPr>
      <w:r>
        <w:rPr>
          <w:rFonts w:hint="eastAsia" w:ascii="宋体" w:hAnsi="宋体"/>
          <w:b/>
          <w:kern w:val="0"/>
          <w:sz w:val="36"/>
        </w:rPr>
        <w:t>第五章</w:t>
      </w:r>
      <w:r>
        <w:rPr>
          <w:rFonts w:hint="eastAsia" w:ascii="宋体" w:hAnsi="宋体"/>
          <w:b/>
          <w:kern w:val="0"/>
          <w:sz w:val="36"/>
          <w:lang w:val="en-US" w:eastAsia="zh-CN"/>
        </w:rPr>
        <w:t xml:space="preserve"> </w:t>
      </w:r>
      <w:r>
        <w:rPr>
          <w:rFonts w:hint="eastAsia" w:ascii="宋体" w:hAnsi="宋体"/>
          <w:b/>
          <w:kern w:val="0"/>
          <w:sz w:val="36"/>
        </w:rPr>
        <w:t>工程量清单（交易平台下载）</w:t>
      </w:r>
      <w:bookmarkEnd w:id="1002"/>
      <w:bookmarkEnd w:id="1003"/>
      <w:bookmarkEnd w:id="1004"/>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sz w:val="18"/>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outlineLvl w:val="0"/>
        <w:rPr>
          <w:rFonts w:ascii="宋体" w:hAnsi="宋体"/>
          <w:b/>
          <w:kern w:val="0"/>
          <w:sz w:val="44"/>
        </w:rPr>
      </w:pPr>
      <w:bookmarkStart w:id="1005" w:name="_Toc228591593"/>
      <w:bookmarkStart w:id="1006" w:name="_Toc228881233"/>
      <w:bookmarkStart w:id="1007" w:name="_Toc227492329"/>
      <w:bookmarkStart w:id="1008" w:name="_Toc227657571"/>
      <w:bookmarkStart w:id="1009" w:name="_Toc228589247"/>
      <w:bookmarkStart w:id="1010" w:name="_Toc228591741"/>
      <w:bookmarkStart w:id="1011" w:name="_Toc228337182"/>
      <w:bookmarkStart w:id="1012" w:name="_Toc214433972"/>
    </w:p>
    <w:p>
      <w:pPr>
        <w:autoSpaceDE w:val="0"/>
        <w:autoSpaceDN w:val="0"/>
        <w:adjustRightInd w:val="0"/>
        <w:spacing w:line="400" w:lineRule="exact"/>
        <w:ind w:right="-34" w:rightChars="-16"/>
        <w:jc w:val="center"/>
        <w:outlineLvl w:val="0"/>
        <w:rPr>
          <w:rFonts w:ascii="宋体" w:hAnsi="宋体"/>
          <w:b/>
          <w:kern w:val="0"/>
          <w:sz w:val="44"/>
        </w:rPr>
      </w:pPr>
    </w:p>
    <w:p>
      <w:pPr>
        <w:autoSpaceDE w:val="0"/>
        <w:autoSpaceDN w:val="0"/>
        <w:adjustRightInd w:val="0"/>
        <w:spacing w:line="400" w:lineRule="exact"/>
        <w:ind w:right="-34" w:rightChars="-16"/>
        <w:jc w:val="center"/>
        <w:outlineLvl w:val="0"/>
        <w:rPr>
          <w:rFonts w:ascii="宋体" w:hAnsi="宋体"/>
          <w:b/>
          <w:kern w:val="0"/>
          <w:sz w:val="44"/>
        </w:rPr>
      </w:pPr>
    </w:p>
    <w:p>
      <w:pPr>
        <w:autoSpaceDE w:val="0"/>
        <w:autoSpaceDN w:val="0"/>
        <w:adjustRightInd w:val="0"/>
        <w:spacing w:line="400" w:lineRule="exact"/>
        <w:ind w:right="-34" w:rightChars="-16"/>
        <w:jc w:val="center"/>
        <w:outlineLvl w:val="0"/>
        <w:rPr>
          <w:rFonts w:ascii="宋体" w:hAnsi="宋体"/>
          <w:b/>
          <w:kern w:val="0"/>
          <w:sz w:val="44"/>
        </w:rPr>
      </w:pPr>
    </w:p>
    <w:p>
      <w:pPr>
        <w:autoSpaceDE w:val="0"/>
        <w:autoSpaceDN w:val="0"/>
        <w:adjustRightInd w:val="0"/>
        <w:spacing w:line="400" w:lineRule="exact"/>
        <w:ind w:right="-34" w:rightChars="-16"/>
        <w:jc w:val="center"/>
        <w:outlineLvl w:val="0"/>
        <w:rPr>
          <w:rFonts w:ascii="宋体" w:hAnsi="宋体"/>
          <w:b/>
          <w:kern w:val="0"/>
          <w:sz w:val="44"/>
        </w:rPr>
      </w:pPr>
    </w:p>
    <w:p>
      <w:pPr>
        <w:autoSpaceDE w:val="0"/>
        <w:autoSpaceDN w:val="0"/>
        <w:adjustRightInd w:val="0"/>
        <w:spacing w:line="400" w:lineRule="exact"/>
        <w:ind w:right="-34" w:rightChars="-16"/>
        <w:jc w:val="center"/>
        <w:outlineLvl w:val="0"/>
        <w:rPr>
          <w:rFonts w:ascii="宋体" w:hAnsi="宋体"/>
          <w:b/>
          <w:kern w:val="0"/>
          <w:sz w:val="44"/>
        </w:rPr>
      </w:pPr>
    </w:p>
    <w:p>
      <w:pPr>
        <w:autoSpaceDE w:val="0"/>
        <w:autoSpaceDN w:val="0"/>
        <w:adjustRightInd w:val="0"/>
        <w:spacing w:line="400" w:lineRule="exact"/>
        <w:ind w:right="-34" w:rightChars="-16"/>
        <w:jc w:val="center"/>
        <w:outlineLvl w:val="0"/>
        <w:rPr>
          <w:rFonts w:ascii="宋体" w:hAnsi="宋体"/>
          <w:b/>
          <w:kern w:val="0"/>
          <w:sz w:val="44"/>
        </w:rPr>
      </w:pPr>
    </w:p>
    <w:p>
      <w:pPr>
        <w:autoSpaceDE w:val="0"/>
        <w:autoSpaceDN w:val="0"/>
        <w:adjustRightInd w:val="0"/>
        <w:spacing w:line="400" w:lineRule="exact"/>
        <w:ind w:right="-34" w:rightChars="-16"/>
        <w:jc w:val="center"/>
        <w:outlineLvl w:val="0"/>
        <w:rPr>
          <w:rFonts w:ascii="宋体" w:hAnsi="宋体"/>
          <w:b/>
          <w:kern w:val="0"/>
          <w:sz w:val="44"/>
        </w:rPr>
      </w:pPr>
    </w:p>
    <w:p>
      <w:pPr>
        <w:autoSpaceDE w:val="0"/>
        <w:autoSpaceDN w:val="0"/>
        <w:adjustRightInd w:val="0"/>
        <w:spacing w:line="400" w:lineRule="exact"/>
        <w:ind w:right="-34" w:rightChars="-16"/>
        <w:jc w:val="center"/>
        <w:outlineLvl w:val="0"/>
        <w:rPr>
          <w:rFonts w:ascii="宋体" w:hAnsi="宋体"/>
          <w:b/>
          <w:kern w:val="0"/>
          <w:sz w:val="44"/>
        </w:rPr>
      </w:pPr>
    </w:p>
    <w:bookmarkEnd w:id="1005"/>
    <w:bookmarkEnd w:id="1006"/>
    <w:bookmarkEnd w:id="1007"/>
    <w:bookmarkEnd w:id="1008"/>
    <w:bookmarkEnd w:id="1009"/>
    <w:bookmarkEnd w:id="1010"/>
    <w:bookmarkEnd w:id="1011"/>
    <w:bookmarkEnd w:id="1012"/>
    <w:p>
      <w:pPr>
        <w:autoSpaceDE w:val="0"/>
        <w:autoSpaceDN w:val="0"/>
        <w:adjustRightInd w:val="0"/>
        <w:spacing w:line="400" w:lineRule="exact"/>
        <w:ind w:right="-34" w:rightChars="-16"/>
        <w:jc w:val="left"/>
        <w:rPr>
          <w:rFonts w:ascii="宋体" w:hAnsi="宋体"/>
          <w:kern w:val="0"/>
          <w:sz w:val="18"/>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left"/>
        <w:rPr>
          <w:rFonts w:ascii="宋体" w:hAnsi="宋体"/>
          <w:kern w:val="0"/>
          <w:sz w:val="32"/>
        </w:rPr>
      </w:pPr>
    </w:p>
    <w:p>
      <w:pPr>
        <w:autoSpaceDE w:val="0"/>
        <w:autoSpaceDN w:val="0"/>
        <w:adjustRightInd w:val="0"/>
        <w:spacing w:line="400" w:lineRule="exact"/>
        <w:ind w:right="-34" w:rightChars="-16"/>
        <w:jc w:val="center"/>
        <w:outlineLvl w:val="0"/>
        <w:rPr>
          <w:rFonts w:ascii="宋体" w:hAnsi="宋体"/>
          <w:b/>
          <w:kern w:val="0"/>
          <w:sz w:val="44"/>
        </w:rPr>
      </w:pPr>
      <w:bookmarkStart w:id="1013" w:name="_Toc228591594"/>
      <w:bookmarkStart w:id="1014" w:name="_Toc228591742"/>
      <w:bookmarkStart w:id="1015" w:name="_Toc227657572"/>
      <w:bookmarkStart w:id="1016" w:name="_Toc228337183"/>
      <w:bookmarkStart w:id="1017" w:name="_Toc228881234"/>
      <w:bookmarkStart w:id="1018" w:name="_Toc227492330"/>
      <w:bookmarkStart w:id="1019" w:name="_Toc214433973"/>
      <w:bookmarkStart w:id="1020" w:name="_Toc228589248"/>
    </w:p>
    <w:p>
      <w:pPr>
        <w:autoSpaceDE w:val="0"/>
        <w:autoSpaceDN w:val="0"/>
        <w:adjustRightInd w:val="0"/>
        <w:spacing w:line="400" w:lineRule="exact"/>
        <w:ind w:right="-34" w:rightChars="-16"/>
        <w:jc w:val="center"/>
        <w:outlineLvl w:val="0"/>
        <w:rPr>
          <w:rFonts w:ascii="宋体" w:hAnsi="宋体"/>
          <w:b/>
          <w:kern w:val="0"/>
          <w:sz w:val="44"/>
        </w:rPr>
      </w:pPr>
    </w:p>
    <w:p>
      <w:pPr>
        <w:autoSpaceDE w:val="0"/>
        <w:autoSpaceDN w:val="0"/>
        <w:adjustRightInd w:val="0"/>
        <w:spacing w:line="400" w:lineRule="exact"/>
        <w:ind w:right="-34" w:rightChars="-16"/>
        <w:jc w:val="center"/>
        <w:outlineLvl w:val="0"/>
        <w:rPr>
          <w:rFonts w:ascii="宋体" w:hAnsi="宋体"/>
          <w:b/>
          <w:kern w:val="0"/>
          <w:sz w:val="36"/>
          <w:szCs w:val="36"/>
        </w:rPr>
      </w:pPr>
      <w:bookmarkStart w:id="1021" w:name="_Toc272772655"/>
      <w:bookmarkStart w:id="1022" w:name="_Toc24649"/>
      <w:bookmarkStart w:id="1023" w:name="_Toc6969"/>
      <w:r>
        <w:rPr>
          <w:rFonts w:hint="eastAsia" w:ascii="宋体" w:hAnsi="宋体"/>
          <w:b/>
          <w:kern w:val="0"/>
          <w:sz w:val="36"/>
          <w:szCs w:val="36"/>
        </w:rPr>
        <w:t>第六章 图纸</w:t>
      </w:r>
      <w:bookmarkEnd w:id="1013"/>
      <w:bookmarkEnd w:id="1014"/>
      <w:bookmarkEnd w:id="1015"/>
      <w:bookmarkEnd w:id="1016"/>
      <w:bookmarkEnd w:id="1017"/>
      <w:bookmarkEnd w:id="1018"/>
      <w:bookmarkEnd w:id="1019"/>
      <w:bookmarkEnd w:id="1020"/>
      <w:r>
        <w:rPr>
          <w:rFonts w:hint="eastAsia" w:ascii="宋体" w:hAnsi="宋体"/>
          <w:b/>
          <w:kern w:val="0"/>
          <w:sz w:val="36"/>
          <w:szCs w:val="36"/>
        </w:rPr>
        <w:t>（</w:t>
      </w:r>
      <w:r>
        <w:rPr>
          <w:rFonts w:hint="eastAsia" w:ascii="宋体" w:hAnsi="宋体"/>
          <w:b/>
          <w:kern w:val="0"/>
          <w:sz w:val="36"/>
        </w:rPr>
        <w:t>交易平台下载</w:t>
      </w:r>
      <w:r>
        <w:rPr>
          <w:rFonts w:hint="eastAsia" w:ascii="宋体" w:hAnsi="宋体"/>
          <w:b/>
          <w:kern w:val="0"/>
          <w:sz w:val="36"/>
          <w:szCs w:val="36"/>
        </w:rPr>
        <w:t>）</w:t>
      </w:r>
      <w:bookmarkEnd w:id="1021"/>
      <w:bookmarkEnd w:id="1022"/>
      <w:bookmarkEnd w:id="1023"/>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outlineLvl w:val="0"/>
        <w:rPr>
          <w:rFonts w:ascii="宋体" w:hAnsi="宋体"/>
          <w:b/>
          <w:kern w:val="0"/>
          <w:sz w:val="44"/>
        </w:rPr>
      </w:pPr>
      <w:bookmarkStart w:id="1024" w:name="_Toc228337186"/>
      <w:bookmarkStart w:id="1025" w:name="_Toc227657575"/>
      <w:bookmarkStart w:id="1026" w:name="_Toc228591597"/>
      <w:bookmarkStart w:id="1027" w:name="_Toc227492333"/>
      <w:bookmarkStart w:id="1028" w:name="_Toc272772657"/>
      <w:bookmarkStart w:id="1029" w:name="_Toc228589251"/>
      <w:bookmarkStart w:id="1030" w:name="_Toc228591745"/>
      <w:bookmarkStart w:id="1031" w:name="_Toc228881237"/>
      <w:bookmarkStart w:id="1032" w:name="_Toc214433977"/>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pStyle w:val="29"/>
        <w:rPr>
          <w:rFonts w:ascii="宋体" w:hAnsi="宋体"/>
          <w:kern w:val="0"/>
          <w:sz w:val="32"/>
        </w:rPr>
      </w:pPr>
    </w:p>
    <w:p>
      <w:pPr>
        <w:pStyle w:val="29"/>
        <w:rPr>
          <w:rFonts w:ascii="宋体" w:hAnsi="宋体"/>
          <w:kern w:val="0"/>
          <w:sz w:val="32"/>
        </w:rPr>
      </w:pPr>
    </w:p>
    <w:p>
      <w:pPr>
        <w:pStyle w:val="29"/>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rPr>
          <w:rFonts w:ascii="宋体" w:hAnsi="宋体"/>
          <w:kern w:val="0"/>
          <w:sz w:val="32"/>
        </w:rPr>
      </w:pPr>
    </w:p>
    <w:p>
      <w:pPr>
        <w:autoSpaceDE w:val="0"/>
        <w:autoSpaceDN w:val="0"/>
        <w:adjustRightInd w:val="0"/>
        <w:spacing w:line="400" w:lineRule="exact"/>
        <w:ind w:right="-34" w:rightChars="-16"/>
        <w:jc w:val="center"/>
        <w:outlineLvl w:val="0"/>
        <w:rPr>
          <w:rFonts w:ascii="宋体" w:hAnsi="宋体"/>
          <w:b/>
          <w:kern w:val="0"/>
          <w:sz w:val="36"/>
          <w:szCs w:val="36"/>
        </w:rPr>
      </w:pPr>
      <w:bookmarkStart w:id="1033" w:name="_Toc5232"/>
      <w:bookmarkStart w:id="1034" w:name="_Toc20418"/>
      <w:r>
        <w:rPr>
          <w:rFonts w:hint="eastAsia" w:ascii="宋体" w:hAnsi="宋体"/>
          <w:b/>
          <w:kern w:val="0"/>
          <w:sz w:val="36"/>
          <w:szCs w:val="36"/>
        </w:rPr>
        <w:t>第七章</w:t>
      </w:r>
      <w:r>
        <w:rPr>
          <w:rFonts w:hint="eastAsia" w:ascii="宋体" w:hAnsi="宋体"/>
          <w:b/>
          <w:kern w:val="0"/>
          <w:sz w:val="36"/>
          <w:szCs w:val="36"/>
          <w:lang w:val="en-US" w:eastAsia="zh-CN"/>
        </w:rPr>
        <w:t xml:space="preserve"> </w:t>
      </w:r>
      <w:r>
        <w:rPr>
          <w:rFonts w:hint="eastAsia" w:ascii="宋体" w:hAnsi="宋体"/>
          <w:b/>
          <w:kern w:val="0"/>
          <w:sz w:val="36"/>
          <w:szCs w:val="36"/>
        </w:rPr>
        <w:t>技术标准和要求</w:t>
      </w:r>
      <w:bookmarkEnd w:id="1024"/>
      <w:bookmarkEnd w:id="1025"/>
      <w:bookmarkEnd w:id="1026"/>
      <w:bookmarkEnd w:id="1027"/>
      <w:bookmarkEnd w:id="1028"/>
      <w:bookmarkEnd w:id="1029"/>
      <w:bookmarkEnd w:id="1030"/>
      <w:bookmarkEnd w:id="1031"/>
      <w:bookmarkEnd w:id="1032"/>
      <w:bookmarkEnd w:id="1033"/>
      <w:bookmarkEnd w:id="1034"/>
      <w:bookmarkStart w:id="1035" w:name="_Toc214433978"/>
      <w:bookmarkStart w:id="1036" w:name="_Toc227492334"/>
      <w:bookmarkStart w:id="1037" w:name="_Toc229892149"/>
      <w:bookmarkStart w:id="1038" w:name="_Toc228337187"/>
      <w:bookmarkStart w:id="1039" w:name="_Toc228591746"/>
      <w:bookmarkStart w:id="1040" w:name="_Toc228591598"/>
      <w:bookmarkStart w:id="1041" w:name="_Toc228881238"/>
      <w:bookmarkStart w:id="1042" w:name="_Toc228589252"/>
      <w:bookmarkStart w:id="1043" w:name="_Toc227657576"/>
      <w:bookmarkStart w:id="1044" w:name="_Toc272772658"/>
    </w:p>
    <w:bookmarkEnd w:id="1035"/>
    <w:bookmarkEnd w:id="1036"/>
    <w:bookmarkEnd w:id="1037"/>
    <w:bookmarkEnd w:id="1038"/>
    <w:bookmarkEnd w:id="1039"/>
    <w:bookmarkEnd w:id="1040"/>
    <w:bookmarkEnd w:id="1041"/>
    <w:bookmarkEnd w:id="1042"/>
    <w:bookmarkEnd w:id="1043"/>
    <w:bookmarkEnd w:id="1044"/>
    <w:p>
      <w:pPr>
        <w:ind w:left="3360"/>
        <w:rPr>
          <w:sz w:val="32"/>
        </w:rPr>
      </w:pPr>
      <w:bookmarkStart w:id="1045" w:name="_Hlk106188120"/>
    </w:p>
    <w:p>
      <w:pPr>
        <w:pStyle w:val="98"/>
      </w:pPr>
    </w:p>
    <w:p>
      <w:pPr>
        <w:spacing w:line="360" w:lineRule="auto"/>
        <w:ind w:firstLine="420" w:firstLineChars="200"/>
        <w:rPr>
          <w:rFonts w:ascii="宋体" w:hAnsi="宋体"/>
          <w:szCs w:val="21"/>
        </w:rPr>
      </w:pPr>
      <w:r>
        <w:rPr>
          <w:rFonts w:hint="eastAsia" w:ascii="宋体" w:hAnsi="宋体"/>
          <w:szCs w:val="21"/>
        </w:rPr>
        <w:t>（详见施工图纸，施工图未尽技术标准和要求，按最新现行技术标准和要求执行）</w:t>
      </w:r>
    </w:p>
    <w:p>
      <w:pPr>
        <w:spacing w:line="360" w:lineRule="auto"/>
        <w:ind w:firstLine="420" w:firstLineChars="200"/>
        <w:rPr>
          <w:rFonts w:ascii="宋体" w:hAnsi="宋体"/>
          <w:szCs w:val="21"/>
        </w:rPr>
      </w:pPr>
      <w:bookmarkStart w:id="1046" w:name="_Toc332101936"/>
      <w:bookmarkStart w:id="1047" w:name="_Toc302725369"/>
      <w:bookmarkStart w:id="1048" w:name="_Toc269287043"/>
      <w:bookmarkStart w:id="1049" w:name="_Toc377059260"/>
      <w:r>
        <w:rPr>
          <w:rFonts w:hint="eastAsia" w:ascii="宋体" w:hAnsi="宋体"/>
          <w:szCs w:val="21"/>
        </w:rPr>
        <w:t>一、依据设计施工图纸和技术文件要求，本工程项目的材料、设备、施工必须达到以下现行中华人民共和国及省、市、行业的一切有关法律、规范的要求，以国家最新发布的规范为准。</w:t>
      </w:r>
    </w:p>
    <w:p>
      <w:pPr>
        <w:spacing w:line="360" w:lineRule="auto"/>
        <w:ind w:firstLine="420" w:firstLineChars="200"/>
        <w:rPr>
          <w:rFonts w:ascii="宋体" w:hAnsi="宋体"/>
          <w:szCs w:val="21"/>
        </w:rPr>
      </w:pPr>
      <w:r>
        <w:rPr>
          <w:rFonts w:hint="eastAsia" w:ascii="宋体" w:hAnsi="宋体"/>
          <w:szCs w:val="21"/>
        </w:rPr>
        <w:t>二、工程技术要求</w:t>
      </w:r>
    </w:p>
    <w:p>
      <w:pPr>
        <w:spacing w:line="360" w:lineRule="auto"/>
        <w:ind w:firstLine="420" w:firstLineChars="200"/>
        <w:rPr>
          <w:rFonts w:ascii="宋体" w:hAnsi="宋体"/>
          <w:szCs w:val="21"/>
        </w:rPr>
      </w:pPr>
      <w:r>
        <w:rPr>
          <w:rFonts w:hint="eastAsia" w:ascii="宋体" w:hAnsi="宋体"/>
          <w:szCs w:val="21"/>
        </w:rPr>
        <w:t>1、必须按照工程设计图纸和施工技术标准进行施工。</w:t>
      </w:r>
    </w:p>
    <w:p>
      <w:pPr>
        <w:spacing w:line="360" w:lineRule="auto"/>
        <w:ind w:firstLine="420" w:firstLineChars="200"/>
        <w:rPr>
          <w:rFonts w:ascii="宋体" w:hAnsi="宋体"/>
          <w:szCs w:val="21"/>
        </w:rPr>
      </w:pPr>
      <w:r>
        <w:rPr>
          <w:rFonts w:hint="eastAsia" w:ascii="宋体" w:hAnsi="宋体"/>
          <w:szCs w:val="21"/>
        </w:rPr>
        <w:t>2、采用的材料和设备必须符合国家强制性标准规定。</w:t>
      </w:r>
    </w:p>
    <w:p>
      <w:pPr>
        <w:spacing w:line="360" w:lineRule="auto"/>
        <w:ind w:firstLine="420" w:firstLineChars="200"/>
        <w:rPr>
          <w:rFonts w:ascii="宋体" w:hAnsi="宋体"/>
          <w:szCs w:val="21"/>
        </w:rPr>
      </w:pPr>
      <w:r>
        <w:rPr>
          <w:rFonts w:hint="eastAsia" w:ascii="宋体" w:hAnsi="宋体"/>
          <w:szCs w:val="21"/>
        </w:rPr>
        <w:t>3、工程材料要进行检验。未经检验或检验不合格的，不得使用。</w:t>
      </w:r>
    </w:p>
    <w:p>
      <w:pPr>
        <w:spacing w:line="360" w:lineRule="auto"/>
        <w:ind w:firstLine="420" w:firstLineChars="200"/>
        <w:rPr>
          <w:rFonts w:ascii="宋体" w:hAnsi="宋体"/>
          <w:szCs w:val="21"/>
        </w:rPr>
      </w:pPr>
      <w:r>
        <w:rPr>
          <w:rFonts w:hint="eastAsia" w:ascii="宋体" w:hAnsi="宋体"/>
          <w:szCs w:val="21"/>
        </w:rPr>
        <w:t>三、其他与本工程有关的现行工程技术、质量评定标准、施工验收标准及规范。</w:t>
      </w:r>
    </w:p>
    <w:bookmarkEnd w:id="1045"/>
    <w:bookmarkEnd w:id="1046"/>
    <w:bookmarkEnd w:id="1047"/>
    <w:bookmarkEnd w:id="1048"/>
    <w:bookmarkEnd w:id="1049"/>
    <w:p>
      <w:pPr>
        <w:spacing w:line="400" w:lineRule="exact"/>
        <w:ind w:right="-34" w:rightChars="-16"/>
        <w:sectPr>
          <w:pgSz w:w="11910" w:h="16850"/>
          <w:pgMar w:top="1580" w:right="1420" w:bottom="1340" w:left="1440" w:header="0" w:footer="1141" w:gutter="0"/>
          <w:pgBorders>
            <w:top w:val="none" w:sz="0" w:space="0"/>
            <w:left w:val="none" w:sz="0" w:space="0"/>
            <w:bottom w:val="none" w:sz="0" w:space="0"/>
            <w:right w:val="none" w:sz="0" w:space="0"/>
          </w:pgBorders>
          <w:pgNumType w:fmt="decimal"/>
          <w:cols w:space="720" w:num="1"/>
        </w:sectPr>
      </w:pPr>
    </w:p>
    <w:p>
      <w:pPr>
        <w:autoSpaceDE w:val="0"/>
        <w:autoSpaceDN w:val="0"/>
        <w:adjustRightInd w:val="0"/>
        <w:spacing w:line="400" w:lineRule="exact"/>
        <w:ind w:right="-34" w:rightChars="-16" w:firstLine="723" w:firstLineChars="200"/>
        <w:jc w:val="center"/>
        <w:rPr>
          <w:rFonts w:hint="default" w:ascii="宋体" w:hAnsi="宋体" w:eastAsia="宋体" w:cs="宋体"/>
          <w:color w:val="auto"/>
          <w:kern w:val="0"/>
          <w:sz w:val="28"/>
          <w:u w:val="none"/>
          <w:lang w:val="en-US" w:eastAsia="zh-CN"/>
        </w:rPr>
      </w:pPr>
      <w:bookmarkStart w:id="1050" w:name="_Toc227657578"/>
      <w:bookmarkStart w:id="1051" w:name="_Toc227492336"/>
      <w:bookmarkStart w:id="1052" w:name="_Toc228591748"/>
      <w:bookmarkStart w:id="1053" w:name="_Toc10087"/>
      <w:bookmarkStart w:id="1054" w:name="_Toc228589254"/>
      <w:bookmarkStart w:id="1055" w:name="_Toc214433980"/>
      <w:bookmarkStart w:id="1056" w:name="_Toc228881240"/>
      <w:bookmarkStart w:id="1057" w:name="_Toc228337189"/>
      <w:bookmarkStart w:id="1058" w:name="_Toc20527"/>
      <w:bookmarkStart w:id="1059" w:name="_Toc272772660"/>
      <w:bookmarkStart w:id="1060" w:name="_Toc228591600"/>
      <w:r>
        <w:rPr>
          <w:rFonts w:hint="eastAsia" w:ascii="宋体" w:hAnsi="宋体"/>
          <w:b/>
          <w:kern w:val="0"/>
          <w:sz w:val="36"/>
          <w:szCs w:val="36"/>
        </w:rPr>
        <w:t>第八章</w:t>
      </w:r>
      <w:r>
        <w:rPr>
          <w:rFonts w:hint="eastAsia" w:ascii="宋体" w:hAnsi="宋体"/>
          <w:b/>
          <w:kern w:val="0"/>
          <w:sz w:val="36"/>
          <w:szCs w:val="36"/>
          <w:lang w:val="en-US" w:eastAsia="zh-CN"/>
        </w:rPr>
        <w:t xml:space="preserve"> </w:t>
      </w:r>
      <w:r>
        <w:rPr>
          <w:rFonts w:hint="eastAsia" w:ascii="宋体" w:hAnsi="宋体"/>
          <w:b/>
          <w:kern w:val="0"/>
          <w:sz w:val="36"/>
          <w:szCs w:val="36"/>
        </w:rPr>
        <w:t>投标文件格式</w:t>
      </w:r>
      <w:bookmarkEnd w:id="1050"/>
      <w:bookmarkEnd w:id="1051"/>
      <w:bookmarkEnd w:id="1052"/>
      <w:bookmarkEnd w:id="1053"/>
      <w:bookmarkEnd w:id="1054"/>
      <w:bookmarkEnd w:id="1055"/>
      <w:bookmarkEnd w:id="1056"/>
      <w:bookmarkEnd w:id="1057"/>
      <w:bookmarkEnd w:id="1058"/>
      <w:bookmarkEnd w:id="1059"/>
      <w:bookmarkEnd w:id="1060"/>
      <w:r>
        <w:rPr>
          <w:rFonts w:ascii="宋体" w:hAnsi="宋体"/>
          <w:b/>
          <w:kern w:val="0"/>
          <w:sz w:val="44"/>
        </w:rPr>
        <w:br w:type="page"/>
      </w:r>
      <w:r>
        <w:rPr>
          <w:rFonts w:hint="eastAsia" w:ascii="宋体" w:hAnsi="宋体" w:eastAsia="宋体" w:cs="宋体"/>
          <w:color w:val="auto"/>
          <w:sz w:val="31"/>
        </w:rPr>
        <w:t xml:space="preserve"> </w:t>
      </w:r>
      <w:r>
        <w:rPr>
          <w:rFonts w:hint="eastAsia" w:ascii="宋体" w:hAnsi="宋体" w:eastAsia="宋体" w:cs="宋体"/>
          <w:color w:val="auto"/>
          <w:sz w:val="31"/>
          <w:u w:val="single"/>
        </w:rPr>
        <w:t xml:space="preserve">          </w:t>
      </w:r>
      <w:r>
        <w:rPr>
          <w:rFonts w:hint="eastAsia" w:ascii="宋体" w:hAnsi="宋体" w:eastAsia="宋体" w:cs="宋体"/>
          <w:color w:val="auto"/>
          <w:sz w:val="31"/>
          <w:u w:val="single"/>
          <w:lang w:val="en-US" w:eastAsia="zh-CN"/>
        </w:rPr>
        <w:t xml:space="preserve">          </w:t>
      </w:r>
      <w:r>
        <w:rPr>
          <w:rFonts w:hint="eastAsia" w:ascii="宋体" w:hAnsi="宋体" w:eastAsia="宋体" w:cs="宋体"/>
          <w:color w:val="auto"/>
          <w:sz w:val="31"/>
          <w:u w:val="single"/>
        </w:rPr>
        <w:t xml:space="preserve">   </w:t>
      </w:r>
      <w:r>
        <w:rPr>
          <w:rFonts w:hint="eastAsia" w:ascii="宋体" w:hAnsi="宋体" w:eastAsia="宋体" w:cs="宋体"/>
          <w:color w:val="auto"/>
          <w:sz w:val="31"/>
        </w:rPr>
        <w:t>（项目名称）</w:t>
      </w:r>
      <w:r>
        <w:rPr>
          <w:rFonts w:hint="eastAsia" w:ascii="宋体" w:hAnsi="宋体" w:cs="宋体"/>
          <w:color w:val="auto"/>
          <w:sz w:val="31"/>
          <w:u w:val="single"/>
          <w:lang w:val="en-US" w:eastAsia="zh-CN"/>
        </w:rPr>
        <w:t xml:space="preserve">    </w:t>
      </w:r>
      <w:r>
        <w:rPr>
          <w:rFonts w:hint="eastAsia" w:ascii="宋体" w:hAnsi="宋体" w:cs="宋体"/>
          <w:color w:val="auto"/>
          <w:sz w:val="31"/>
          <w:u w:val="none"/>
          <w:lang w:val="en-US" w:eastAsia="zh-CN"/>
        </w:rPr>
        <w:t>标段</w:t>
      </w:r>
    </w:p>
    <w:p>
      <w:pPr>
        <w:autoSpaceDE w:val="0"/>
        <w:autoSpaceDN w:val="0"/>
        <w:adjustRightInd w:val="0"/>
        <w:spacing w:line="400" w:lineRule="exact"/>
        <w:ind w:right="-34" w:rightChars="-16"/>
        <w:jc w:val="center"/>
        <w:outlineLvl w:val="0"/>
        <w:rPr>
          <w:rFonts w:ascii="宋体" w:hAnsi="宋体"/>
          <w:kern w:val="0"/>
          <w:sz w:val="28"/>
        </w:rPr>
      </w:pPr>
    </w:p>
    <w:p>
      <w:pPr>
        <w:autoSpaceDE w:val="0"/>
        <w:autoSpaceDN w:val="0"/>
        <w:adjustRightInd w:val="0"/>
        <w:spacing w:line="400" w:lineRule="exact"/>
        <w:ind w:right="-34" w:rightChars="-16" w:firstLine="2520" w:firstLineChars="900"/>
        <w:jc w:val="left"/>
        <w:rPr>
          <w:rFonts w:ascii="宋体" w:hAnsi="宋体"/>
          <w:kern w:val="0"/>
          <w:sz w:val="28"/>
        </w:rPr>
      </w:pPr>
    </w:p>
    <w:p>
      <w:pPr>
        <w:autoSpaceDE w:val="0"/>
        <w:autoSpaceDN w:val="0"/>
        <w:adjustRightInd w:val="0"/>
        <w:spacing w:line="400" w:lineRule="exact"/>
        <w:ind w:right="-34" w:rightChars="-16" w:firstLine="2520" w:firstLineChars="900"/>
        <w:jc w:val="left"/>
        <w:rPr>
          <w:rFonts w:ascii="宋体" w:hAnsi="宋体"/>
          <w:kern w:val="0"/>
          <w:sz w:val="28"/>
        </w:rPr>
      </w:pPr>
    </w:p>
    <w:p>
      <w:pPr>
        <w:autoSpaceDE w:val="0"/>
        <w:autoSpaceDN w:val="0"/>
        <w:adjustRightInd w:val="0"/>
        <w:spacing w:line="400" w:lineRule="exact"/>
        <w:ind w:right="-34" w:rightChars="-16"/>
        <w:jc w:val="center"/>
        <w:rPr>
          <w:rFonts w:ascii="新宋体" w:hAnsi="新宋体" w:eastAsia="新宋体"/>
          <w:b/>
          <w:spacing w:val="60"/>
          <w:kern w:val="0"/>
          <w:sz w:val="70"/>
        </w:rPr>
      </w:pPr>
    </w:p>
    <w:p>
      <w:pPr>
        <w:autoSpaceDE w:val="0"/>
        <w:autoSpaceDN w:val="0"/>
        <w:adjustRightInd w:val="0"/>
        <w:spacing w:line="400" w:lineRule="exact"/>
        <w:ind w:right="-34" w:rightChars="-16"/>
        <w:jc w:val="center"/>
        <w:rPr>
          <w:rFonts w:ascii="新宋体" w:hAnsi="新宋体" w:eastAsia="新宋体"/>
          <w:b/>
          <w:spacing w:val="60"/>
          <w:kern w:val="0"/>
          <w:sz w:val="70"/>
        </w:rPr>
      </w:pPr>
    </w:p>
    <w:p>
      <w:pPr>
        <w:autoSpaceDE w:val="0"/>
        <w:autoSpaceDN w:val="0"/>
        <w:adjustRightInd w:val="0"/>
        <w:spacing w:line="400" w:lineRule="exact"/>
        <w:ind w:right="-34" w:rightChars="-16"/>
        <w:jc w:val="center"/>
        <w:rPr>
          <w:rFonts w:ascii="新宋体" w:hAnsi="新宋体" w:eastAsia="新宋体"/>
          <w:b/>
          <w:spacing w:val="60"/>
          <w:kern w:val="0"/>
          <w:sz w:val="70"/>
        </w:rPr>
      </w:pPr>
    </w:p>
    <w:p>
      <w:pPr>
        <w:autoSpaceDE w:val="0"/>
        <w:autoSpaceDN w:val="0"/>
        <w:adjustRightInd w:val="0"/>
        <w:spacing w:line="400" w:lineRule="exact"/>
        <w:ind w:right="-34" w:rightChars="-16"/>
        <w:jc w:val="center"/>
        <w:rPr>
          <w:rFonts w:ascii="新宋体" w:hAnsi="新宋体" w:eastAsia="新宋体"/>
          <w:b/>
          <w:spacing w:val="60"/>
          <w:kern w:val="0"/>
          <w:sz w:val="70"/>
        </w:rPr>
      </w:pPr>
    </w:p>
    <w:p>
      <w:pPr>
        <w:autoSpaceDE w:val="0"/>
        <w:autoSpaceDN w:val="0"/>
        <w:adjustRightInd w:val="0"/>
        <w:spacing w:line="400" w:lineRule="exact"/>
        <w:ind w:right="-34" w:rightChars="-16"/>
        <w:jc w:val="center"/>
        <w:rPr>
          <w:rFonts w:ascii="新宋体" w:hAnsi="新宋体" w:eastAsia="新宋体"/>
          <w:b/>
          <w:spacing w:val="60"/>
          <w:kern w:val="0"/>
          <w:sz w:val="70"/>
        </w:rPr>
      </w:pPr>
    </w:p>
    <w:p>
      <w:pPr>
        <w:autoSpaceDE w:val="0"/>
        <w:autoSpaceDN w:val="0"/>
        <w:adjustRightInd w:val="0"/>
        <w:spacing w:before="240" w:beforeLines="100" w:after="240" w:afterLines="100" w:line="400" w:lineRule="exact"/>
        <w:ind w:right="-34" w:rightChars="-16"/>
        <w:jc w:val="center"/>
        <w:rPr>
          <w:rFonts w:ascii="新宋体" w:hAnsi="新宋体" w:eastAsia="新宋体"/>
          <w:b/>
          <w:spacing w:val="60"/>
          <w:kern w:val="0"/>
          <w:sz w:val="70"/>
        </w:rPr>
      </w:pPr>
      <w:r>
        <w:rPr>
          <w:rFonts w:hint="eastAsia" w:ascii="新宋体" w:hAnsi="新宋体" w:eastAsia="新宋体"/>
          <w:b/>
          <w:spacing w:val="60"/>
          <w:kern w:val="0"/>
          <w:sz w:val="70"/>
        </w:rPr>
        <w:t>投标文件</w:t>
      </w:r>
    </w:p>
    <w:p>
      <w:pPr>
        <w:autoSpaceDE w:val="0"/>
        <w:autoSpaceDN w:val="0"/>
        <w:adjustRightInd w:val="0"/>
        <w:spacing w:line="400" w:lineRule="exact"/>
        <w:ind w:right="-34" w:rightChars="-16"/>
        <w:jc w:val="center"/>
        <w:rPr>
          <w:rFonts w:ascii="宋体" w:hAnsi="宋体"/>
          <w:kern w:val="0"/>
          <w:sz w:val="44"/>
        </w:rPr>
      </w:pPr>
    </w:p>
    <w:p>
      <w:pPr>
        <w:autoSpaceDE w:val="0"/>
        <w:autoSpaceDN w:val="0"/>
        <w:adjustRightInd w:val="0"/>
        <w:spacing w:line="400" w:lineRule="exact"/>
        <w:ind w:right="-34" w:rightChars="-16" w:firstLine="3220" w:firstLineChars="1150"/>
        <w:rPr>
          <w:rFonts w:hint="eastAsia" w:ascii="宋体" w:hAnsi="宋体" w:eastAsia="宋体" w:cs="宋体"/>
          <w:color w:val="auto"/>
          <w:kern w:val="0"/>
          <w:sz w:val="32"/>
          <w:szCs w:val="32"/>
          <w:u w:val="single"/>
        </w:rPr>
      </w:pPr>
      <w:bookmarkStart w:id="1061" w:name="_Toc228591749"/>
      <w:bookmarkStart w:id="1062" w:name="_Toc228337190"/>
      <w:bookmarkStart w:id="1063" w:name="_Toc227657579"/>
      <w:bookmarkStart w:id="1064" w:name="_Toc228591601"/>
      <w:bookmarkStart w:id="1065" w:name="_Toc272772661"/>
      <w:bookmarkStart w:id="1066" w:name="_Toc228589255"/>
      <w:bookmarkStart w:id="1067" w:name="_Toc227492337"/>
      <w:bookmarkStart w:id="1068" w:name="_Toc214433981"/>
      <w:bookmarkStart w:id="1069" w:name="_Toc228881241"/>
      <w:r>
        <w:rPr>
          <w:rFonts w:hint="eastAsia" w:ascii="宋体" w:hAnsi="宋体" w:eastAsia="宋体" w:cs="宋体"/>
          <w:color w:val="auto"/>
          <w:kern w:val="0"/>
          <w:sz w:val="28"/>
          <w:szCs w:val="28"/>
        </w:rPr>
        <w:t>项目编号</w:t>
      </w:r>
      <w:r>
        <w:rPr>
          <w:rFonts w:hint="eastAsia" w:ascii="宋体" w:hAnsi="宋体" w:eastAsia="宋体" w:cs="宋体"/>
          <w:color w:val="auto"/>
          <w:kern w:val="0"/>
          <w:sz w:val="28"/>
          <w:szCs w:val="28"/>
          <w:u w:val="single"/>
        </w:rPr>
        <w:t xml:space="preserve">         </w:t>
      </w:r>
    </w:p>
    <w:p>
      <w:pPr>
        <w:autoSpaceDE w:val="0"/>
        <w:autoSpaceDN w:val="0"/>
        <w:adjustRightInd w:val="0"/>
        <w:spacing w:line="400" w:lineRule="exact"/>
        <w:ind w:right="-34" w:rightChars="-16"/>
        <w:jc w:val="center"/>
        <w:rPr>
          <w:rFonts w:hint="eastAsia" w:ascii="宋体" w:hAnsi="宋体" w:eastAsia="宋体" w:cs="宋体"/>
          <w:color w:val="auto"/>
          <w:kern w:val="0"/>
          <w:sz w:val="44"/>
        </w:rPr>
      </w:pPr>
    </w:p>
    <w:p>
      <w:pPr>
        <w:autoSpaceDE w:val="0"/>
        <w:autoSpaceDN w:val="0"/>
        <w:adjustRightInd w:val="0"/>
        <w:spacing w:line="400" w:lineRule="exact"/>
        <w:ind w:right="-34" w:rightChars="-16"/>
        <w:rPr>
          <w:rFonts w:hint="eastAsia" w:ascii="宋体" w:hAnsi="宋体" w:eastAsia="宋体" w:cs="宋体"/>
          <w:color w:val="auto"/>
          <w:kern w:val="0"/>
          <w:sz w:val="44"/>
        </w:rPr>
      </w:pPr>
    </w:p>
    <w:p>
      <w:pPr>
        <w:autoSpaceDE w:val="0"/>
        <w:autoSpaceDN w:val="0"/>
        <w:adjustRightInd w:val="0"/>
        <w:spacing w:line="400" w:lineRule="exact"/>
        <w:ind w:right="-34" w:rightChars="-16"/>
        <w:jc w:val="center"/>
        <w:rPr>
          <w:rFonts w:hint="eastAsia" w:ascii="宋体" w:hAnsi="宋体" w:eastAsia="宋体" w:cs="宋体"/>
          <w:color w:val="auto"/>
          <w:kern w:val="0"/>
          <w:sz w:val="44"/>
        </w:rPr>
      </w:pPr>
    </w:p>
    <w:p>
      <w:pPr>
        <w:autoSpaceDE w:val="0"/>
        <w:autoSpaceDN w:val="0"/>
        <w:adjustRightInd w:val="0"/>
        <w:spacing w:line="400" w:lineRule="exact"/>
        <w:ind w:right="-34" w:rightChars="-16"/>
        <w:jc w:val="center"/>
        <w:rPr>
          <w:rFonts w:hint="eastAsia" w:ascii="宋体" w:hAnsi="宋体" w:eastAsia="宋体" w:cs="宋体"/>
          <w:color w:val="auto"/>
          <w:kern w:val="0"/>
          <w:sz w:val="44"/>
        </w:rPr>
      </w:pPr>
    </w:p>
    <w:p>
      <w:pPr>
        <w:autoSpaceDE w:val="0"/>
        <w:autoSpaceDN w:val="0"/>
        <w:adjustRightInd w:val="0"/>
        <w:spacing w:line="400" w:lineRule="exact"/>
        <w:ind w:right="-34" w:rightChars="-16"/>
        <w:jc w:val="center"/>
        <w:rPr>
          <w:rFonts w:hint="eastAsia" w:ascii="宋体" w:hAnsi="宋体" w:eastAsia="宋体" w:cs="宋体"/>
          <w:color w:val="auto"/>
          <w:kern w:val="0"/>
          <w:sz w:val="44"/>
        </w:rPr>
      </w:pPr>
    </w:p>
    <w:p>
      <w:pPr>
        <w:autoSpaceDE w:val="0"/>
        <w:autoSpaceDN w:val="0"/>
        <w:adjustRightInd w:val="0"/>
        <w:spacing w:line="400" w:lineRule="exact"/>
        <w:ind w:right="-34" w:rightChars="-16"/>
        <w:jc w:val="center"/>
        <w:rPr>
          <w:rFonts w:hint="eastAsia" w:ascii="宋体" w:hAnsi="宋体" w:eastAsia="宋体" w:cs="宋体"/>
          <w:color w:val="auto"/>
          <w:kern w:val="0"/>
          <w:sz w:val="44"/>
        </w:rPr>
      </w:pPr>
    </w:p>
    <w:p>
      <w:pPr>
        <w:pStyle w:val="69"/>
        <w:spacing w:line="400" w:lineRule="exact"/>
        <w:ind w:right="-34" w:rightChars="-16"/>
        <w:rPr>
          <w:rFonts w:hint="eastAsia" w:ascii="宋体" w:hAnsi="宋体" w:eastAsia="宋体" w:cs="宋体"/>
          <w:color w:val="auto"/>
          <w:sz w:val="23"/>
          <w:u w:val="single"/>
        </w:rPr>
      </w:pPr>
    </w:p>
    <w:p>
      <w:pPr>
        <w:pStyle w:val="69"/>
        <w:spacing w:before="240" w:beforeLines="100" w:after="240" w:afterLines="100" w:line="400" w:lineRule="exact"/>
        <w:ind w:right="-34" w:rightChars="-16"/>
        <w:jc w:val="center"/>
        <w:rPr>
          <w:rFonts w:hint="eastAsia" w:ascii="宋体" w:hAnsi="宋体" w:eastAsia="宋体" w:cs="宋体"/>
          <w:color w:val="auto"/>
          <w:u w:val="single"/>
        </w:rPr>
      </w:pPr>
      <w:r>
        <w:rPr>
          <w:rFonts w:hint="eastAsia" w:ascii="宋体" w:hAnsi="宋体" w:eastAsia="宋体" w:cs="宋体"/>
          <w:color w:val="auto"/>
        </w:rPr>
        <w:t xml:space="preserve">   投标人：</w:t>
      </w:r>
      <w:r>
        <w:rPr>
          <w:rFonts w:hint="eastAsia" w:ascii="宋体" w:hAnsi="宋体" w:eastAsia="宋体" w:cs="宋体"/>
          <w:color w:val="auto"/>
          <w:u w:val="single"/>
        </w:rPr>
        <w:t xml:space="preserve">                              </w:t>
      </w:r>
      <w:r>
        <w:rPr>
          <w:rFonts w:hint="eastAsia" w:ascii="宋体" w:hAnsi="宋体" w:eastAsia="宋体" w:cs="宋体"/>
          <w:color w:val="auto"/>
        </w:rPr>
        <w:t>（盖单位章）</w:t>
      </w:r>
    </w:p>
    <w:p>
      <w:pPr>
        <w:pStyle w:val="69"/>
        <w:spacing w:before="240" w:beforeLines="100" w:after="240" w:afterLines="100" w:line="400" w:lineRule="exact"/>
        <w:ind w:right="-34" w:rightChars="-16" w:firstLine="1560" w:firstLineChars="650"/>
        <w:rPr>
          <w:rFonts w:hint="eastAsia" w:ascii="宋体" w:hAnsi="宋体" w:eastAsia="宋体" w:cs="宋体"/>
          <w:color w:val="auto"/>
          <w:u w:val="single"/>
        </w:rPr>
      </w:pPr>
      <w:r>
        <w:rPr>
          <w:rFonts w:hint="eastAsia" w:ascii="宋体" w:hAnsi="宋体" w:eastAsia="宋体" w:cs="宋体"/>
          <w:color w:val="auto"/>
        </w:rPr>
        <w:t>法定代表人或其委托代理人：</w:t>
      </w:r>
      <w:r>
        <w:rPr>
          <w:rFonts w:hint="eastAsia" w:ascii="宋体" w:hAnsi="宋体" w:eastAsia="宋体" w:cs="宋体"/>
          <w:color w:val="auto"/>
          <w:u w:val="single"/>
        </w:rPr>
        <w:t xml:space="preserve">          </w:t>
      </w:r>
      <w:r>
        <w:rPr>
          <w:rFonts w:hint="eastAsia" w:ascii="宋体" w:hAnsi="宋体" w:eastAsia="宋体" w:cs="宋体"/>
          <w:color w:val="auto"/>
        </w:rPr>
        <w:t>（签字或盖章）</w:t>
      </w:r>
    </w:p>
    <w:p>
      <w:pPr>
        <w:pStyle w:val="69"/>
        <w:spacing w:before="240" w:beforeLines="100" w:after="240" w:afterLines="100" w:line="400" w:lineRule="exact"/>
        <w:ind w:right="-34" w:rightChars="-16" w:firstLine="3240" w:firstLineChars="1350"/>
        <w:rPr>
          <w:rFonts w:hint="eastAsia" w:ascii="宋体" w:hAnsi="宋体" w:eastAsia="宋体" w:cs="宋体"/>
          <w:color w:val="auto"/>
          <w:u w:val="single"/>
        </w:rPr>
      </w:pPr>
      <w:r>
        <w:rPr>
          <w:rFonts w:hint="eastAsia" w:ascii="宋体" w:hAnsi="宋体" w:eastAsia="宋体" w:cs="宋体"/>
          <w:color w:val="auto"/>
          <w:u w:val="single"/>
        </w:rPr>
        <w:t xml:space="preserve">    </w:t>
      </w:r>
      <w:r>
        <w:rPr>
          <w:rFonts w:hint="eastAsia"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日</w:t>
      </w:r>
    </w:p>
    <w:p>
      <w:pPr>
        <w:autoSpaceDE w:val="0"/>
        <w:autoSpaceDN w:val="0"/>
        <w:adjustRightInd w:val="0"/>
        <w:spacing w:line="360" w:lineRule="auto"/>
        <w:ind w:right="-34" w:rightChars="-16"/>
        <w:outlineLvl w:val="0"/>
        <w:rPr>
          <w:rFonts w:ascii="宋体" w:hAnsi="宋体"/>
          <w:b/>
          <w:kern w:val="0"/>
          <w:sz w:val="44"/>
        </w:rPr>
      </w:pPr>
    </w:p>
    <w:bookmarkEnd w:id="1061"/>
    <w:bookmarkEnd w:id="1062"/>
    <w:bookmarkEnd w:id="1063"/>
    <w:bookmarkEnd w:id="1064"/>
    <w:bookmarkEnd w:id="1065"/>
    <w:bookmarkEnd w:id="1066"/>
    <w:bookmarkEnd w:id="1067"/>
    <w:bookmarkEnd w:id="1068"/>
    <w:bookmarkEnd w:id="1069"/>
    <w:p>
      <w:pPr>
        <w:rPr>
          <w:rFonts w:ascii="宋体" w:hAnsi="宋体"/>
          <w:b/>
          <w:kern w:val="0"/>
          <w:sz w:val="44"/>
        </w:rPr>
      </w:pPr>
      <w:bookmarkStart w:id="1070" w:name="_Toc431367133"/>
      <w:bookmarkStart w:id="1071" w:name="_Toc19908"/>
      <w:bookmarkStart w:id="1072" w:name="_Toc570"/>
      <w:bookmarkStart w:id="1073" w:name="_Toc20886"/>
      <w:r>
        <w:rPr>
          <w:rFonts w:hint="eastAsia" w:ascii="宋体" w:hAnsi="宋体"/>
          <w:b/>
          <w:kern w:val="0"/>
          <w:sz w:val="44"/>
        </w:rPr>
        <w:br w:type="page"/>
      </w:r>
    </w:p>
    <w:p>
      <w:pPr>
        <w:autoSpaceDE w:val="0"/>
        <w:autoSpaceDN w:val="0"/>
        <w:adjustRightInd w:val="0"/>
        <w:spacing w:line="400" w:lineRule="exact"/>
        <w:ind w:right="-34" w:rightChars="-16"/>
        <w:jc w:val="center"/>
        <w:outlineLvl w:val="0"/>
        <w:rPr>
          <w:rFonts w:ascii="宋体" w:hAnsi="宋体"/>
          <w:b/>
          <w:kern w:val="0"/>
          <w:sz w:val="44"/>
        </w:rPr>
      </w:pPr>
      <w:r>
        <w:rPr>
          <w:rFonts w:hint="eastAsia" w:ascii="宋体" w:hAnsi="宋体"/>
          <w:b/>
          <w:kern w:val="0"/>
          <w:sz w:val="44"/>
        </w:rPr>
        <w:t>目   录</w:t>
      </w:r>
      <w:bookmarkEnd w:id="1070"/>
      <w:bookmarkEnd w:id="1071"/>
      <w:bookmarkEnd w:id="1072"/>
      <w:bookmarkEnd w:id="1073"/>
    </w:p>
    <w:p>
      <w:pPr>
        <w:autoSpaceDE w:val="0"/>
        <w:autoSpaceDN w:val="0"/>
        <w:adjustRightInd w:val="0"/>
        <w:spacing w:line="400" w:lineRule="exact"/>
        <w:ind w:right="-34" w:rightChars="-16"/>
        <w:jc w:val="left"/>
        <w:rPr>
          <w:rFonts w:ascii="宋体" w:hAnsi="宋体"/>
          <w:kern w:val="0"/>
        </w:rPr>
      </w:pPr>
    </w:p>
    <w:p>
      <w:pPr>
        <w:tabs>
          <w:tab w:val="left" w:pos="1470"/>
        </w:tabs>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w:t>
      </w:r>
      <w:r>
        <w:rPr>
          <w:rFonts w:ascii="宋体" w:hAnsi="宋体"/>
          <w:kern w:val="0"/>
          <w:sz w:val="28"/>
          <w:szCs w:val="28"/>
        </w:rPr>
        <w:t>1</w:t>
      </w:r>
      <w:r>
        <w:rPr>
          <w:rFonts w:hint="eastAsia" w:ascii="宋体" w:hAnsi="宋体"/>
          <w:kern w:val="0"/>
          <w:sz w:val="28"/>
          <w:szCs w:val="28"/>
        </w:rPr>
        <w:t>）投标函及投标函附录；</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（2）法定代表人身份证明；</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（3）附有法定代表人身份证明的授权委托书；</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（4）投标保证金交纳证明；</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（5）已标价工程量清单；</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（6）技术标；</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（7）技术标准和要求；</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（8）项目管理机构；</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（9）资格审查资料；</w:t>
      </w:r>
    </w:p>
    <w:p>
      <w:pPr>
        <w:autoSpaceDE w:val="0"/>
        <w:autoSpaceDN w:val="0"/>
        <w:adjustRightInd w:val="0"/>
        <w:spacing w:line="600" w:lineRule="exact"/>
        <w:ind w:right="-34" w:rightChars="-16"/>
        <w:jc w:val="left"/>
        <w:rPr>
          <w:rFonts w:ascii="宋体" w:hAnsi="宋体"/>
          <w:kern w:val="0"/>
          <w:sz w:val="28"/>
          <w:szCs w:val="28"/>
        </w:rPr>
      </w:pPr>
      <w:r>
        <w:rPr>
          <w:rFonts w:hint="eastAsia" w:ascii="宋体" w:hAnsi="宋体"/>
          <w:kern w:val="0"/>
          <w:sz w:val="28"/>
          <w:szCs w:val="28"/>
        </w:rPr>
        <w:t>（10）投标人须知前附表规定的其他材料。</w:t>
      </w:r>
    </w:p>
    <w:p>
      <w:pPr>
        <w:autoSpaceDE w:val="0"/>
        <w:autoSpaceDN w:val="0"/>
        <w:adjustRightInd w:val="0"/>
        <w:spacing w:line="400" w:lineRule="exact"/>
        <w:ind w:right="-34" w:rightChars="-16" w:firstLine="1619" w:firstLineChars="771"/>
        <w:jc w:val="left"/>
        <w:rPr>
          <w:rFonts w:ascii="宋体" w:hAnsi="宋体"/>
          <w:kern w:val="0"/>
        </w:rPr>
      </w:pPr>
    </w:p>
    <w:p>
      <w:pPr>
        <w:autoSpaceDE w:val="0"/>
        <w:autoSpaceDN w:val="0"/>
        <w:adjustRightInd w:val="0"/>
        <w:spacing w:line="400" w:lineRule="exact"/>
        <w:ind w:right="-34" w:rightChars="-16" w:firstLine="1619" w:firstLineChars="771"/>
        <w:jc w:val="left"/>
        <w:rPr>
          <w:rFonts w:ascii="宋体" w:hAnsi="宋体"/>
          <w:kern w:val="0"/>
        </w:rPr>
      </w:pPr>
    </w:p>
    <w:p>
      <w:pPr>
        <w:autoSpaceDE w:val="0"/>
        <w:autoSpaceDN w:val="0"/>
        <w:adjustRightInd w:val="0"/>
        <w:spacing w:line="400" w:lineRule="exact"/>
        <w:ind w:right="-34" w:rightChars="-16" w:firstLine="1619" w:firstLineChars="771"/>
        <w:jc w:val="left"/>
        <w:rPr>
          <w:rFonts w:ascii="宋体" w:hAnsi="宋体"/>
          <w:kern w:val="0"/>
        </w:rPr>
      </w:pPr>
    </w:p>
    <w:p>
      <w:pPr>
        <w:autoSpaceDE w:val="0"/>
        <w:autoSpaceDN w:val="0"/>
        <w:adjustRightInd w:val="0"/>
        <w:spacing w:line="400" w:lineRule="exact"/>
        <w:ind w:right="-34" w:rightChars="-16" w:firstLine="1619" w:firstLineChars="771"/>
        <w:jc w:val="left"/>
        <w:rPr>
          <w:rFonts w:ascii="宋体" w:hAnsi="宋体"/>
          <w:kern w:val="0"/>
        </w:rPr>
      </w:pPr>
    </w:p>
    <w:p>
      <w:pPr>
        <w:autoSpaceDE w:val="0"/>
        <w:autoSpaceDN w:val="0"/>
        <w:adjustRightInd w:val="0"/>
        <w:spacing w:line="400" w:lineRule="exact"/>
        <w:ind w:right="-34" w:rightChars="-16" w:firstLine="1619" w:firstLineChars="771"/>
        <w:jc w:val="left"/>
        <w:rPr>
          <w:rFonts w:ascii="宋体" w:hAnsi="宋体"/>
          <w:kern w:val="0"/>
        </w:rPr>
      </w:pPr>
    </w:p>
    <w:p>
      <w:pPr>
        <w:autoSpaceDE w:val="0"/>
        <w:autoSpaceDN w:val="0"/>
        <w:adjustRightInd w:val="0"/>
        <w:spacing w:line="400" w:lineRule="exact"/>
        <w:ind w:right="-34" w:rightChars="-16" w:firstLine="1619" w:firstLineChars="771"/>
        <w:jc w:val="left"/>
        <w:rPr>
          <w:rFonts w:ascii="宋体" w:hAnsi="宋体"/>
          <w:kern w:val="0"/>
        </w:rPr>
      </w:pPr>
    </w:p>
    <w:p>
      <w:pPr>
        <w:autoSpaceDE w:val="0"/>
        <w:autoSpaceDN w:val="0"/>
        <w:adjustRightInd w:val="0"/>
        <w:spacing w:line="400" w:lineRule="exact"/>
        <w:ind w:right="-34" w:rightChars="-16" w:firstLine="1619" w:firstLineChars="771"/>
        <w:jc w:val="left"/>
        <w:rPr>
          <w:rFonts w:ascii="宋体" w:hAnsi="宋体"/>
          <w:kern w:val="0"/>
        </w:rPr>
      </w:pPr>
    </w:p>
    <w:p>
      <w:pPr>
        <w:autoSpaceDE w:val="0"/>
        <w:autoSpaceDN w:val="0"/>
        <w:adjustRightInd w:val="0"/>
        <w:spacing w:line="400" w:lineRule="exact"/>
        <w:ind w:right="-34" w:rightChars="-16" w:firstLine="1619" w:firstLineChars="771"/>
        <w:jc w:val="left"/>
        <w:rPr>
          <w:rFonts w:ascii="宋体" w:hAnsi="宋体"/>
          <w:kern w:val="0"/>
        </w:rPr>
      </w:pPr>
    </w:p>
    <w:p>
      <w:pPr>
        <w:autoSpaceDE w:val="0"/>
        <w:autoSpaceDN w:val="0"/>
        <w:adjustRightInd w:val="0"/>
        <w:spacing w:line="400" w:lineRule="exact"/>
        <w:ind w:right="-34" w:rightChars="-16"/>
        <w:outlineLvl w:val="0"/>
        <w:rPr>
          <w:rFonts w:ascii="宋体" w:hAnsi="宋体"/>
          <w:kern w:val="0"/>
        </w:rPr>
      </w:pPr>
    </w:p>
    <w:p>
      <w:pPr>
        <w:autoSpaceDE w:val="0"/>
        <w:autoSpaceDN w:val="0"/>
        <w:adjustRightInd w:val="0"/>
        <w:spacing w:line="400" w:lineRule="exact"/>
        <w:ind w:right="-34" w:rightChars="-16"/>
        <w:jc w:val="center"/>
        <w:outlineLvl w:val="0"/>
        <w:rPr>
          <w:rFonts w:ascii="宋体" w:hAnsi="宋体"/>
          <w:b/>
          <w:kern w:val="0"/>
          <w:sz w:val="32"/>
        </w:rPr>
      </w:pPr>
      <w:bookmarkStart w:id="1074" w:name="_Toc431367134"/>
      <w:r>
        <w:rPr>
          <w:rFonts w:ascii="宋体" w:hAnsi="宋体"/>
          <w:kern w:val="0"/>
        </w:rPr>
        <w:br w:type="page"/>
      </w:r>
      <w:bookmarkStart w:id="1075" w:name="_Toc13446"/>
      <w:bookmarkStart w:id="1076" w:name="_Toc431367135"/>
      <w:bookmarkStart w:id="1077" w:name="_Toc29799"/>
      <w:r>
        <w:rPr>
          <w:rFonts w:hint="eastAsia" w:ascii="宋体" w:hAnsi="宋体"/>
          <w:b/>
          <w:kern w:val="0"/>
          <w:sz w:val="32"/>
        </w:rPr>
        <w:t>一、</w:t>
      </w:r>
      <w:bookmarkEnd w:id="1074"/>
      <w:bookmarkEnd w:id="1075"/>
      <w:bookmarkEnd w:id="1076"/>
      <w:bookmarkEnd w:id="1077"/>
      <w:bookmarkStart w:id="1078" w:name="_Toc476567026"/>
      <w:bookmarkStart w:id="1079" w:name="_Toc228591605"/>
      <w:bookmarkStart w:id="1080" w:name="_Toc214433984"/>
      <w:bookmarkStart w:id="1081" w:name="_Toc227657583"/>
      <w:bookmarkStart w:id="1082" w:name="_Toc228591752"/>
      <w:bookmarkStart w:id="1083" w:name="_Toc228337193"/>
      <w:bookmarkStart w:id="1084" w:name="_Toc228881245"/>
      <w:bookmarkStart w:id="1085" w:name="_Toc272772664"/>
      <w:bookmarkStart w:id="1086" w:name="_Toc243904321"/>
      <w:bookmarkStart w:id="1087" w:name="_Toc228881244"/>
      <w:bookmarkStart w:id="1088" w:name="_Toc228589259"/>
      <w:bookmarkStart w:id="1089" w:name="_Toc227657582"/>
      <w:bookmarkStart w:id="1090" w:name="_Toc228589258"/>
      <w:bookmarkStart w:id="1091" w:name="_Toc227492341"/>
      <w:bookmarkStart w:id="1092" w:name="_Toc228591753"/>
      <w:bookmarkStart w:id="1093" w:name="_Toc228337194"/>
      <w:bookmarkStart w:id="1094" w:name="_Toc227492340"/>
      <w:bookmarkStart w:id="1095" w:name="_Toc228591604"/>
      <w:bookmarkStart w:id="1096" w:name="_Toc257204992"/>
      <w:bookmarkStart w:id="1097" w:name="_Toc214433985"/>
      <w:r>
        <w:rPr>
          <w:rFonts w:hint="eastAsia" w:ascii="宋体" w:hAnsi="宋体"/>
          <w:b/>
          <w:kern w:val="0"/>
          <w:sz w:val="32"/>
        </w:rPr>
        <w:t>投标函及投标函附录</w:t>
      </w:r>
      <w:bookmarkEnd w:id="1078"/>
    </w:p>
    <w:p>
      <w:pPr>
        <w:autoSpaceDE w:val="0"/>
        <w:autoSpaceDN w:val="0"/>
        <w:adjustRightInd w:val="0"/>
        <w:spacing w:line="400" w:lineRule="exact"/>
        <w:ind w:right="-34" w:rightChars="-16"/>
        <w:jc w:val="center"/>
        <w:outlineLvl w:val="0"/>
        <w:rPr>
          <w:rFonts w:ascii="宋体" w:hAnsi="宋体"/>
          <w:b/>
          <w:kern w:val="0"/>
          <w:sz w:val="24"/>
        </w:rPr>
      </w:pPr>
      <w:bookmarkStart w:id="1098" w:name="_Toc228589257"/>
      <w:bookmarkStart w:id="1099" w:name="_Toc228337192"/>
      <w:bookmarkStart w:id="1100" w:name="_Toc227657581"/>
      <w:bookmarkStart w:id="1101" w:name="_Toc214433983"/>
      <w:bookmarkStart w:id="1102" w:name="_Toc227492339"/>
      <w:bookmarkStart w:id="1103" w:name="_Toc431367136"/>
      <w:bookmarkStart w:id="1104" w:name="_Toc272772663"/>
      <w:bookmarkStart w:id="1105" w:name="_Toc243904320"/>
      <w:bookmarkStart w:id="1106" w:name="_Toc285618746"/>
      <w:bookmarkStart w:id="1107" w:name="_Toc476567027"/>
      <w:bookmarkStart w:id="1108" w:name="_Toc228591751"/>
      <w:bookmarkStart w:id="1109" w:name="_Toc228591603"/>
      <w:bookmarkStart w:id="1110" w:name="_Toc228881243"/>
      <w:r>
        <w:rPr>
          <w:rFonts w:hint="eastAsia" w:ascii="宋体" w:hAnsi="宋体"/>
          <w:b/>
          <w:kern w:val="0"/>
          <w:sz w:val="24"/>
        </w:rPr>
        <w:t>（一）投标函</w:t>
      </w:r>
      <w:bookmarkEnd w:id="1098"/>
      <w:bookmarkEnd w:id="1099"/>
      <w:bookmarkEnd w:id="1100"/>
      <w:bookmarkEnd w:id="1101"/>
      <w:bookmarkEnd w:id="1102"/>
      <w:bookmarkEnd w:id="1103"/>
      <w:bookmarkEnd w:id="1104"/>
      <w:bookmarkEnd w:id="1105"/>
      <w:bookmarkEnd w:id="1106"/>
      <w:bookmarkEnd w:id="1107"/>
      <w:bookmarkEnd w:id="1108"/>
      <w:bookmarkEnd w:id="1109"/>
      <w:bookmarkEnd w:id="1110"/>
    </w:p>
    <w:p>
      <w:pPr>
        <w:autoSpaceDE w:val="0"/>
        <w:autoSpaceDN w:val="0"/>
        <w:adjustRightInd w:val="0"/>
        <w:spacing w:line="400" w:lineRule="exact"/>
        <w:ind w:right="-34" w:rightChars="-16"/>
        <w:jc w:val="center"/>
        <w:outlineLvl w:val="0"/>
        <w:rPr>
          <w:rFonts w:ascii="宋体" w:hAnsi="宋体"/>
          <w:b/>
          <w:kern w:val="0"/>
          <w:sz w:val="24"/>
        </w:rPr>
      </w:pPr>
    </w:p>
    <w:p>
      <w:pPr>
        <w:autoSpaceDE w:val="0"/>
        <w:autoSpaceDN w:val="0"/>
        <w:adjustRightInd w:val="0"/>
        <w:spacing w:line="400" w:lineRule="exact"/>
        <w:ind w:right="-34" w:rightChars="-16"/>
        <w:jc w:val="left"/>
        <w:rPr>
          <w:rFonts w:ascii="宋体" w:hAnsi="宋体"/>
          <w:kern w:val="0"/>
        </w:rPr>
      </w:pPr>
      <w:r>
        <w:rPr>
          <w:rFonts w:ascii="宋体" w:hAnsi="宋体"/>
          <w:kern w:val="0"/>
        </w:rPr>
        <w:t>__________</w:t>
      </w:r>
      <w:r>
        <w:rPr>
          <w:rFonts w:hint="eastAsia" w:ascii="宋体" w:hAnsi="宋体"/>
          <w:kern w:val="0"/>
        </w:rPr>
        <w:t>（招标人名称）：</w:t>
      </w:r>
    </w:p>
    <w:p>
      <w:pPr>
        <w:autoSpaceDE w:val="0"/>
        <w:autoSpaceDN w:val="0"/>
        <w:adjustRightInd w:val="0"/>
        <w:spacing w:line="400" w:lineRule="exact"/>
        <w:ind w:right="-34" w:rightChars="-16" w:firstLine="539" w:firstLineChars="257"/>
        <w:jc w:val="left"/>
        <w:rPr>
          <w:rFonts w:ascii="宋体" w:hAnsi="宋体"/>
          <w:kern w:val="0"/>
        </w:rPr>
      </w:pPr>
      <w:r>
        <w:rPr>
          <w:rFonts w:ascii="宋体" w:hAnsi="宋体"/>
          <w:kern w:val="0"/>
        </w:rPr>
        <w:t>1</w:t>
      </w:r>
      <w:r>
        <w:rPr>
          <w:rFonts w:hint="eastAsia" w:ascii="宋体" w:hAnsi="宋体"/>
          <w:kern w:val="0"/>
        </w:rPr>
        <w:t>．我方已仔细研究了</w:t>
      </w:r>
      <w:r>
        <w:rPr>
          <w:rFonts w:ascii="宋体" w:hAnsi="宋体"/>
          <w:kern w:val="0"/>
        </w:rPr>
        <w:t xml:space="preserve">__________ </w:t>
      </w:r>
      <w:r>
        <w:rPr>
          <w:rFonts w:hint="eastAsia" w:ascii="宋体" w:hAnsi="宋体"/>
          <w:kern w:val="0"/>
        </w:rPr>
        <w:t>（项目名称）施工招标文件的全部内容，愿意以人民币（大写）</w:t>
      </w:r>
      <w:r>
        <w:rPr>
          <w:rFonts w:ascii="宋体" w:hAnsi="宋体"/>
          <w:kern w:val="0"/>
        </w:rPr>
        <w:t>________</w:t>
      </w:r>
      <w:r>
        <w:rPr>
          <w:rFonts w:hint="eastAsia" w:ascii="宋体" w:hAnsi="宋体"/>
          <w:kern w:val="0"/>
        </w:rPr>
        <w:t>（</w:t>
      </w:r>
      <w:r>
        <w:t>￥</w:t>
      </w:r>
      <w:r>
        <w:rPr>
          <w:rFonts w:ascii="宋体" w:hAnsi="宋体"/>
          <w:kern w:val="0"/>
        </w:rPr>
        <w:t>___________</w:t>
      </w:r>
      <w:r>
        <w:rPr>
          <w:rFonts w:hint="eastAsia" w:ascii="宋体" w:hAnsi="宋体"/>
          <w:kern w:val="0"/>
        </w:rPr>
        <w:t>元）的投标总报价，工期</w:t>
      </w:r>
      <w:r>
        <w:rPr>
          <w:rFonts w:ascii="宋体" w:hAnsi="宋体"/>
          <w:kern w:val="0"/>
        </w:rPr>
        <w:t>___________</w:t>
      </w:r>
      <w:r>
        <w:rPr>
          <w:rFonts w:hint="eastAsia" w:ascii="宋体" w:hAnsi="宋体"/>
          <w:kern w:val="0"/>
        </w:rPr>
        <w:t>日历天，按合同约定实施和完成承包工程，修补工程中的任何缺陷，工程质量达到</w:t>
      </w:r>
      <w:r>
        <w:rPr>
          <w:rFonts w:ascii="宋体" w:hAnsi="宋体"/>
          <w:kern w:val="0"/>
        </w:rPr>
        <w:t>___________</w:t>
      </w:r>
      <w:r>
        <w:rPr>
          <w:rFonts w:hint="eastAsia" w:ascii="宋体" w:hAnsi="宋体"/>
          <w:kern w:val="0"/>
        </w:rPr>
        <w:t>。</w:t>
      </w:r>
    </w:p>
    <w:p>
      <w:pPr>
        <w:autoSpaceDE w:val="0"/>
        <w:autoSpaceDN w:val="0"/>
        <w:adjustRightInd w:val="0"/>
        <w:spacing w:line="400" w:lineRule="exact"/>
        <w:ind w:right="-34" w:rightChars="-16" w:firstLine="539" w:firstLineChars="257"/>
        <w:jc w:val="left"/>
        <w:rPr>
          <w:rFonts w:ascii="宋体" w:hAnsi="宋体"/>
          <w:kern w:val="0"/>
        </w:rPr>
      </w:pPr>
      <w:r>
        <w:rPr>
          <w:rFonts w:ascii="宋体" w:hAnsi="宋体"/>
          <w:kern w:val="0"/>
        </w:rPr>
        <w:t>2</w:t>
      </w:r>
      <w:r>
        <w:rPr>
          <w:rFonts w:hint="eastAsia" w:ascii="宋体" w:hAnsi="宋体"/>
          <w:kern w:val="0"/>
        </w:rPr>
        <w:t>．我方响应招标文件中约定的投标有效期，并承诺在投标有效期内不修改、不撤销投标文件。</w:t>
      </w:r>
    </w:p>
    <w:p>
      <w:pPr>
        <w:autoSpaceDE w:val="0"/>
        <w:autoSpaceDN w:val="0"/>
        <w:adjustRightInd w:val="0"/>
        <w:spacing w:line="400" w:lineRule="exact"/>
        <w:ind w:right="-34" w:rightChars="-16" w:firstLine="539" w:firstLineChars="257"/>
        <w:jc w:val="left"/>
        <w:rPr>
          <w:rFonts w:ascii="宋体" w:hAnsi="宋体"/>
          <w:kern w:val="0"/>
        </w:rPr>
      </w:pPr>
      <w:r>
        <w:rPr>
          <w:rFonts w:ascii="宋体" w:hAnsi="宋体"/>
          <w:kern w:val="0"/>
        </w:rPr>
        <w:t>3</w:t>
      </w:r>
      <w:r>
        <w:rPr>
          <w:rFonts w:hint="eastAsia" w:ascii="宋体" w:hAnsi="宋体"/>
          <w:kern w:val="0"/>
        </w:rPr>
        <w:t>．随同本投标函提交投标保证金一份，金额为人民币（大写）</w:t>
      </w:r>
      <w:r>
        <w:rPr>
          <w:rFonts w:ascii="宋体" w:hAnsi="宋体"/>
          <w:kern w:val="0"/>
        </w:rPr>
        <w:t>___________</w:t>
      </w:r>
      <w:r>
        <w:rPr>
          <w:rFonts w:hint="eastAsia" w:ascii="宋体" w:hAnsi="宋体"/>
          <w:kern w:val="0"/>
        </w:rPr>
        <w:t>（</w:t>
      </w:r>
      <w:r>
        <w:t>￥</w:t>
      </w:r>
      <w:r>
        <w:rPr>
          <w:rFonts w:ascii="宋体" w:hAnsi="宋体"/>
          <w:kern w:val="0"/>
        </w:rPr>
        <w:t>___________</w:t>
      </w:r>
      <w:r>
        <w:rPr>
          <w:rFonts w:hint="eastAsia" w:ascii="宋体" w:hAnsi="宋体"/>
          <w:kern w:val="0"/>
        </w:rPr>
        <w:t>元）。</w:t>
      </w:r>
    </w:p>
    <w:p>
      <w:pPr>
        <w:autoSpaceDE w:val="0"/>
        <w:autoSpaceDN w:val="0"/>
        <w:adjustRightInd w:val="0"/>
        <w:spacing w:line="400" w:lineRule="exact"/>
        <w:ind w:right="-34" w:rightChars="-16" w:firstLine="539" w:firstLineChars="257"/>
        <w:jc w:val="left"/>
        <w:rPr>
          <w:rFonts w:ascii="宋体" w:hAnsi="宋体"/>
          <w:kern w:val="0"/>
        </w:rPr>
      </w:pPr>
      <w:r>
        <w:rPr>
          <w:rFonts w:ascii="宋体" w:hAnsi="宋体"/>
          <w:kern w:val="0"/>
        </w:rPr>
        <w:t>4</w:t>
      </w:r>
      <w:r>
        <w:rPr>
          <w:rFonts w:hint="eastAsia" w:ascii="宋体" w:hAnsi="宋体"/>
          <w:kern w:val="0"/>
        </w:rPr>
        <w:t>．如我方中标：</w:t>
      </w:r>
    </w:p>
    <w:p>
      <w:pPr>
        <w:autoSpaceDE w:val="0"/>
        <w:autoSpaceDN w:val="0"/>
        <w:adjustRightInd w:val="0"/>
        <w:spacing w:line="400" w:lineRule="exact"/>
        <w:ind w:right="-34" w:rightChars="-16" w:firstLine="898" w:firstLineChars="428"/>
        <w:jc w:val="left"/>
        <w:rPr>
          <w:rFonts w:ascii="宋体" w:hAnsi="宋体"/>
          <w:kern w:val="0"/>
        </w:rPr>
      </w:pPr>
      <w:r>
        <w:rPr>
          <w:rFonts w:hint="eastAsia" w:ascii="宋体" w:hAnsi="宋体"/>
          <w:kern w:val="0"/>
        </w:rPr>
        <w:t>（</w:t>
      </w:r>
      <w:r>
        <w:rPr>
          <w:rFonts w:ascii="宋体" w:hAnsi="宋体"/>
          <w:kern w:val="0"/>
        </w:rPr>
        <w:t>1</w:t>
      </w:r>
      <w:r>
        <w:rPr>
          <w:rFonts w:hint="eastAsia" w:ascii="宋体" w:hAnsi="宋体"/>
          <w:kern w:val="0"/>
        </w:rPr>
        <w:t>）我方承诺在收到中标通知书后，在中标通知书规定的期限内与你方签订合同。</w:t>
      </w:r>
    </w:p>
    <w:p>
      <w:pPr>
        <w:autoSpaceDE w:val="0"/>
        <w:autoSpaceDN w:val="0"/>
        <w:adjustRightInd w:val="0"/>
        <w:spacing w:line="400" w:lineRule="exact"/>
        <w:ind w:right="-34" w:rightChars="-16" w:firstLine="898" w:firstLineChars="428"/>
        <w:jc w:val="left"/>
        <w:rPr>
          <w:rFonts w:ascii="宋体" w:hAnsi="宋体"/>
          <w:kern w:val="0"/>
        </w:rPr>
      </w:pPr>
      <w:r>
        <w:rPr>
          <w:rFonts w:hint="eastAsia" w:ascii="宋体" w:hAnsi="宋体"/>
          <w:kern w:val="0"/>
        </w:rPr>
        <w:t>（</w:t>
      </w:r>
      <w:r>
        <w:rPr>
          <w:rFonts w:ascii="宋体" w:hAnsi="宋体"/>
          <w:kern w:val="0"/>
        </w:rPr>
        <w:t>2</w:t>
      </w:r>
      <w:r>
        <w:rPr>
          <w:rFonts w:hint="eastAsia" w:ascii="宋体" w:hAnsi="宋体"/>
          <w:kern w:val="0"/>
        </w:rPr>
        <w:t>）随同本投标函递交的投标函附录属于合同文件的组成部分。</w:t>
      </w:r>
    </w:p>
    <w:p>
      <w:pPr>
        <w:autoSpaceDE w:val="0"/>
        <w:autoSpaceDN w:val="0"/>
        <w:adjustRightInd w:val="0"/>
        <w:spacing w:line="400" w:lineRule="exact"/>
        <w:ind w:right="-34" w:rightChars="-16" w:firstLine="898" w:firstLineChars="428"/>
        <w:jc w:val="left"/>
        <w:rPr>
          <w:rFonts w:ascii="宋体" w:hAnsi="宋体"/>
          <w:kern w:val="0"/>
        </w:rPr>
      </w:pPr>
      <w:r>
        <w:rPr>
          <w:rFonts w:hint="eastAsia" w:ascii="宋体" w:hAnsi="宋体"/>
          <w:kern w:val="0"/>
        </w:rPr>
        <w:t>（</w:t>
      </w:r>
      <w:r>
        <w:rPr>
          <w:rFonts w:ascii="宋体" w:hAnsi="宋体"/>
          <w:kern w:val="0"/>
        </w:rPr>
        <w:t>3</w:t>
      </w:r>
      <w:r>
        <w:rPr>
          <w:rFonts w:hint="eastAsia" w:ascii="宋体" w:hAnsi="宋体"/>
          <w:kern w:val="0"/>
        </w:rPr>
        <w:t>）我方承诺在合同约定的期限内完成并移交全部合同工程。</w:t>
      </w:r>
    </w:p>
    <w:p>
      <w:pPr>
        <w:autoSpaceDE w:val="0"/>
        <w:autoSpaceDN w:val="0"/>
        <w:adjustRightInd w:val="0"/>
        <w:spacing w:line="400" w:lineRule="exact"/>
        <w:ind w:right="-34" w:rightChars="-16" w:firstLine="898" w:firstLineChars="428"/>
        <w:jc w:val="left"/>
        <w:rPr>
          <w:rFonts w:ascii="宋体" w:hAnsi="宋体"/>
          <w:kern w:val="0"/>
        </w:rPr>
      </w:pPr>
      <w:r>
        <w:rPr>
          <w:rFonts w:hint="eastAsia" w:ascii="宋体" w:hAnsi="宋体"/>
          <w:kern w:val="0"/>
        </w:rPr>
        <w:t>（4）我方承诺按照招标文件规定向你方递交履约担保。</w:t>
      </w:r>
    </w:p>
    <w:p>
      <w:pPr>
        <w:autoSpaceDE w:val="0"/>
        <w:autoSpaceDN w:val="0"/>
        <w:adjustRightInd w:val="0"/>
        <w:spacing w:line="400" w:lineRule="exact"/>
        <w:ind w:right="-34" w:rightChars="-16" w:firstLine="898" w:firstLineChars="428"/>
        <w:jc w:val="left"/>
        <w:rPr>
          <w:rFonts w:hint="eastAsia" w:ascii="宋体"/>
          <w:bCs/>
          <w:szCs w:val="21"/>
        </w:rPr>
      </w:pPr>
      <w:r>
        <w:rPr>
          <w:rFonts w:hint="eastAsia" w:ascii="宋体" w:hAnsi="宋体"/>
          <w:kern w:val="0"/>
        </w:rPr>
        <w:t>（5）</w:t>
      </w:r>
      <w:r>
        <w:rPr>
          <w:rFonts w:hint="eastAsia" w:ascii="宋体" w:hAnsi="宋体"/>
          <w:szCs w:val="21"/>
        </w:rPr>
        <w:t>我方</w:t>
      </w:r>
      <w:r>
        <w:rPr>
          <w:rFonts w:hint="eastAsia" w:ascii="宋体"/>
          <w:bCs/>
          <w:szCs w:val="21"/>
        </w:rPr>
        <w:t>承诺当招标人资金紧张时，保证不间断、连续正常施工。</w:t>
      </w:r>
    </w:p>
    <w:p>
      <w:pPr>
        <w:autoSpaceDE w:val="0"/>
        <w:autoSpaceDN w:val="0"/>
        <w:adjustRightInd w:val="0"/>
        <w:spacing w:line="400" w:lineRule="exact"/>
        <w:ind w:right="-34" w:rightChars="-16" w:firstLine="898" w:firstLineChars="428"/>
        <w:jc w:val="left"/>
        <w:rPr>
          <w:rFonts w:hint="eastAsia" w:ascii="宋体" w:hAnsi="宋体"/>
          <w:kern w:val="0"/>
          <w:lang w:eastAsia="zh-CN"/>
        </w:rPr>
      </w:pPr>
      <w:r>
        <w:rPr>
          <w:rFonts w:hint="eastAsia" w:ascii="宋体" w:hAnsi="宋体"/>
          <w:kern w:val="0"/>
          <w:lang w:eastAsia="zh-CN"/>
        </w:rPr>
        <w:t>（</w:t>
      </w:r>
      <w:r>
        <w:rPr>
          <w:rFonts w:hint="eastAsia" w:ascii="宋体" w:hAnsi="宋体"/>
          <w:kern w:val="0"/>
          <w:lang w:val="en-US" w:eastAsia="zh-CN"/>
        </w:rPr>
        <w:t>6</w:t>
      </w:r>
      <w:r>
        <w:rPr>
          <w:rFonts w:hint="eastAsia" w:ascii="宋体" w:hAnsi="宋体"/>
          <w:kern w:val="0"/>
          <w:lang w:eastAsia="zh-CN"/>
        </w:rPr>
        <w:t>）</w:t>
      </w:r>
      <w:r>
        <w:rPr>
          <w:rFonts w:hint="eastAsia" w:ascii="宋体" w:hAnsi="宋体"/>
          <w:kern w:val="0"/>
          <w:lang w:val="en-US" w:eastAsia="zh-CN"/>
        </w:rPr>
        <w:t>我方权利义务</w:t>
      </w:r>
      <w:r>
        <w:rPr>
          <w:rFonts w:hint="eastAsia" w:ascii="宋体" w:hAnsi="宋体" w:cs="宋体"/>
          <w:color w:val="auto"/>
          <w:kern w:val="0"/>
          <w:highlight w:val="none"/>
        </w:rPr>
        <w:t>符合第四章“合同条款及格式”规定</w:t>
      </w:r>
    </w:p>
    <w:p>
      <w:pPr>
        <w:autoSpaceDE w:val="0"/>
        <w:autoSpaceDN w:val="0"/>
        <w:adjustRightInd w:val="0"/>
        <w:spacing w:line="400" w:lineRule="exact"/>
        <w:ind w:right="-34" w:rightChars="-16" w:firstLine="539" w:firstLineChars="257"/>
        <w:jc w:val="left"/>
        <w:rPr>
          <w:rFonts w:ascii="宋体" w:hAnsi="宋体"/>
          <w:kern w:val="0"/>
        </w:rPr>
      </w:pPr>
      <w:r>
        <w:rPr>
          <w:rFonts w:ascii="宋体" w:hAnsi="宋体"/>
          <w:kern w:val="0"/>
        </w:rPr>
        <w:t>5</w:t>
      </w:r>
      <w:r>
        <w:rPr>
          <w:rFonts w:hint="eastAsia" w:ascii="宋体" w:hAnsi="宋体"/>
          <w:kern w:val="0"/>
        </w:rPr>
        <w:t>．</w:t>
      </w:r>
      <w:r>
        <w:rPr>
          <w:rFonts w:hint="eastAsia" w:ascii="宋体" w:hAnsi="宋体"/>
          <w:kern w:val="0"/>
          <w:u w:val="single"/>
        </w:rPr>
        <w:t xml:space="preserve">                                                            。</w:t>
      </w:r>
    </w:p>
    <w:p>
      <w:pPr>
        <w:autoSpaceDE w:val="0"/>
        <w:autoSpaceDN w:val="0"/>
        <w:adjustRightInd w:val="0"/>
        <w:spacing w:line="400" w:lineRule="exact"/>
        <w:ind w:right="-34" w:rightChars="-16" w:firstLine="539" w:firstLineChars="257"/>
        <w:jc w:val="left"/>
        <w:rPr>
          <w:rFonts w:ascii="宋体" w:hAnsi="宋体"/>
          <w:kern w:val="0"/>
        </w:rPr>
      </w:pPr>
    </w:p>
    <w:p>
      <w:pPr>
        <w:pStyle w:val="2"/>
        <w:ind w:left="63" w:right="63" w:firstLine="400"/>
      </w:pPr>
    </w:p>
    <w:p>
      <w:pPr>
        <w:autoSpaceDE w:val="0"/>
        <w:autoSpaceDN w:val="0"/>
        <w:adjustRightInd w:val="0"/>
        <w:spacing w:line="400" w:lineRule="exact"/>
        <w:ind w:right="-34" w:rightChars="-16" w:firstLine="3465" w:firstLineChars="1650"/>
        <w:jc w:val="left"/>
        <w:rPr>
          <w:rFonts w:ascii="宋体" w:hAnsi="宋体"/>
          <w:kern w:val="0"/>
        </w:rPr>
      </w:pPr>
      <w:r>
        <w:rPr>
          <w:rFonts w:hint="eastAsia" w:ascii="宋体" w:hAnsi="宋体"/>
          <w:kern w:val="0"/>
        </w:rPr>
        <w:t>投标人：（盖单位章）</w:t>
      </w:r>
    </w:p>
    <w:p>
      <w:pPr>
        <w:autoSpaceDE w:val="0"/>
        <w:autoSpaceDN w:val="0"/>
        <w:adjustRightInd w:val="0"/>
        <w:spacing w:line="400" w:lineRule="exact"/>
        <w:ind w:right="-34" w:rightChars="-16" w:firstLine="3465" w:firstLineChars="1650"/>
        <w:jc w:val="left"/>
        <w:rPr>
          <w:rFonts w:ascii="宋体" w:hAnsi="宋体"/>
          <w:kern w:val="0"/>
        </w:rPr>
      </w:pPr>
      <w:r>
        <w:rPr>
          <w:rFonts w:hint="eastAsia" w:ascii="宋体" w:hAnsi="宋体"/>
          <w:kern w:val="0"/>
        </w:rPr>
        <w:t>法定代表人或其委托代理人：（签字）</w:t>
      </w:r>
    </w:p>
    <w:p>
      <w:pPr>
        <w:autoSpaceDE w:val="0"/>
        <w:autoSpaceDN w:val="0"/>
        <w:adjustRightInd w:val="0"/>
        <w:spacing w:line="400" w:lineRule="exact"/>
        <w:ind w:right="-34" w:rightChars="-16" w:firstLine="3465" w:firstLineChars="1650"/>
        <w:jc w:val="left"/>
        <w:rPr>
          <w:rFonts w:ascii="宋体" w:hAnsi="宋体"/>
          <w:kern w:val="0"/>
        </w:rPr>
      </w:pPr>
      <w:r>
        <w:rPr>
          <w:rFonts w:hint="eastAsia" w:ascii="宋体" w:hAnsi="宋体"/>
          <w:kern w:val="0"/>
        </w:rPr>
        <w:t>地址：</w:t>
      </w:r>
    </w:p>
    <w:p>
      <w:pPr>
        <w:autoSpaceDE w:val="0"/>
        <w:autoSpaceDN w:val="0"/>
        <w:adjustRightInd w:val="0"/>
        <w:spacing w:line="400" w:lineRule="exact"/>
        <w:ind w:right="-34" w:rightChars="-16" w:firstLine="3465" w:firstLineChars="1650"/>
        <w:jc w:val="left"/>
        <w:rPr>
          <w:rFonts w:ascii="宋体" w:hAnsi="宋体"/>
          <w:kern w:val="0"/>
        </w:rPr>
      </w:pPr>
      <w:r>
        <w:rPr>
          <w:rFonts w:hint="eastAsia" w:ascii="宋体" w:hAnsi="宋体"/>
          <w:kern w:val="0"/>
        </w:rPr>
        <w:t>网址：</w:t>
      </w:r>
    </w:p>
    <w:p>
      <w:pPr>
        <w:autoSpaceDE w:val="0"/>
        <w:autoSpaceDN w:val="0"/>
        <w:adjustRightInd w:val="0"/>
        <w:spacing w:line="400" w:lineRule="exact"/>
        <w:ind w:right="-34" w:rightChars="-16" w:firstLine="3465" w:firstLineChars="1650"/>
        <w:jc w:val="left"/>
        <w:rPr>
          <w:rFonts w:ascii="宋体" w:hAnsi="宋体"/>
          <w:kern w:val="0"/>
        </w:rPr>
      </w:pPr>
      <w:r>
        <w:rPr>
          <w:rFonts w:hint="eastAsia" w:ascii="宋体" w:hAnsi="宋体"/>
          <w:kern w:val="0"/>
        </w:rPr>
        <w:t>电话：</w:t>
      </w:r>
    </w:p>
    <w:p>
      <w:pPr>
        <w:autoSpaceDE w:val="0"/>
        <w:autoSpaceDN w:val="0"/>
        <w:adjustRightInd w:val="0"/>
        <w:spacing w:line="400" w:lineRule="exact"/>
        <w:ind w:right="-34" w:rightChars="-16" w:firstLine="3465" w:firstLineChars="1650"/>
        <w:jc w:val="left"/>
        <w:rPr>
          <w:rFonts w:ascii="宋体" w:hAnsi="宋体"/>
          <w:kern w:val="0"/>
        </w:rPr>
      </w:pPr>
      <w:r>
        <w:rPr>
          <w:rFonts w:hint="eastAsia" w:ascii="宋体" w:hAnsi="宋体"/>
          <w:kern w:val="0"/>
        </w:rPr>
        <w:t>传真：</w:t>
      </w:r>
    </w:p>
    <w:p>
      <w:pPr>
        <w:autoSpaceDE w:val="0"/>
        <w:autoSpaceDN w:val="0"/>
        <w:adjustRightInd w:val="0"/>
        <w:spacing w:line="400" w:lineRule="exact"/>
        <w:ind w:right="-34" w:rightChars="-16" w:firstLine="3465" w:firstLineChars="1650"/>
        <w:jc w:val="left"/>
        <w:rPr>
          <w:rFonts w:ascii="宋体" w:hAnsi="宋体"/>
          <w:kern w:val="0"/>
        </w:rPr>
      </w:pPr>
      <w:r>
        <w:rPr>
          <w:rFonts w:hint="eastAsia" w:ascii="宋体" w:hAnsi="宋体"/>
          <w:kern w:val="0"/>
        </w:rPr>
        <w:t>邮政编码：</w:t>
      </w:r>
    </w:p>
    <w:p>
      <w:pPr>
        <w:autoSpaceDE w:val="0"/>
        <w:autoSpaceDN w:val="0"/>
        <w:adjustRightInd w:val="0"/>
        <w:spacing w:line="400" w:lineRule="exact"/>
        <w:ind w:right="-34" w:rightChars="-16" w:firstLine="3465" w:firstLineChars="1650"/>
        <w:jc w:val="left"/>
        <w:rPr>
          <w:rFonts w:ascii="宋体" w:hAnsi="宋体"/>
          <w:kern w:val="0"/>
        </w:rPr>
      </w:pPr>
      <w:r>
        <w:rPr>
          <w:rFonts w:hint="eastAsia" w:ascii="宋体" w:hAnsi="宋体"/>
          <w:kern w:val="0"/>
        </w:rPr>
        <w:t>日期：年月日</w:t>
      </w:r>
    </w:p>
    <w:p>
      <w:pPr>
        <w:rPr>
          <w:rFonts w:ascii="宋体" w:hAnsi="宋体"/>
          <w:b/>
          <w:kern w:val="0"/>
          <w:sz w:val="24"/>
        </w:rPr>
      </w:pPr>
    </w:p>
    <w:p>
      <w:pPr>
        <w:rPr>
          <w:rFonts w:ascii="宋体" w:hAnsi="宋体"/>
          <w:b/>
          <w:kern w:val="0"/>
          <w:sz w:val="24"/>
        </w:rPr>
      </w:pPr>
    </w:p>
    <w:p>
      <w:pPr>
        <w:autoSpaceDE w:val="0"/>
        <w:autoSpaceDN w:val="0"/>
        <w:adjustRightInd w:val="0"/>
        <w:spacing w:line="400" w:lineRule="exact"/>
        <w:ind w:right="-34" w:rightChars="-16"/>
        <w:jc w:val="center"/>
        <w:outlineLvl w:val="0"/>
        <w:rPr>
          <w:rFonts w:ascii="宋体" w:hAnsi="宋体"/>
          <w:b/>
          <w:kern w:val="0"/>
          <w:sz w:val="24"/>
        </w:rPr>
      </w:pPr>
      <w:r>
        <w:rPr>
          <w:rFonts w:ascii="宋体" w:hAnsi="宋体"/>
          <w:b/>
          <w:kern w:val="0"/>
          <w:sz w:val="24"/>
        </w:rPr>
        <w:br w:type="page"/>
      </w:r>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Start w:id="1111" w:name="_Toc431367137"/>
      <w:bookmarkStart w:id="1112" w:name="_Toc476567028"/>
      <w:bookmarkStart w:id="1113" w:name="_Toc17091"/>
      <w:bookmarkStart w:id="1114" w:name="_Toc8728"/>
      <w:bookmarkStart w:id="1115" w:name="_Toc492225549"/>
      <w:bookmarkStart w:id="1116" w:name="_Toc227492345"/>
      <w:bookmarkStart w:id="1117" w:name="_Toc272772668"/>
      <w:bookmarkStart w:id="1118" w:name="_Toc431367138"/>
      <w:bookmarkStart w:id="1119" w:name="_Toc228589263"/>
      <w:bookmarkStart w:id="1120" w:name="_Toc228881249"/>
      <w:bookmarkStart w:id="1121" w:name="_Toc227657587"/>
      <w:bookmarkStart w:id="1122" w:name="_Toc228591757"/>
      <w:bookmarkStart w:id="1123" w:name="_Toc228591609"/>
      <w:bookmarkStart w:id="1124" w:name="_Toc228337198"/>
      <w:bookmarkStart w:id="1125" w:name="_Toc214433989"/>
      <w:r>
        <w:rPr>
          <w:rFonts w:hint="eastAsia" w:ascii="宋体" w:hAnsi="宋体"/>
          <w:b/>
          <w:kern w:val="0"/>
          <w:sz w:val="24"/>
        </w:rPr>
        <w:t>（二）投标函附录</w:t>
      </w:r>
      <w:bookmarkEnd w:id="1111"/>
      <w:bookmarkEnd w:id="1112"/>
    </w:p>
    <w:tbl>
      <w:tblPr>
        <w:tblStyle w:val="46"/>
        <w:tblW w:w="931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90"/>
        <w:gridCol w:w="1922"/>
        <w:gridCol w:w="1173"/>
        <w:gridCol w:w="225"/>
        <w:gridCol w:w="552"/>
        <w:gridCol w:w="1816"/>
        <w:gridCol w:w="1519"/>
        <w:gridCol w:w="111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0" w:hRule="exact"/>
        </w:trPr>
        <w:tc>
          <w:tcPr>
            <w:tcW w:w="2912" w:type="dxa"/>
            <w:gridSpan w:val="2"/>
            <w:vAlign w:val="center"/>
          </w:tcPr>
          <w:p>
            <w:pPr>
              <w:snapToGrid w:val="0"/>
              <w:spacing w:line="400" w:lineRule="exact"/>
              <w:ind w:right="-34" w:rightChars="-16"/>
              <w:jc w:val="center"/>
              <w:rPr>
                <w:rFonts w:ascii="宋体" w:hAnsi="宋体"/>
                <w:szCs w:val="21"/>
              </w:rPr>
            </w:pPr>
            <w:r>
              <w:rPr>
                <w:rFonts w:hint="eastAsia" w:ascii="宋体" w:hAnsi="宋体"/>
                <w:szCs w:val="21"/>
              </w:rPr>
              <w:t>项目名称</w:t>
            </w:r>
          </w:p>
        </w:tc>
        <w:tc>
          <w:tcPr>
            <w:tcW w:w="3766" w:type="dxa"/>
            <w:gridSpan w:val="4"/>
            <w:vAlign w:val="center"/>
          </w:tcPr>
          <w:p>
            <w:pPr>
              <w:snapToGrid w:val="0"/>
              <w:spacing w:line="400" w:lineRule="exact"/>
              <w:ind w:right="-34" w:rightChars="-16"/>
              <w:rPr>
                <w:rFonts w:ascii="宋体" w:hAnsi="宋体"/>
                <w:szCs w:val="21"/>
                <w:u w:val="single"/>
              </w:rPr>
            </w:pPr>
          </w:p>
        </w:tc>
        <w:tc>
          <w:tcPr>
            <w:tcW w:w="1519" w:type="dxa"/>
            <w:vAlign w:val="center"/>
          </w:tcPr>
          <w:p>
            <w:pPr>
              <w:snapToGrid w:val="0"/>
              <w:spacing w:line="400" w:lineRule="exact"/>
              <w:ind w:right="-34" w:rightChars="-16"/>
              <w:rPr>
                <w:rFonts w:hint="eastAsia" w:ascii="宋体" w:hAnsi="宋体" w:eastAsia="宋体"/>
                <w:szCs w:val="21"/>
                <w:u w:val="single"/>
                <w:lang w:eastAsia="zh-CN"/>
              </w:rPr>
            </w:pPr>
            <w:r>
              <w:rPr>
                <w:rFonts w:hint="eastAsia" w:ascii="宋体" w:hAnsi="宋体"/>
                <w:szCs w:val="21"/>
                <w:u w:val="none"/>
                <w:lang w:eastAsia="zh-CN"/>
              </w:rPr>
              <w:t>标段</w:t>
            </w:r>
          </w:p>
        </w:tc>
        <w:tc>
          <w:tcPr>
            <w:tcW w:w="1114" w:type="dxa"/>
            <w:vAlign w:val="center"/>
          </w:tcPr>
          <w:p>
            <w:pPr>
              <w:snapToGrid w:val="0"/>
              <w:spacing w:line="400" w:lineRule="exact"/>
              <w:ind w:right="-34" w:rightChars="-16"/>
              <w:rPr>
                <w:rFonts w:ascii="宋体" w:hAnsi="宋体"/>
                <w:szCs w:val="21"/>
                <w:u w:val="singl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50" w:hRule="exact"/>
        </w:trPr>
        <w:tc>
          <w:tcPr>
            <w:tcW w:w="2912" w:type="dxa"/>
            <w:gridSpan w:val="2"/>
            <w:vAlign w:val="center"/>
          </w:tcPr>
          <w:p>
            <w:pPr>
              <w:snapToGrid w:val="0"/>
              <w:spacing w:line="400" w:lineRule="exact"/>
              <w:ind w:right="-34" w:rightChars="-16"/>
              <w:jc w:val="center"/>
              <w:rPr>
                <w:rFonts w:ascii="宋体" w:hAnsi="宋体"/>
                <w:szCs w:val="21"/>
              </w:rPr>
            </w:pPr>
            <w:r>
              <w:rPr>
                <w:rFonts w:hint="eastAsia" w:ascii="宋体" w:hAnsi="宋体"/>
                <w:szCs w:val="21"/>
              </w:rPr>
              <w:t>投标人</w:t>
            </w:r>
          </w:p>
        </w:tc>
        <w:tc>
          <w:tcPr>
            <w:tcW w:w="3766" w:type="dxa"/>
            <w:gridSpan w:val="4"/>
            <w:vAlign w:val="center"/>
          </w:tcPr>
          <w:p>
            <w:pPr>
              <w:snapToGrid w:val="0"/>
              <w:spacing w:line="400" w:lineRule="exact"/>
              <w:ind w:right="-34" w:rightChars="-16"/>
              <w:rPr>
                <w:rFonts w:ascii="宋体" w:hAnsi="宋体"/>
                <w:szCs w:val="21"/>
                <w:u w:val="single"/>
              </w:rPr>
            </w:pPr>
          </w:p>
        </w:tc>
        <w:tc>
          <w:tcPr>
            <w:tcW w:w="1519" w:type="dxa"/>
            <w:vAlign w:val="center"/>
          </w:tcPr>
          <w:p>
            <w:pPr>
              <w:snapToGrid w:val="0"/>
              <w:spacing w:line="400" w:lineRule="exact"/>
              <w:ind w:right="-34" w:rightChars="-16"/>
              <w:rPr>
                <w:rFonts w:ascii="宋体" w:hAnsi="宋体"/>
                <w:szCs w:val="21"/>
              </w:rPr>
            </w:pPr>
            <w:r>
              <w:rPr>
                <w:rFonts w:hint="eastAsia" w:ascii="宋体" w:hAnsi="宋体"/>
                <w:szCs w:val="21"/>
              </w:rPr>
              <w:t>资质等级</w:t>
            </w:r>
          </w:p>
        </w:tc>
        <w:tc>
          <w:tcPr>
            <w:tcW w:w="1114" w:type="dxa"/>
            <w:vAlign w:val="center"/>
          </w:tcPr>
          <w:p>
            <w:pPr>
              <w:snapToGrid w:val="0"/>
              <w:spacing w:line="400" w:lineRule="exact"/>
              <w:ind w:right="-34" w:rightChars="-16"/>
              <w:rPr>
                <w:rFonts w:ascii="宋体" w:hAnsi="宋体"/>
                <w:szCs w:val="21"/>
                <w:u w:val="singl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2" w:hRule="atLeast"/>
        </w:trPr>
        <w:tc>
          <w:tcPr>
            <w:tcW w:w="2912" w:type="dxa"/>
            <w:gridSpan w:val="2"/>
            <w:vAlign w:val="center"/>
          </w:tcPr>
          <w:p>
            <w:pPr>
              <w:snapToGrid w:val="0"/>
              <w:spacing w:line="400" w:lineRule="exact"/>
              <w:ind w:right="-34" w:rightChars="-16"/>
              <w:jc w:val="center"/>
              <w:rPr>
                <w:rFonts w:ascii="宋体" w:hAnsi="宋体"/>
                <w:szCs w:val="21"/>
              </w:rPr>
            </w:pPr>
            <w:r>
              <w:rPr>
                <w:rFonts w:hint="eastAsia" w:ascii="宋体" w:hAnsi="宋体"/>
                <w:szCs w:val="21"/>
              </w:rPr>
              <w:t>投标工期</w:t>
            </w:r>
          </w:p>
        </w:tc>
        <w:tc>
          <w:tcPr>
            <w:tcW w:w="3766" w:type="dxa"/>
            <w:gridSpan w:val="4"/>
            <w:vAlign w:val="center"/>
          </w:tcPr>
          <w:p>
            <w:pPr>
              <w:snapToGrid w:val="0"/>
              <w:spacing w:line="400" w:lineRule="exact"/>
              <w:ind w:right="-34" w:rightChars="-16"/>
              <w:rPr>
                <w:rFonts w:hint="eastAsia" w:ascii="宋体" w:hAnsi="宋体" w:eastAsia="宋体"/>
                <w:szCs w:val="21"/>
                <w:lang w:eastAsia="zh-CN"/>
              </w:rPr>
            </w:pPr>
            <w:r>
              <w:rPr>
                <w:rFonts w:hint="eastAsia" w:ascii="宋体" w:hAnsi="宋体"/>
                <w:szCs w:val="21"/>
                <w:lang w:val="en-US" w:eastAsia="zh-CN"/>
              </w:rPr>
              <w:t xml:space="preserve"> </w:t>
            </w:r>
          </w:p>
        </w:tc>
        <w:tc>
          <w:tcPr>
            <w:tcW w:w="1519" w:type="dxa"/>
            <w:vAlign w:val="center"/>
          </w:tcPr>
          <w:p>
            <w:pPr>
              <w:snapToGrid w:val="0"/>
              <w:spacing w:line="400" w:lineRule="exact"/>
              <w:ind w:right="-34" w:rightChars="-16"/>
              <w:rPr>
                <w:rFonts w:ascii="宋体" w:hAnsi="宋体"/>
                <w:szCs w:val="21"/>
              </w:rPr>
            </w:pPr>
            <w:r>
              <w:rPr>
                <w:rFonts w:hint="eastAsia" w:ascii="宋体" w:hAnsi="宋体"/>
                <w:szCs w:val="21"/>
              </w:rPr>
              <w:t>投标质量标准</w:t>
            </w:r>
          </w:p>
        </w:tc>
        <w:tc>
          <w:tcPr>
            <w:tcW w:w="1114" w:type="dxa"/>
            <w:vAlign w:val="center"/>
          </w:tcPr>
          <w:p>
            <w:pPr>
              <w:snapToGrid w:val="0"/>
              <w:spacing w:line="400" w:lineRule="exact"/>
              <w:ind w:right="-34" w:rightChars="-16"/>
              <w:rPr>
                <w:rFonts w:ascii="宋体" w:hAnsi="宋体"/>
                <w:szCs w:val="21"/>
                <w:u w:val="singl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15" w:hRule="exact"/>
        </w:trPr>
        <w:tc>
          <w:tcPr>
            <w:tcW w:w="2912" w:type="dxa"/>
            <w:gridSpan w:val="2"/>
            <w:vAlign w:val="center"/>
          </w:tcPr>
          <w:p>
            <w:pPr>
              <w:snapToGrid w:val="0"/>
              <w:spacing w:line="400" w:lineRule="exact"/>
              <w:ind w:right="-34" w:rightChars="-16"/>
              <w:rPr>
                <w:rFonts w:ascii="宋体" w:hAnsi="宋体"/>
                <w:szCs w:val="21"/>
              </w:rPr>
            </w:pPr>
            <w:r>
              <w:rPr>
                <w:rFonts w:hint="eastAsia" w:ascii="宋体" w:hAnsi="宋体"/>
                <w:szCs w:val="21"/>
              </w:rPr>
              <w:t>项目经理</w:t>
            </w:r>
          </w:p>
        </w:tc>
        <w:tc>
          <w:tcPr>
            <w:tcW w:w="1173" w:type="dxa"/>
            <w:vAlign w:val="center"/>
          </w:tcPr>
          <w:p>
            <w:pPr>
              <w:snapToGrid w:val="0"/>
              <w:spacing w:line="400" w:lineRule="exact"/>
              <w:ind w:right="-34" w:rightChars="-16"/>
              <w:rPr>
                <w:rFonts w:ascii="宋体" w:hAnsi="宋体"/>
                <w:szCs w:val="21"/>
                <w:u w:val="single"/>
              </w:rPr>
            </w:pPr>
          </w:p>
        </w:tc>
        <w:tc>
          <w:tcPr>
            <w:tcW w:w="777" w:type="dxa"/>
            <w:gridSpan w:val="2"/>
            <w:vAlign w:val="center"/>
          </w:tcPr>
          <w:p>
            <w:pPr>
              <w:snapToGrid w:val="0"/>
              <w:spacing w:line="400" w:lineRule="exact"/>
              <w:ind w:right="-34" w:rightChars="-16"/>
              <w:rPr>
                <w:rFonts w:ascii="宋体" w:hAnsi="宋体"/>
                <w:szCs w:val="21"/>
              </w:rPr>
            </w:pPr>
            <w:r>
              <w:rPr>
                <w:rFonts w:hint="eastAsia" w:ascii="宋体" w:hAnsi="宋体"/>
                <w:szCs w:val="21"/>
              </w:rPr>
              <w:t>级别</w:t>
            </w:r>
          </w:p>
        </w:tc>
        <w:tc>
          <w:tcPr>
            <w:tcW w:w="1816" w:type="dxa"/>
            <w:vAlign w:val="center"/>
          </w:tcPr>
          <w:p>
            <w:pPr>
              <w:snapToGrid w:val="0"/>
              <w:spacing w:line="400" w:lineRule="exact"/>
              <w:ind w:right="-34" w:rightChars="-16"/>
              <w:rPr>
                <w:rFonts w:ascii="宋体" w:hAnsi="宋体"/>
                <w:szCs w:val="21"/>
                <w:u w:val="single"/>
              </w:rPr>
            </w:pPr>
          </w:p>
        </w:tc>
        <w:tc>
          <w:tcPr>
            <w:tcW w:w="1519" w:type="dxa"/>
            <w:vAlign w:val="center"/>
          </w:tcPr>
          <w:p>
            <w:pPr>
              <w:snapToGrid w:val="0"/>
              <w:spacing w:line="400" w:lineRule="exact"/>
              <w:ind w:right="-34" w:rightChars="-16"/>
              <w:rPr>
                <w:rFonts w:ascii="宋体" w:hAnsi="宋体"/>
                <w:szCs w:val="21"/>
              </w:rPr>
            </w:pPr>
            <w:r>
              <w:rPr>
                <w:rFonts w:hint="eastAsia" w:ascii="宋体" w:hAnsi="宋体"/>
                <w:szCs w:val="21"/>
              </w:rPr>
              <w:t>注册建造师证书编号</w:t>
            </w:r>
          </w:p>
        </w:tc>
        <w:tc>
          <w:tcPr>
            <w:tcW w:w="1114" w:type="dxa"/>
            <w:tcBorders>
              <w:top w:val="single" w:color="auto" w:sz="4" w:space="0"/>
            </w:tcBorders>
            <w:vAlign w:val="center"/>
          </w:tcPr>
          <w:p>
            <w:pPr>
              <w:snapToGrid w:val="0"/>
              <w:spacing w:line="400" w:lineRule="exact"/>
              <w:ind w:right="-34" w:rightChars="-16"/>
              <w:rPr>
                <w:rFonts w:ascii="宋体" w:hAnsi="宋体"/>
                <w:szCs w:val="21"/>
                <w:u w:val="singl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99" w:hRule="exact"/>
        </w:trPr>
        <w:tc>
          <w:tcPr>
            <w:tcW w:w="2912" w:type="dxa"/>
            <w:gridSpan w:val="2"/>
            <w:tcBorders>
              <w:bottom w:val="single" w:color="auto" w:sz="4" w:space="0"/>
            </w:tcBorders>
            <w:vAlign w:val="center"/>
          </w:tcPr>
          <w:p>
            <w:pPr>
              <w:snapToGrid w:val="0"/>
              <w:spacing w:line="400" w:lineRule="exact"/>
              <w:ind w:right="-34" w:rightChars="-16"/>
              <w:jc w:val="center"/>
              <w:rPr>
                <w:rFonts w:ascii="宋体" w:hAnsi="宋体"/>
                <w:szCs w:val="21"/>
              </w:rPr>
            </w:pPr>
            <w:r>
              <w:rPr>
                <w:rFonts w:hint="eastAsia" w:ascii="宋体" w:hAnsi="宋体"/>
                <w:szCs w:val="21"/>
              </w:rPr>
              <w:t>投标总报价（含规费、税金、安全文明施工措施费）</w:t>
            </w:r>
          </w:p>
        </w:tc>
        <w:tc>
          <w:tcPr>
            <w:tcW w:w="6399" w:type="dxa"/>
            <w:gridSpan w:val="6"/>
            <w:tcBorders>
              <w:bottom w:val="single" w:color="auto" w:sz="4" w:space="0"/>
            </w:tcBorders>
            <w:vAlign w:val="center"/>
          </w:tcPr>
          <w:p>
            <w:pPr>
              <w:snapToGrid w:val="0"/>
              <w:spacing w:line="400" w:lineRule="exact"/>
              <w:ind w:right="-34" w:rightChars="-16"/>
              <w:rPr>
                <w:rFonts w:ascii="宋体" w:hAnsi="宋体"/>
                <w:szCs w:val="21"/>
              </w:rPr>
            </w:pPr>
            <w:r>
              <w:rPr>
                <w:rFonts w:hint="eastAsia" w:ascii="宋体" w:hAnsi="宋体"/>
                <w:szCs w:val="21"/>
              </w:rPr>
              <w:t>人民币（大写）：</w:t>
            </w:r>
          </w:p>
          <w:p>
            <w:pPr>
              <w:snapToGrid w:val="0"/>
              <w:spacing w:line="400" w:lineRule="exact"/>
              <w:ind w:right="-34" w:rightChars="-16"/>
              <w:rPr>
                <w:rFonts w:ascii="宋体" w:hAnsi="宋体"/>
                <w:szCs w:val="21"/>
              </w:rPr>
            </w:pPr>
            <w:r>
              <w:rPr>
                <w:rFonts w:hint="eastAsia" w:ascii="宋体" w:hAnsi="宋体"/>
                <w:szCs w:val="21"/>
              </w:rPr>
              <w:t>RMB</w:t>
            </w:r>
            <w:r>
              <w:t>￥</w:t>
            </w:r>
            <w:r>
              <w:rPr>
                <w:rFonts w:hint="eastAsia" w:ascii="宋体" w:hAnsi="宋体"/>
                <w:szCs w:val="21"/>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25" w:hRule="exact"/>
        </w:trPr>
        <w:tc>
          <w:tcPr>
            <w:tcW w:w="990" w:type="dxa"/>
            <w:vMerge w:val="restart"/>
            <w:tcBorders>
              <w:top w:val="single" w:color="auto" w:sz="4" w:space="0"/>
              <w:right w:val="single" w:color="auto" w:sz="4" w:space="0"/>
            </w:tcBorders>
            <w:vAlign w:val="center"/>
          </w:tcPr>
          <w:p>
            <w:pPr>
              <w:snapToGrid w:val="0"/>
              <w:spacing w:line="400" w:lineRule="exact"/>
              <w:ind w:right="-34" w:rightChars="-16"/>
              <w:jc w:val="center"/>
              <w:rPr>
                <w:rFonts w:ascii="宋体" w:hAnsi="宋体"/>
                <w:szCs w:val="21"/>
              </w:rPr>
            </w:pPr>
            <w:r>
              <w:rPr>
                <w:rFonts w:hint="eastAsia" w:ascii="宋体" w:hAnsi="宋体"/>
                <w:szCs w:val="21"/>
              </w:rPr>
              <w:t>其</w:t>
            </w:r>
          </w:p>
          <w:p>
            <w:pPr>
              <w:snapToGrid w:val="0"/>
              <w:spacing w:line="400" w:lineRule="exact"/>
              <w:ind w:right="-34" w:rightChars="-16"/>
              <w:jc w:val="center"/>
              <w:rPr>
                <w:rFonts w:ascii="宋体" w:hAnsi="宋体"/>
                <w:szCs w:val="21"/>
              </w:rPr>
            </w:pPr>
            <w:r>
              <w:rPr>
                <w:rFonts w:hint="eastAsia" w:ascii="宋体" w:hAnsi="宋体"/>
                <w:szCs w:val="21"/>
              </w:rPr>
              <w:t>中</w:t>
            </w:r>
          </w:p>
          <w:p>
            <w:pPr>
              <w:snapToGrid w:val="0"/>
              <w:spacing w:line="400" w:lineRule="exact"/>
              <w:ind w:right="-34" w:rightChars="-16"/>
              <w:jc w:val="center"/>
              <w:rPr>
                <w:rFonts w:ascii="宋体" w:hAnsi="宋体"/>
                <w:szCs w:val="21"/>
              </w:rPr>
            </w:pPr>
            <w:r>
              <w:rPr>
                <w:rFonts w:hint="eastAsia" w:ascii="宋体" w:hAnsi="宋体"/>
                <w:szCs w:val="21"/>
              </w:rPr>
              <w:t>不</w:t>
            </w:r>
          </w:p>
          <w:p>
            <w:pPr>
              <w:snapToGrid w:val="0"/>
              <w:spacing w:line="400" w:lineRule="exact"/>
              <w:ind w:right="-34" w:rightChars="-16"/>
              <w:jc w:val="center"/>
              <w:rPr>
                <w:rFonts w:ascii="宋体" w:hAnsi="宋体"/>
                <w:szCs w:val="21"/>
              </w:rPr>
            </w:pPr>
            <w:r>
              <w:rPr>
                <w:rFonts w:hint="eastAsia" w:ascii="宋体" w:hAnsi="宋体"/>
                <w:szCs w:val="21"/>
              </w:rPr>
              <w:t>可</w:t>
            </w:r>
          </w:p>
          <w:p>
            <w:pPr>
              <w:snapToGrid w:val="0"/>
              <w:spacing w:line="400" w:lineRule="exact"/>
              <w:ind w:right="-34" w:rightChars="-16"/>
              <w:jc w:val="center"/>
              <w:rPr>
                <w:rFonts w:ascii="宋体" w:hAnsi="宋体"/>
                <w:szCs w:val="21"/>
              </w:rPr>
            </w:pPr>
            <w:r>
              <w:rPr>
                <w:rFonts w:hint="eastAsia" w:ascii="宋体" w:hAnsi="宋体"/>
                <w:szCs w:val="21"/>
              </w:rPr>
              <w:t>竞</w:t>
            </w:r>
          </w:p>
          <w:p>
            <w:pPr>
              <w:snapToGrid w:val="0"/>
              <w:spacing w:line="400" w:lineRule="exact"/>
              <w:ind w:right="-34" w:rightChars="-16"/>
              <w:jc w:val="center"/>
              <w:rPr>
                <w:rFonts w:ascii="宋体" w:hAnsi="宋体"/>
                <w:szCs w:val="21"/>
              </w:rPr>
            </w:pPr>
            <w:r>
              <w:rPr>
                <w:rFonts w:hint="eastAsia" w:ascii="宋体" w:hAnsi="宋体"/>
                <w:szCs w:val="21"/>
              </w:rPr>
              <w:t>争</w:t>
            </w:r>
          </w:p>
          <w:p>
            <w:pPr>
              <w:snapToGrid w:val="0"/>
              <w:spacing w:line="400" w:lineRule="exact"/>
              <w:ind w:right="-34" w:rightChars="-16"/>
              <w:jc w:val="center"/>
              <w:rPr>
                <w:rFonts w:ascii="宋体" w:hAnsi="宋体"/>
                <w:szCs w:val="21"/>
              </w:rPr>
            </w:pPr>
            <w:r>
              <w:rPr>
                <w:rFonts w:hint="eastAsia" w:ascii="宋体" w:hAnsi="宋体"/>
                <w:szCs w:val="21"/>
              </w:rPr>
              <w:t>费</w:t>
            </w:r>
          </w:p>
          <w:p>
            <w:pPr>
              <w:snapToGrid w:val="0"/>
              <w:spacing w:line="400" w:lineRule="exact"/>
              <w:ind w:right="-34" w:rightChars="-16"/>
              <w:jc w:val="center"/>
              <w:rPr>
                <w:rFonts w:ascii="宋体" w:hAnsi="宋体"/>
                <w:szCs w:val="21"/>
              </w:rPr>
            </w:pPr>
            <w:r>
              <w:rPr>
                <w:rFonts w:hint="eastAsia" w:ascii="宋体" w:hAnsi="宋体"/>
                <w:szCs w:val="21"/>
              </w:rPr>
              <w:t>用</w:t>
            </w:r>
          </w:p>
        </w:tc>
        <w:tc>
          <w:tcPr>
            <w:tcW w:w="1922" w:type="dxa"/>
            <w:tcBorders>
              <w:top w:val="single" w:color="auto" w:sz="4" w:space="0"/>
              <w:left w:val="single" w:color="auto" w:sz="4" w:space="0"/>
            </w:tcBorders>
            <w:vAlign w:val="center"/>
          </w:tcPr>
          <w:p>
            <w:pPr>
              <w:snapToGrid w:val="0"/>
              <w:spacing w:line="400" w:lineRule="exact"/>
              <w:ind w:right="-34" w:rightChars="-16"/>
              <w:jc w:val="center"/>
              <w:rPr>
                <w:rFonts w:ascii="宋体" w:hAnsi="宋体"/>
                <w:szCs w:val="21"/>
              </w:rPr>
            </w:pPr>
            <w:r>
              <w:rPr>
                <w:rFonts w:hint="eastAsia" w:ascii="宋体" w:hAnsi="宋体"/>
                <w:szCs w:val="21"/>
              </w:rPr>
              <w:t>规费</w:t>
            </w:r>
          </w:p>
        </w:tc>
        <w:tc>
          <w:tcPr>
            <w:tcW w:w="6399" w:type="dxa"/>
            <w:gridSpan w:val="6"/>
            <w:tcBorders>
              <w:top w:val="single" w:color="auto" w:sz="4" w:space="0"/>
            </w:tcBorders>
            <w:vAlign w:val="center"/>
          </w:tcPr>
          <w:p>
            <w:pPr>
              <w:snapToGrid w:val="0"/>
              <w:spacing w:line="400" w:lineRule="exact"/>
              <w:ind w:right="-34" w:rightChars="-16"/>
              <w:rPr>
                <w:rFonts w:ascii="宋体" w:hAnsi="宋体"/>
                <w:szCs w:val="21"/>
              </w:rPr>
            </w:pPr>
            <w:r>
              <w:rPr>
                <w:rFonts w:hint="eastAsia" w:ascii="宋体" w:hAnsi="宋体"/>
                <w:szCs w:val="21"/>
              </w:rPr>
              <w:t>RMB</w:t>
            </w:r>
            <w:r>
              <w:t>￥</w:t>
            </w:r>
            <w:r>
              <w:rPr>
                <w:rFonts w:hint="eastAsia" w:ascii="宋体" w:hAnsi="宋体"/>
                <w:szCs w:val="21"/>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00" w:hRule="exact"/>
        </w:trPr>
        <w:tc>
          <w:tcPr>
            <w:tcW w:w="990" w:type="dxa"/>
            <w:vMerge w:val="continue"/>
            <w:tcBorders>
              <w:top w:val="single" w:color="auto" w:sz="4" w:space="0"/>
              <w:right w:val="single" w:color="auto" w:sz="4" w:space="0"/>
            </w:tcBorders>
            <w:vAlign w:val="center"/>
          </w:tcPr>
          <w:p>
            <w:pPr>
              <w:snapToGrid w:val="0"/>
              <w:spacing w:line="400" w:lineRule="exact"/>
              <w:ind w:right="-34" w:rightChars="-16"/>
              <w:jc w:val="center"/>
              <w:rPr>
                <w:rFonts w:ascii="宋体" w:hAnsi="宋体"/>
                <w:szCs w:val="21"/>
              </w:rPr>
            </w:pPr>
          </w:p>
        </w:tc>
        <w:tc>
          <w:tcPr>
            <w:tcW w:w="1922" w:type="dxa"/>
            <w:tcBorders>
              <w:top w:val="single" w:color="auto" w:sz="4" w:space="0"/>
              <w:left w:val="single" w:color="auto" w:sz="4" w:space="0"/>
            </w:tcBorders>
            <w:vAlign w:val="center"/>
          </w:tcPr>
          <w:p>
            <w:pPr>
              <w:snapToGrid w:val="0"/>
              <w:spacing w:line="400" w:lineRule="exact"/>
              <w:ind w:right="-34" w:rightChars="-16"/>
              <w:jc w:val="center"/>
              <w:rPr>
                <w:rFonts w:ascii="宋体" w:hAnsi="宋体"/>
                <w:szCs w:val="21"/>
              </w:rPr>
            </w:pPr>
            <w:r>
              <w:rPr>
                <w:rFonts w:hint="eastAsia" w:ascii="宋体" w:hAnsi="宋体"/>
                <w:szCs w:val="21"/>
              </w:rPr>
              <w:t>税金</w:t>
            </w:r>
          </w:p>
        </w:tc>
        <w:tc>
          <w:tcPr>
            <w:tcW w:w="6399" w:type="dxa"/>
            <w:gridSpan w:val="6"/>
            <w:tcBorders>
              <w:top w:val="single" w:color="auto" w:sz="4" w:space="0"/>
            </w:tcBorders>
            <w:vAlign w:val="center"/>
          </w:tcPr>
          <w:p>
            <w:pPr>
              <w:snapToGrid w:val="0"/>
              <w:spacing w:line="400" w:lineRule="exact"/>
              <w:ind w:right="-34" w:rightChars="-16"/>
              <w:rPr>
                <w:rFonts w:ascii="宋体" w:hAnsi="宋体"/>
                <w:szCs w:val="21"/>
              </w:rPr>
            </w:pPr>
            <w:r>
              <w:rPr>
                <w:rFonts w:hint="eastAsia" w:ascii="宋体" w:hAnsi="宋体"/>
                <w:szCs w:val="21"/>
              </w:rPr>
              <w:t>RMB</w:t>
            </w:r>
            <w:r>
              <w:t>￥</w:t>
            </w:r>
            <w:r>
              <w:rPr>
                <w:rFonts w:hint="eastAsia" w:ascii="宋体" w:hAnsi="宋体"/>
                <w:szCs w:val="21"/>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55" w:hRule="atLeast"/>
        </w:trPr>
        <w:tc>
          <w:tcPr>
            <w:tcW w:w="990" w:type="dxa"/>
            <w:vMerge w:val="continue"/>
            <w:tcBorders>
              <w:right w:val="single" w:color="auto" w:sz="4" w:space="0"/>
            </w:tcBorders>
            <w:vAlign w:val="center"/>
          </w:tcPr>
          <w:p>
            <w:pPr>
              <w:snapToGrid w:val="0"/>
              <w:spacing w:line="400" w:lineRule="exact"/>
              <w:ind w:right="-34" w:rightChars="-16"/>
              <w:jc w:val="center"/>
              <w:rPr>
                <w:rFonts w:ascii="宋体" w:hAnsi="宋体"/>
                <w:szCs w:val="21"/>
              </w:rPr>
            </w:pPr>
          </w:p>
        </w:tc>
        <w:tc>
          <w:tcPr>
            <w:tcW w:w="1922" w:type="dxa"/>
            <w:tcBorders>
              <w:top w:val="single" w:color="auto" w:sz="4" w:space="0"/>
              <w:left w:val="single" w:color="auto" w:sz="4" w:space="0"/>
            </w:tcBorders>
            <w:vAlign w:val="center"/>
          </w:tcPr>
          <w:p>
            <w:pPr>
              <w:snapToGrid w:val="0"/>
              <w:spacing w:line="400" w:lineRule="exact"/>
              <w:ind w:right="-34" w:rightChars="-16"/>
              <w:jc w:val="center"/>
              <w:rPr>
                <w:rFonts w:ascii="宋体" w:hAnsi="宋体"/>
                <w:szCs w:val="21"/>
              </w:rPr>
            </w:pPr>
            <w:r>
              <w:rPr>
                <w:rFonts w:hint="eastAsia" w:ascii="宋体" w:hAnsi="宋体"/>
                <w:szCs w:val="21"/>
              </w:rPr>
              <w:t>安全文明施工措施费</w:t>
            </w:r>
          </w:p>
        </w:tc>
        <w:tc>
          <w:tcPr>
            <w:tcW w:w="6399" w:type="dxa"/>
            <w:gridSpan w:val="6"/>
            <w:tcBorders>
              <w:top w:val="single" w:color="auto" w:sz="4" w:space="0"/>
            </w:tcBorders>
            <w:vAlign w:val="center"/>
          </w:tcPr>
          <w:p>
            <w:pPr>
              <w:snapToGrid w:val="0"/>
              <w:spacing w:line="400" w:lineRule="exact"/>
              <w:ind w:right="-34" w:rightChars="-16"/>
              <w:rPr>
                <w:rFonts w:ascii="宋体" w:hAnsi="宋体"/>
                <w:szCs w:val="21"/>
              </w:rPr>
            </w:pPr>
            <w:r>
              <w:rPr>
                <w:rFonts w:hint="eastAsia" w:ascii="宋体" w:hAnsi="宋体"/>
                <w:szCs w:val="21"/>
              </w:rPr>
              <w:t>RMB</w:t>
            </w:r>
            <w:r>
              <w:t>￥</w:t>
            </w:r>
            <w:r>
              <w:rPr>
                <w:rFonts w:hint="eastAsia" w:ascii="宋体" w:hAnsi="宋体"/>
                <w:szCs w:val="21"/>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36" w:hRule="atLeast"/>
        </w:trPr>
        <w:tc>
          <w:tcPr>
            <w:tcW w:w="2912" w:type="dxa"/>
            <w:gridSpan w:val="2"/>
            <w:vAlign w:val="center"/>
          </w:tcPr>
          <w:p>
            <w:pPr>
              <w:snapToGrid w:val="0"/>
              <w:spacing w:line="400" w:lineRule="exact"/>
              <w:ind w:right="-34" w:rightChars="-16"/>
              <w:jc w:val="center"/>
              <w:rPr>
                <w:rFonts w:ascii="宋体" w:hAnsi="宋体"/>
                <w:szCs w:val="21"/>
              </w:rPr>
            </w:pPr>
            <w:r>
              <w:rPr>
                <w:rFonts w:ascii="宋体" w:hAnsi="宋体"/>
                <w:szCs w:val="21"/>
              </w:rPr>
              <w:softHyphen/>
            </w:r>
            <w:r>
              <w:rPr>
                <w:rFonts w:hint="eastAsia" w:ascii="宋体" w:hAnsi="宋体"/>
                <w:szCs w:val="21"/>
              </w:rPr>
              <w:t>其中：措施项目费报价</w:t>
            </w:r>
          </w:p>
          <w:p>
            <w:pPr>
              <w:snapToGrid w:val="0"/>
              <w:spacing w:line="400" w:lineRule="exact"/>
              <w:ind w:right="-34" w:rightChars="-16"/>
              <w:jc w:val="center"/>
              <w:rPr>
                <w:rFonts w:ascii="宋体" w:hAnsi="宋体"/>
                <w:szCs w:val="21"/>
              </w:rPr>
            </w:pPr>
            <w:r>
              <w:rPr>
                <w:rFonts w:hint="eastAsia" w:ascii="宋体" w:hAnsi="宋体"/>
                <w:szCs w:val="21"/>
              </w:rPr>
              <w:t>（不含安全文明施工措施费）</w:t>
            </w:r>
          </w:p>
        </w:tc>
        <w:tc>
          <w:tcPr>
            <w:tcW w:w="6399" w:type="dxa"/>
            <w:gridSpan w:val="6"/>
            <w:vAlign w:val="center"/>
          </w:tcPr>
          <w:p>
            <w:pPr>
              <w:snapToGrid w:val="0"/>
              <w:spacing w:line="400" w:lineRule="exact"/>
              <w:ind w:right="-34" w:rightChars="-16"/>
              <w:rPr>
                <w:rFonts w:ascii="宋体" w:hAnsi="宋体"/>
                <w:szCs w:val="21"/>
              </w:rPr>
            </w:pPr>
            <w:r>
              <w:rPr>
                <w:rFonts w:hint="eastAsia" w:ascii="宋体" w:hAnsi="宋体"/>
                <w:szCs w:val="21"/>
              </w:rPr>
              <w:t>人民币（大写）：</w:t>
            </w:r>
          </w:p>
          <w:p>
            <w:pPr>
              <w:snapToGrid w:val="0"/>
              <w:spacing w:line="400" w:lineRule="exact"/>
              <w:ind w:right="-34" w:rightChars="-16"/>
              <w:rPr>
                <w:rFonts w:ascii="宋体" w:hAnsi="宋体"/>
                <w:szCs w:val="21"/>
              </w:rPr>
            </w:pPr>
            <w:r>
              <w:rPr>
                <w:rFonts w:hint="eastAsia" w:ascii="宋体" w:hAnsi="宋体"/>
                <w:szCs w:val="21"/>
              </w:rPr>
              <w:t>RMB</w:t>
            </w:r>
            <w:r>
              <w:t>￥</w:t>
            </w:r>
            <w:r>
              <w:rPr>
                <w:rFonts w:hint="eastAsia" w:ascii="宋体" w:hAnsi="宋体"/>
                <w:szCs w:val="21"/>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49" w:hRule="atLeast"/>
        </w:trPr>
        <w:tc>
          <w:tcPr>
            <w:tcW w:w="2912" w:type="dxa"/>
            <w:gridSpan w:val="2"/>
            <w:vAlign w:val="center"/>
          </w:tcPr>
          <w:p>
            <w:pPr>
              <w:snapToGrid w:val="0"/>
              <w:spacing w:line="400" w:lineRule="exact"/>
              <w:ind w:right="-34" w:rightChars="-16"/>
              <w:jc w:val="center"/>
              <w:rPr>
                <w:rFonts w:ascii="宋体" w:hAnsi="宋体"/>
                <w:szCs w:val="21"/>
              </w:rPr>
            </w:pPr>
            <w:r>
              <w:rPr>
                <w:rFonts w:hint="eastAsia" w:ascii="宋体" w:hAnsi="宋体"/>
                <w:szCs w:val="21"/>
              </w:rPr>
              <w:t>报价中未含内容及要求</w:t>
            </w:r>
          </w:p>
          <w:p>
            <w:pPr>
              <w:snapToGrid w:val="0"/>
              <w:spacing w:line="400" w:lineRule="exact"/>
              <w:ind w:right="-34" w:rightChars="-16"/>
              <w:jc w:val="center"/>
              <w:rPr>
                <w:rFonts w:ascii="宋体" w:hAnsi="宋体"/>
                <w:szCs w:val="21"/>
              </w:rPr>
            </w:pPr>
            <w:r>
              <w:rPr>
                <w:rFonts w:hint="eastAsia" w:ascii="宋体" w:hAnsi="宋体"/>
                <w:szCs w:val="21"/>
              </w:rPr>
              <w:t>配合条件</w:t>
            </w:r>
          </w:p>
        </w:tc>
        <w:tc>
          <w:tcPr>
            <w:tcW w:w="6399" w:type="dxa"/>
            <w:gridSpan w:val="6"/>
            <w:vAlign w:val="center"/>
          </w:tcPr>
          <w:p>
            <w:pPr>
              <w:snapToGrid w:val="0"/>
              <w:spacing w:line="400" w:lineRule="exact"/>
              <w:ind w:right="-34" w:rightChars="-16"/>
              <w:rPr>
                <w:rFonts w:ascii="宋体" w:hAnsi="宋体"/>
                <w:szCs w:val="21"/>
              </w:rPr>
            </w:pPr>
          </w:p>
          <w:p>
            <w:pPr>
              <w:snapToGrid w:val="0"/>
              <w:spacing w:line="400" w:lineRule="exact"/>
              <w:ind w:right="-34" w:rightChars="-16"/>
              <w:rPr>
                <w:rFonts w:ascii="宋体" w:hAnsi="宋体"/>
                <w:szCs w:val="21"/>
                <w:u w:val="single"/>
              </w:rPr>
            </w:pPr>
          </w:p>
          <w:p>
            <w:pPr>
              <w:snapToGrid w:val="0"/>
              <w:spacing w:line="400" w:lineRule="exact"/>
              <w:ind w:right="-34" w:rightChars="-16"/>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4310" w:type="dxa"/>
            <w:gridSpan w:val="4"/>
            <w:vAlign w:val="center"/>
          </w:tcPr>
          <w:p>
            <w:pPr>
              <w:snapToGrid w:val="0"/>
              <w:spacing w:line="400" w:lineRule="exact"/>
              <w:ind w:right="-34" w:rightChars="-16"/>
              <w:rPr>
                <w:rFonts w:ascii="宋体" w:hAnsi="宋体"/>
                <w:szCs w:val="21"/>
              </w:rPr>
            </w:pPr>
          </w:p>
          <w:p>
            <w:pPr>
              <w:snapToGrid w:val="0"/>
              <w:spacing w:line="400" w:lineRule="exact"/>
              <w:ind w:right="-34" w:rightChars="-16"/>
              <w:rPr>
                <w:rFonts w:ascii="宋体" w:hAnsi="宋体"/>
                <w:szCs w:val="21"/>
              </w:rPr>
            </w:pPr>
          </w:p>
          <w:p>
            <w:pPr>
              <w:snapToGrid w:val="0"/>
              <w:spacing w:line="400" w:lineRule="exact"/>
              <w:ind w:right="-34" w:rightChars="-16"/>
              <w:rPr>
                <w:rFonts w:ascii="宋体" w:hAnsi="宋体"/>
                <w:szCs w:val="21"/>
              </w:rPr>
            </w:pPr>
            <w:r>
              <w:rPr>
                <w:rFonts w:hint="eastAsia" w:ascii="宋体" w:hAnsi="宋体"/>
                <w:szCs w:val="21"/>
              </w:rPr>
              <w:t>投标人盖章：</w:t>
            </w:r>
          </w:p>
          <w:p>
            <w:pPr>
              <w:snapToGrid w:val="0"/>
              <w:spacing w:line="400" w:lineRule="exact"/>
              <w:ind w:right="-34" w:rightChars="-16"/>
              <w:rPr>
                <w:rFonts w:ascii="宋体" w:hAnsi="宋体"/>
                <w:szCs w:val="21"/>
              </w:rPr>
            </w:pPr>
          </w:p>
          <w:p>
            <w:pPr>
              <w:snapToGrid w:val="0"/>
              <w:spacing w:line="400" w:lineRule="exact"/>
              <w:ind w:right="-34" w:rightChars="-16"/>
              <w:rPr>
                <w:rFonts w:ascii="宋体" w:hAnsi="宋体"/>
                <w:szCs w:val="21"/>
              </w:rPr>
            </w:pPr>
          </w:p>
        </w:tc>
        <w:tc>
          <w:tcPr>
            <w:tcW w:w="5001" w:type="dxa"/>
            <w:gridSpan w:val="4"/>
            <w:vAlign w:val="center"/>
          </w:tcPr>
          <w:p>
            <w:pPr>
              <w:snapToGrid w:val="0"/>
              <w:spacing w:line="400" w:lineRule="exact"/>
              <w:ind w:right="-34" w:rightChars="-16"/>
              <w:rPr>
                <w:rFonts w:ascii="宋体" w:hAnsi="宋体"/>
                <w:szCs w:val="21"/>
              </w:rPr>
            </w:pPr>
            <w:r>
              <w:rPr>
                <w:rFonts w:hint="eastAsia" w:ascii="宋体" w:hAnsi="宋体"/>
                <w:szCs w:val="21"/>
              </w:rPr>
              <w:t>企业法定代表人或其授权委托代理人签字：</w:t>
            </w:r>
          </w:p>
        </w:tc>
      </w:tr>
    </w:tbl>
    <w:p>
      <w:pPr>
        <w:autoSpaceDE w:val="0"/>
        <w:autoSpaceDN w:val="0"/>
        <w:adjustRightInd w:val="0"/>
        <w:spacing w:line="400" w:lineRule="exact"/>
        <w:ind w:right="-34" w:rightChars="-16"/>
        <w:outlineLvl w:val="0"/>
        <w:rPr>
          <w:rFonts w:ascii="黑体" w:hAnsi="新宋体" w:eastAsia="黑体"/>
          <w:b/>
          <w:kern w:val="0"/>
          <w:sz w:val="28"/>
        </w:rPr>
      </w:pPr>
    </w:p>
    <w:p>
      <w:pPr>
        <w:autoSpaceDE w:val="0"/>
        <w:autoSpaceDN w:val="0"/>
        <w:adjustRightInd w:val="0"/>
        <w:spacing w:line="400" w:lineRule="exact"/>
        <w:ind w:right="-34" w:rightChars="-16"/>
        <w:jc w:val="center"/>
        <w:outlineLvl w:val="0"/>
        <w:rPr>
          <w:rFonts w:ascii="黑体" w:hAnsi="新宋体" w:eastAsia="黑体"/>
          <w:b/>
          <w:kern w:val="0"/>
          <w:sz w:val="28"/>
        </w:rPr>
      </w:pPr>
      <w:r>
        <w:rPr>
          <w:rFonts w:hint="eastAsia" w:ascii="黑体" w:hAnsi="新宋体" w:eastAsia="黑体"/>
          <w:b/>
          <w:kern w:val="0"/>
          <w:sz w:val="28"/>
        </w:rPr>
        <w:t>二、法定代表人身份证明</w:t>
      </w:r>
      <w:bookmarkEnd w:id="1113"/>
      <w:bookmarkEnd w:id="1114"/>
      <w:bookmarkEnd w:id="1115"/>
    </w:p>
    <w:p>
      <w:pPr>
        <w:autoSpaceDE w:val="0"/>
        <w:autoSpaceDN w:val="0"/>
        <w:adjustRightInd w:val="0"/>
        <w:spacing w:line="400" w:lineRule="exact"/>
        <w:ind w:right="-34" w:rightChars="-16"/>
        <w:jc w:val="center"/>
        <w:rPr>
          <w:rFonts w:ascii="宋体" w:hAnsi="宋体"/>
          <w:kern w:val="0"/>
          <w:sz w:val="28"/>
        </w:rPr>
      </w:pPr>
    </w:p>
    <w:p>
      <w:pPr>
        <w:autoSpaceDE w:val="0"/>
        <w:autoSpaceDN w:val="0"/>
        <w:adjustRightInd w:val="0"/>
        <w:spacing w:line="400" w:lineRule="exact"/>
        <w:ind w:right="-34" w:rightChars="-16"/>
        <w:jc w:val="center"/>
        <w:rPr>
          <w:rFonts w:ascii="宋体" w:hAnsi="宋体"/>
          <w:kern w:val="0"/>
          <w:sz w:val="28"/>
        </w:rPr>
      </w:pPr>
    </w:p>
    <w:p>
      <w:pPr>
        <w:autoSpaceDE w:val="0"/>
        <w:autoSpaceDN w:val="0"/>
        <w:adjustRightInd w:val="0"/>
        <w:spacing w:line="400" w:lineRule="exact"/>
        <w:ind w:right="-34" w:rightChars="-16"/>
        <w:jc w:val="left"/>
        <w:rPr>
          <w:rFonts w:ascii="新宋体" w:hAnsi="新宋体" w:eastAsia="新宋体"/>
          <w:u w:val="single"/>
        </w:rPr>
      </w:pPr>
      <w:r>
        <w:rPr>
          <w:rFonts w:hint="eastAsia" w:ascii="宋体" w:hAnsi="宋体"/>
          <w:kern w:val="0"/>
        </w:rPr>
        <w:t>投标人名称：</w:t>
      </w:r>
    </w:p>
    <w:p>
      <w:pPr>
        <w:autoSpaceDE w:val="0"/>
        <w:autoSpaceDN w:val="0"/>
        <w:adjustRightInd w:val="0"/>
        <w:spacing w:line="400" w:lineRule="exact"/>
        <w:ind w:right="-34" w:rightChars="-16"/>
        <w:jc w:val="left"/>
        <w:rPr>
          <w:rFonts w:ascii="新宋体" w:hAnsi="新宋体" w:eastAsia="新宋体"/>
          <w:u w:val="single"/>
        </w:rPr>
      </w:pPr>
      <w:r>
        <w:rPr>
          <w:rFonts w:hint="eastAsia" w:ascii="宋体" w:hAnsi="宋体"/>
          <w:kern w:val="0"/>
        </w:rPr>
        <w:t>单位性质：</w:t>
      </w:r>
    </w:p>
    <w:p>
      <w:pPr>
        <w:autoSpaceDE w:val="0"/>
        <w:autoSpaceDN w:val="0"/>
        <w:adjustRightInd w:val="0"/>
        <w:spacing w:line="400" w:lineRule="exact"/>
        <w:ind w:right="-34" w:rightChars="-16"/>
        <w:jc w:val="left"/>
        <w:rPr>
          <w:rFonts w:ascii="宋体" w:hAnsi="宋体"/>
          <w:kern w:val="0"/>
        </w:rPr>
      </w:pPr>
      <w:r>
        <w:rPr>
          <w:rFonts w:hint="eastAsia" w:ascii="宋体" w:hAnsi="宋体"/>
          <w:kern w:val="0"/>
        </w:rPr>
        <w:t>地址：</w:t>
      </w:r>
    </w:p>
    <w:p>
      <w:pPr>
        <w:autoSpaceDE w:val="0"/>
        <w:autoSpaceDN w:val="0"/>
        <w:adjustRightInd w:val="0"/>
        <w:spacing w:line="400" w:lineRule="exact"/>
        <w:ind w:right="-34" w:rightChars="-16"/>
        <w:jc w:val="left"/>
        <w:rPr>
          <w:rFonts w:ascii="宋体" w:hAnsi="宋体"/>
          <w:kern w:val="0"/>
        </w:rPr>
      </w:pPr>
      <w:r>
        <w:rPr>
          <w:rFonts w:hint="eastAsia" w:ascii="宋体" w:hAnsi="宋体"/>
          <w:kern w:val="0"/>
        </w:rPr>
        <w:t>成立时间：年 月 日</w:t>
      </w:r>
    </w:p>
    <w:p>
      <w:pPr>
        <w:autoSpaceDE w:val="0"/>
        <w:autoSpaceDN w:val="0"/>
        <w:adjustRightInd w:val="0"/>
        <w:spacing w:line="400" w:lineRule="exact"/>
        <w:ind w:right="-34" w:rightChars="-16"/>
        <w:jc w:val="left"/>
        <w:rPr>
          <w:rFonts w:ascii="宋体" w:hAnsi="宋体"/>
          <w:kern w:val="0"/>
        </w:rPr>
      </w:pPr>
      <w:r>
        <w:rPr>
          <w:rFonts w:hint="eastAsia" w:ascii="宋体" w:hAnsi="宋体"/>
          <w:kern w:val="0"/>
        </w:rPr>
        <w:t>经营期限：</w:t>
      </w:r>
    </w:p>
    <w:p>
      <w:pPr>
        <w:autoSpaceDE w:val="0"/>
        <w:autoSpaceDN w:val="0"/>
        <w:adjustRightInd w:val="0"/>
        <w:spacing w:line="400" w:lineRule="exact"/>
        <w:ind w:right="-34" w:rightChars="-16"/>
        <w:jc w:val="left"/>
        <w:rPr>
          <w:rFonts w:ascii="新宋体" w:hAnsi="新宋体" w:eastAsia="新宋体"/>
          <w:u w:val="single"/>
        </w:rPr>
      </w:pPr>
      <w:r>
        <w:rPr>
          <w:rFonts w:hint="eastAsia" w:ascii="宋体" w:hAnsi="宋体"/>
          <w:kern w:val="0"/>
        </w:rPr>
        <w:t>姓名： 性别： 年龄： 职务：</w:t>
      </w:r>
    </w:p>
    <w:p>
      <w:pPr>
        <w:autoSpaceDE w:val="0"/>
        <w:autoSpaceDN w:val="0"/>
        <w:adjustRightInd w:val="0"/>
        <w:spacing w:line="400" w:lineRule="exact"/>
        <w:ind w:right="-34" w:rightChars="-16"/>
        <w:jc w:val="left"/>
        <w:rPr>
          <w:rFonts w:ascii="宋体" w:hAnsi="宋体"/>
          <w:kern w:val="0"/>
        </w:rPr>
      </w:pPr>
      <w:r>
        <w:rPr>
          <w:rFonts w:hint="eastAsia" w:ascii="宋体" w:hAnsi="宋体"/>
          <w:kern w:val="0"/>
        </w:rPr>
        <w:t>系 （投标人名称）的法定代表人。</w:t>
      </w:r>
    </w:p>
    <w:p>
      <w:pPr>
        <w:autoSpaceDE w:val="0"/>
        <w:autoSpaceDN w:val="0"/>
        <w:adjustRightInd w:val="0"/>
        <w:spacing w:line="400" w:lineRule="exact"/>
        <w:ind w:right="-34" w:rightChars="-16" w:firstLine="420" w:firstLineChars="200"/>
        <w:jc w:val="left"/>
        <w:rPr>
          <w:rFonts w:ascii="宋体" w:hAnsi="宋体"/>
          <w:kern w:val="0"/>
        </w:rPr>
      </w:pPr>
    </w:p>
    <w:p>
      <w:pPr>
        <w:autoSpaceDE w:val="0"/>
        <w:autoSpaceDN w:val="0"/>
        <w:adjustRightInd w:val="0"/>
        <w:spacing w:line="400" w:lineRule="exact"/>
        <w:ind w:right="-34" w:rightChars="-16" w:firstLine="420" w:firstLineChars="200"/>
        <w:jc w:val="left"/>
        <w:rPr>
          <w:rFonts w:ascii="宋体" w:hAnsi="宋体"/>
          <w:kern w:val="0"/>
        </w:rPr>
      </w:pPr>
      <w:r>
        <w:rPr>
          <w:rFonts w:hint="eastAsia" w:ascii="宋体" w:hAnsi="宋体"/>
          <w:kern w:val="0"/>
        </w:rPr>
        <w:t>特此证明。</w:t>
      </w:r>
    </w:p>
    <w:p>
      <w:pPr>
        <w:autoSpaceDE w:val="0"/>
        <w:autoSpaceDN w:val="0"/>
        <w:adjustRightInd w:val="0"/>
        <w:spacing w:line="400" w:lineRule="exact"/>
        <w:ind w:right="-34" w:rightChars="-16" w:firstLine="420" w:firstLineChars="200"/>
        <w:jc w:val="left"/>
        <w:rPr>
          <w:rFonts w:ascii="宋体" w:hAnsi="宋体"/>
          <w:kern w:val="0"/>
        </w:rPr>
      </w:pPr>
    </w:p>
    <w:p>
      <w:pPr>
        <w:autoSpaceDE w:val="0"/>
        <w:autoSpaceDN w:val="0"/>
        <w:adjustRightInd w:val="0"/>
        <w:spacing w:line="400" w:lineRule="exact"/>
        <w:ind w:right="-34" w:rightChars="-16" w:firstLine="2698" w:firstLineChars="1285"/>
        <w:jc w:val="right"/>
        <w:rPr>
          <w:rFonts w:ascii="宋体" w:hAnsi="宋体"/>
          <w:kern w:val="0"/>
        </w:rPr>
      </w:pPr>
      <w:r>
        <w:rPr>
          <w:rFonts w:hint="eastAsia" w:ascii="宋体" w:hAnsi="宋体"/>
          <w:kern w:val="0"/>
        </w:rPr>
        <w:t xml:space="preserve"> 投标人： （盖单位章）</w:t>
      </w:r>
    </w:p>
    <w:p>
      <w:pPr>
        <w:autoSpaceDE w:val="0"/>
        <w:autoSpaceDN w:val="0"/>
        <w:adjustRightInd w:val="0"/>
        <w:spacing w:line="400" w:lineRule="exact"/>
        <w:ind w:right="-34" w:rightChars="-16" w:firstLine="2698" w:firstLineChars="1285"/>
        <w:jc w:val="right"/>
        <w:rPr>
          <w:rFonts w:ascii="宋体" w:hAnsi="宋体"/>
          <w:kern w:val="0"/>
        </w:rPr>
      </w:pPr>
    </w:p>
    <w:p>
      <w:pPr>
        <w:autoSpaceDE w:val="0"/>
        <w:autoSpaceDN w:val="0"/>
        <w:adjustRightInd w:val="0"/>
        <w:spacing w:line="400" w:lineRule="exact"/>
        <w:ind w:right="-34" w:rightChars="-16" w:firstLine="2698" w:firstLineChars="1285"/>
        <w:jc w:val="right"/>
        <w:rPr>
          <w:rFonts w:ascii="宋体" w:hAnsi="宋体"/>
          <w:kern w:val="0"/>
        </w:rPr>
      </w:pPr>
      <w:r>
        <w:rPr>
          <w:rFonts w:hint="eastAsia" w:ascii="宋体" w:hAnsi="宋体"/>
          <w:kern w:val="0"/>
        </w:rPr>
        <w:t>年月日</w:t>
      </w: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center"/>
        <w:outlineLvl w:val="0"/>
        <w:rPr>
          <w:rFonts w:ascii="黑体" w:hAnsi="新宋体" w:eastAsia="黑体"/>
          <w:b/>
          <w:kern w:val="0"/>
          <w:sz w:val="28"/>
        </w:rPr>
      </w:pPr>
      <w:bookmarkStart w:id="1126" w:name="_Toc15375"/>
      <w:bookmarkStart w:id="1127" w:name="_Toc5322"/>
      <w:bookmarkStart w:id="1128" w:name="_Toc492225550"/>
      <w:r>
        <w:rPr>
          <w:rFonts w:hint="eastAsia" w:ascii="黑体" w:hAnsi="新宋体" w:eastAsia="黑体"/>
          <w:b/>
          <w:kern w:val="0"/>
          <w:sz w:val="28"/>
        </w:rPr>
        <w:t>三、附有法定代表人身份证明的授权委托书</w:t>
      </w:r>
      <w:bookmarkEnd w:id="1126"/>
      <w:bookmarkEnd w:id="1127"/>
      <w:bookmarkEnd w:id="1128"/>
    </w:p>
    <w:p>
      <w:pPr>
        <w:autoSpaceDE w:val="0"/>
        <w:autoSpaceDN w:val="0"/>
        <w:adjustRightInd w:val="0"/>
        <w:spacing w:line="400" w:lineRule="exact"/>
        <w:ind w:right="-34" w:rightChars="-16"/>
        <w:jc w:val="center"/>
        <w:rPr>
          <w:rFonts w:ascii="宋体" w:hAnsi="宋体"/>
          <w:kern w:val="0"/>
          <w:sz w:val="28"/>
        </w:rPr>
      </w:pPr>
    </w:p>
    <w:p>
      <w:pPr>
        <w:autoSpaceDE w:val="0"/>
        <w:autoSpaceDN w:val="0"/>
        <w:adjustRightInd w:val="0"/>
        <w:spacing w:line="400" w:lineRule="exact"/>
        <w:ind w:right="-34" w:rightChars="-16"/>
        <w:jc w:val="center"/>
        <w:rPr>
          <w:rFonts w:ascii="宋体" w:hAnsi="宋体"/>
          <w:kern w:val="0"/>
          <w:sz w:val="28"/>
        </w:rPr>
      </w:pPr>
    </w:p>
    <w:p>
      <w:pPr>
        <w:autoSpaceDE w:val="0"/>
        <w:autoSpaceDN w:val="0"/>
        <w:adjustRightInd w:val="0"/>
        <w:spacing w:line="400" w:lineRule="exact"/>
        <w:ind w:right="-34" w:rightChars="-16"/>
        <w:jc w:val="center"/>
        <w:rPr>
          <w:rFonts w:ascii="宋体" w:hAnsi="宋体"/>
          <w:kern w:val="0"/>
          <w:sz w:val="28"/>
        </w:rPr>
      </w:pPr>
    </w:p>
    <w:p>
      <w:pPr>
        <w:autoSpaceDE w:val="0"/>
        <w:autoSpaceDN w:val="0"/>
        <w:adjustRightInd w:val="0"/>
        <w:spacing w:line="400" w:lineRule="exact"/>
        <w:ind w:right="-34" w:rightChars="-16" w:firstLine="420" w:firstLineChars="200"/>
        <w:jc w:val="left"/>
        <w:rPr>
          <w:rFonts w:ascii="宋体" w:hAnsi="宋体"/>
          <w:kern w:val="0"/>
        </w:rPr>
      </w:pPr>
      <w:r>
        <w:rPr>
          <w:rFonts w:hint="eastAsia" w:ascii="宋体" w:hAnsi="宋体"/>
          <w:kern w:val="0"/>
        </w:rPr>
        <w:t>本人</w:t>
      </w:r>
      <w:r>
        <w:rPr>
          <w:rFonts w:hint="eastAsia" w:ascii="宋体" w:hAnsi="宋体"/>
          <w:kern w:val="0"/>
          <w:u w:val="single"/>
        </w:rPr>
        <w:t>（姓名）</w:t>
      </w:r>
      <w:r>
        <w:rPr>
          <w:rFonts w:hint="eastAsia" w:ascii="宋体" w:hAnsi="宋体"/>
          <w:kern w:val="0"/>
        </w:rPr>
        <w:t>系</w:t>
      </w:r>
      <w:r>
        <w:rPr>
          <w:rFonts w:hint="eastAsia" w:ascii="宋体" w:hAnsi="宋体"/>
          <w:kern w:val="0"/>
          <w:u w:val="single"/>
        </w:rPr>
        <w:t>（投标人名称）</w:t>
      </w:r>
      <w:r>
        <w:rPr>
          <w:rFonts w:hint="eastAsia" w:ascii="宋体" w:hAnsi="宋体"/>
          <w:kern w:val="0"/>
        </w:rPr>
        <w:t>的法定代表人，现委托</w:t>
      </w:r>
      <w:r>
        <w:rPr>
          <w:rFonts w:hint="eastAsia" w:ascii="宋体" w:hAnsi="宋体"/>
          <w:kern w:val="0"/>
          <w:u w:val="single"/>
        </w:rPr>
        <w:t>（姓名）</w:t>
      </w:r>
      <w:r>
        <w:rPr>
          <w:rFonts w:hint="eastAsia" w:ascii="宋体" w:hAnsi="宋体"/>
          <w:kern w:val="0"/>
        </w:rPr>
        <w:t xml:space="preserve"> 为我方代理人。代理人根据授权，以我方名义签署、澄清、说明、补正、递交、撤回、修改</w:t>
      </w:r>
      <w:r>
        <w:rPr>
          <w:rFonts w:hint="eastAsia" w:ascii="宋体" w:hAnsi="宋体"/>
          <w:kern w:val="0"/>
          <w:u w:val="single"/>
        </w:rPr>
        <w:t>（项目名称）</w:t>
      </w:r>
      <w:r>
        <w:rPr>
          <w:rFonts w:hint="eastAsia" w:ascii="宋体" w:hAnsi="宋体"/>
          <w:kern w:val="0"/>
        </w:rPr>
        <w:t>施工投标文件、签订合同和处理有关事宜，其法律后果由我方承担。</w:t>
      </w:r>
    </w:p>
    <w:p>
      <w:pPr>
        <w:autoSpaceDE w:val="0"/>
        <w:autoSpaceDN w:val="0"/>
        <w:adjustRightInd w:val="0"/>
        <w:spacing w:line="400" w:lineRule="exact"/>
        <w:ind w:right="-34" w:rightChars="-16" w:firstLine="420" w:firstLineChars="200"/>
        <w:jc w:val="left"/>
        <w:rPr>
          <w:rFonts w:ascii="宋体" w:hAnsi="宋体"/>
          <w:kern w:val="0"/>
        </w:rPr>
      </w:pPr>
      <w:r>
        <w:rPr>
          <w:rFonts w:hint="eastAsia" w:ascii="宋体" w:hAnsi="宋体"/>
          <w:kern w:val="0"/>
        </w:rPr>
        <w:t>委托期限：。</w:t>
      </w:r>
    </w:p>
    <w:p>
      <w:pPr>
        <w:autoSpaceDE w:val="0"/>
        <w:autoSpaceDN w:val="0"/>
        <w:adjustRightInd w:val="0"/>
        <w:spacing w:line="400" w:lineRule="exact"/>
        <w:ind w:right="-34" w:rightChars="-16" w:firstLine="420" w:firstLineChars="200"/>
        <w:jc w:val="left"/>
        <w:rPr>
          <w:rFonts w:ascii="宋体" w:hAnsi="宋体"/>
          <w:kern w:val="0"/>
        </w:rPr>
      </w:pPr>
      <w:r>
        <w:rPr>
          <w:rFonts w:hint="eastAsia" w:ascii="宋体" w:hAnsi="宋体"/>
          <w:kern w:val="0"/>
        </w:rPr>
        <w:t>代理人无转委托权。</w:t>
      </w:r>
    </w:p>
    <w:p>
      <w:pPr>
        <w:autoSpaceDE w:val="0"/>
        <w:autoSpaceDN w:val="0"/>
        <w:adjustRightInd w:val="0"/>
        <w:spacing w:line="400" w:lineRule="exact"/>
        <w:ind w:right="-34" w:rightChars="-16" w:firstLine="420" w:firstLineChars="200"/>
        <w:jc w:val="left"/>
        <w:rPr>
          <w:rFonts w:ascii="宋体" w:hAnsi="宋体"/>
          <w:kern w:val="0"/>
        </w:rPr>
      </w:pPr>
      <w:r>
        <w:rPr>
          <w:rFonts w:hint="eastAsia" w:ascii="宋体" w:hAnsi="宋体"/>
          <w:kern w:val="0"/>
        </w:rPr>
        <w:t>附：法定代表人身份证明</w:t>
      </w:r>
    </w:p>
    <w:p>
      <w:pPr>
        <w:autoSpaceDE w:val="0"/>
        <w:autoSpaceDN w:val="0"/>
        <w:adjustRightInd w:val="0"/>
        <w:spacing w:line="400" w:lineRule="exact"/>
        <w:ind w:right="-34" w:rightChars="-16" w:firstLine="420" w:firstLineChars="200"/>
        <w:jc w:val="left"/>
        <w:rPr>
          <w:rFonts w:ascii="宋体" w:hAnsi="宋体"/>
          <w:kern w:val="0"/>
        </w:rPr>
      </w:pPr>
    </w:p>
    <w:p>
      <w:pPr>
        <w:autoSpaceDE w:val="0"/>
        <w:autoSpaceDN w:val="0"/>
        <w:adjustRightInd w:val="0"/>
        <w:spacing w:line="400" w:lineRule="exact"/>
        <w:ind w:right="-34" w:rightChars="-16" w:firstLine="420" w:firstLineChars="200"/>
        <w:jc w:val="left"/>
        <w:rPr>
          <w:rFonts w:ascii="宋体" w:hAnsi="宋体"/>
          <w:kern w:val="0"/>
        </w:rPr>
      </w:pPr>
    </w:p>
    <w:p>
      <w:pPr>
        <w:autoSpaceDE w:val="0"/>
        <w:autoSpaceDN w:val="0"/>
        <w:adjustRightInd w:val="0"/>
        <w:spacing w:before="240" w:beforeLines="100" w:after="240" w:afterLines="100" w:line="400" w:lineRule="exact"/>
        <w:ind w:right="-34" w:rightChars="-16" w:firstLine="3238" w:firstLineChars="1542"/>
        <w:jc w:val="left"/>
        <w:rPr>
          <w:rFonts w:ascii="宋体" w:hAnsi="宋体"/>
          <w:kern w:val="0"/>
        </w:rPr>
      </w:pPr>
      <w:r>
        <w:rPr>
          <w:rFonts w:hint="eastAsia" w:ascii="宋体" w:hAnsi="宋体"/>
          <w:kern w:val="0"/>
        </w:rPr>
        <w:t>投标人：（盖单位章）</w:t>
      </w:r>
    </w:p>
    <w:p>
      <w:pPr>
        <w:autoSpaceDE w:val="0"/>
        <w:autoSpaceDN w:val="0"/>
        <w:adjustRightInd w:val="0"/>
        <w:spacing w:before="240" w:beforeLines="100" w:after="240" w:afterLines="100" w:line="400" w:lineRule="exact"/>
        <w:ind w:right="-34" w:rightChars="-16" w:firstLine="3238" w:firstLineChars="1542"/>
        <w:jc w:val="left"/>
        <w:rPr>
          <w:rFonts w:ascii="宋体" w:hAnsi="宋体"/>
          <w:kern w:val="0"/>
        </w:rPr>
      </w:pPr>
      <w:r>
        <w:rPr>
          <w:rFonts w:hint="eastAsia" w:ascii="宋体" w:hAnsi="宋体"/>
          <w:kern w:val="0"/>
        </w:rPr>
        <w:t>法定代表人：（签字）</w:t>
      </w:r>
    </w:p>
    <w:p>
      <w:pPr>
        <w:autoSpaceDE w:val="0"/>
        <w:autoSpaceDN w:val="0"/>
        <w:adjustRightInd w:val="0"/>
        <w:spacing w:before="240" w:beforeLines="100" w:after="240" w:afterLines="100" w:line="400" w:lineRule="exact"/>
        <w:ind w:right="-34" w:rightChars="-16" w:firstLine="3238" w:firstLineChars="1542"/>
        <w:jc w:val="left"/>
        <w:rPr>
          <w:rFonts w:ascii="宋体" w:hAnsi="宋体"/>
          <w:kern w:val="0"/>
        </w:rPr>
      </w:pPr>
      <w:r>
        <w:rPr>
          <w:rFonts w:hint="eastAsia" w:ascii="宋体" w:hAnsi="宋体"/>
          <w:kern w:val="0"/>
        </w:rPr>
        <w:t>身份证号码：</w:t>
      </w:r>
    </w:p>
    <w:p>
      <w:pPr>
        <w:autoSpaceDE w:val="0"/>
        <w:autoSpaceDN w:val="0"/>
        <w:adjustRightInd w:val="0"/>
        <w:spacing w:before="240" w:beforeLines="100" w:after="240" w:afterLines="100" w:line="400" w:lineRule="exact"/>
        <w:ind w:right="-34" w:rightChars="-16" w:firstLine="3238" w:firstLineChars="1542"/>
        <w:jc w:val="left"/>
        <w:rPr>
          <w:rFonts w:ascii="宋体" w:hAnsi="宋体"/>
          <w:kern w:val="0"/>
        </w:rPr>
      </w:pPr>
      <w:r>
        <w:rPr>
          <w:rFonts w:hint="eastAsia" w:ascii="宋体" w:hAnsi="宋体"/>
          <w:kern w:val="0"/>
        </w:rPr>
        <w:t>委托代理人： （签字）</w:t>
      </w:r>
    </w:p>
    <w:p>
      <w:pPr>
        <w:autoSpaceDE w:val="0"/>
        <w:autoSpaceDN w:val="0"/>
        <w:adjustRightInd w:val="0"/>
        <w:spacing w:before="240" w:beforeLines="100" w:after="240" w:afterLines="100" w:line="400" w:lineRule="exact"/>
        <w:ind w:right="-34" w:rightChars="-16" w:firstLine="3238" w:firstLineChars="1542"/>
        <w:jc w:val="left"/>
        <w:rPr>
          <w:rFonts w:ascii="宋体" w:hAnsi="宋体"/>
          <w:kern w:val="0"/>
        </w:rPr>
      </w:pPr>
      <w:r>
        <w:rPr>
          <w:rFonts w:hint="eastAsia" w:ascii="宋体" w:hAnsi="宋体"/>
          <w:kern w:val="0"/>
        </w:rPr>
        <w:t>身份证号码：</w:t>
      </w:r>
    </w:p>
    <w:p>
      <w:pPr>
        <w:autoSpaceDE w:val="0"/>
        <w:autoSpaceDN w:val="0"/>
        <w:adjustRightInd w:val="0"/>
        <w:spacing w:before="240" w:beforeLines="100" w:after="240" w:afterLines="100" w:line="400" w:lineRule="exact"/>
        <w:ind w:right="-34" w:rightChars="-16" w:firstLine="3238" w:firstLineChars="1542"/>
        <w:jc w:val="left"/>
        <w:rPr>
          <w:rFonts w:ascii="宋体" w:hAnsi="宋体"/>
          <w:kern w:val="0"/>
        </w:rPr>
      </w:pPr>
      <w:r>
        <w:rPr>
          <w:rFonts w:hint="eastAsia" w:ascii="宋体" w:hAnsi="宋体"/>
          <w:kern w:val="0"/>
        </w:rPr>
        <w:t>年月日</w:t>
      </w:r>
    </w:p>
    <w:p>
      <w:pPr>
        <w:autoSpaceDE w:val="0"/>
        <w:autoSpaceDN w:val="0"/>
        <w:adjustRightInd w:val="0"/>
        <w:spacing w:line="400" w:lineRule="exact"/>
        <w:ind w:right="-34" w:rightChars="-16"/>
        <w:jc w:val="left"/>
        <w:rPr>
          <w:rFonts w:ascii="宋体" w:hAnsi="宋体"/>
          <w:kern w:val="0"/>
          <w:sz w:val="1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pStyle w:val="2"/>
        <w:ind w:left="63" w:right="63" w:firstLine="400"/>
      </w:pPr>
    </w:p>
    <w:p>
      <w:pPr>
        <w:autoSpaceDE w:val="0"/>
        <w:autoSpaceDN w:val="0"/>
        <w:adjustRightInd w:val="0"/>
        <w:spacing w:line="400" w:lineRule="exact"/>
        <w:ind w:right="-34" w:rightChars="-16"/>
        <w:jc w:val="left"/>
        <w:rPr>
          <w:rFonts w:ascii="宋体" w:hAnsi="宋体"/>
          <w:kern w:val="0"/>
          <w:sz w:val="28"/>
        </w:rPr>
      </w:pPr>
    </w:p>
    <w:bookmarkEnd w:id="1116"/>
    <w:bookmarkEnd w:id="1117"/>
    <w:bookmarkEnd w:id="1118"/>
    <w:bookmarkEnd w:id="1119"/>
    <w:bookmarkEnd w:id="1120"/>
    <w:bookmarkEnd w:id="1121"/>
    <w:bookmarkEnd w:id="1122"/>
    <w:bookmarkEnd w:id="1123"/>
    <w:bookmarkEnd w:id="1124"/>
    <w:bookmarkEnd w:id="1125"/>
    <w:p>
      <w:pPr>
        <w:autoSpaceDE w:val="0"/>
        <w:autoSpaceDN w:val="0"/>
        <w:adjustRightInd w:val="0"/>
        <w:spacing w:line="400" w:lineRule="exact"/>
        <w:ind w:right="-34" w:rightChars="-16"/>
        <w:jc w:val="center"/>
        <w:outlineLvl w:val="0"/>
        <w:rPr>
          <w:rFonts w:ascii="黑体" w:hAnsi="新宋体" w:eastAsia="黑体"/>
          <w:b/>
          <w:kern w:val="0"/>
          <w:sz w:val="28"/>
        </w:rPr>
      </w:pPr>
      <w:bookmarkStart w:id="1129" w:name="_Toc29135"/>
      <w:bookmarkStart w:id="1130" w:name="_Toc6696"/>
      <w:bookmarkStart w:id="1131" w:name="_Toc492225551"/>
      <w:r>
        <w:rPr>
          <w:rFonts w:hint="eastAsia" w:ascii="黑体" w:hAnsi="新宋体" w:eastAsia="黑体"/>
          <w:b/>
          <w:kern w:val="0"/>
          <w:sz w:val="28"/>
        </w:rPr>
        <w:t>四、投标保证金</w:t>
      </w:r>
      <w:bookmarkEnd w:id="1129"/>
      <w:bookmarkEnd w:id="1130"/>
      <w:bookmarkEnd w:id="1131"/>
    </w:p>
    <w:p>
      <w:pPr>
        <w:autoSpaceDE w:val="0"/>
        <w:autoSpaceDN w:val="0"/>
        <w:adjustRightInd w:val="0"/>
        <w:spacing w:line="400" w:lineRule="exact"/>
        <w:ind w:right="-34" w:rightChars="-16"/>
        <w:jc w:val="center"/>
        <w:outlineLvl w:val="0"/>
        <w:rPr>
          <w:rFonts w:ascii="黑体" w:hAnsi="新宋体" w:eastAsia="黑体"/>
          <w:b/>
          <w:kern w:val="0"/>
          <w:sz w:val="32"/>
        </w:rPr>
      </w:pPr>
    </w:p>
    <w:p>
      <w:pPr>
        <w:autoSpaceDE w:val="0"/>
        <w:autoSpaceDN w:val="0"/>
        <w:adjustRightInd w:val="0"/>
        <w:spacing w:line="400" w:lineRule="exact"/>
        <w:ind w:right="-34" w:rightChars="-16"/>
        <w:jc w:val="left"/>
        <w:rPr>
          <w:rFonts w:ascii="宋体" w:hAnsi="宋体"/>
          <w:kern w:val="0"/>
          <w:u w:val="single"/>
        </w:rPr>
      </w:pPr>
    </w:p>
    <w:p>
      <w:pPr>
        <w:autoSpaceDE w:val="0"/>
        <w:autoSpaceDN w:val="0"/>
        <w:adjustRightInd w:val="0"/>
        <w:spacing w:line="400" w:lineRule="exact"/>
        <w:ind w:right="-34" w:rightChars="-16"/>
        <w:jc w:val="left"/>
        <w:rPr>
          <w:rFonts w:ascii="宋体" w:hAnsi="宋体"/>
          <w:kern w:val="0"/>
        </w:rPr>
      </w:pPr>
      <w:r>
        <w:rPr>
          <w:rFonts w:hint="eastAsia" w:ascii="宋体" w:hAnsi="宋体"/>
          <w:kern w:val="0"/>
        </w:rPr>
        <w:t>（招标人名称）：</w:t>
      </w: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firstLine="420" w:firstLineChars="200"/>
        <w:jc w:val="left"/>
        <w:rPr>
          <w:rFonts w:ascii="宋体" w:hAnsi="宋体"/>
          <w:kern w:val="0"/>
        </w:rPr>
      </w:pPr>
      <w:r>
        <w:rPr>
          <w:rFonts w:hint="eastAsia" w:ascii="宋体" w:hAnsi="宋体"/>
          <w:kern w:val="0"/>
        </w:rPr>
        <w:t>我方已按招标文件的规定，递交了投标保证金。我公司在规定的投标文件有效期内撤销或修改投标文件，或者在收到中标通知书后无正当理由拒签合同，贵方可以不予退还我方保证金，我方对此无异议。</w:t>
      </w: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right"/>
        <w:rPr>
          <w:rFonts w:ascii="宋体" w:hAnsi="宋体"/>
          <w:kern w:val="0"/>
        </w:rPr>
      </w:pPr>
      <w:r>
        <w:rPr>
          <w:rFonts w:hint="eastAsia" w:ascii="宋体" w:hAnsi="宋体"/>
          <w:kern w:val="0"/>
        </w:rPr>
        <w:t>投标人名称：（盖单位章）</w:t>
      </w:r>
    </w:p>
    <w:p>
      <w:pPr>
        <w:autoSpaceDE w:val="0"/>
        <w:autoSpaceDN w:val="0"/>
        <w:adjustRightInd w:val="0"/>
        <w:spacing w:line="400" w:lineRule="exact"/>
        <w:ind w:right="-34" w:rightChars="-16"/>
        <w:jc w:val="right"/>
        <w:rPr>
          <w:rFonts w:ascii="宋体" w:hAnsi="宋体"/>
          <w:kern w:val="0"/>
        </w:rPr>
      </w:pPr>
      <w:r>
        <w:rPr>
          <w:rFonts w:hint="eastAsia" w:ascii="宋体" w:hAnsi="宋体"/>
          <w:kern w:val="0"/>
        </w:rPr>
        <w:t>法定代表人或其委托代理人：（签字）</w:t>
      </w:r>
    </w:p>
    <w:p>
      <w:pPr>
        <w:autoSpaceDE w:val="0"/>
        <w:autoSpaceDN w:val="0"/>
        <w:adjustRightInd w:val="0"/>
        <w:spacing w:line="400" w:lineRule="exact"/>
        <w:ind w:right="-34" w:rightChars="-16" w:firstLine="5124" w:firstLineChars="2440"/>
        <w:jc w:val="left"/>
        <w:rPr>
          <w:rFonts w:ascii="宋体" w:hAnsi="宋体"/>
          <w:kern w:val="0"/>
        </w:rPr>
      </w:pPr>
      <w:r>
        <w:rPr>
          <w:rFonts w:hint="eastAsia" w:ascii="宋体" w:hAnsi="宋体"/>
          <w:kern w:val="0"/>
        </w:rPr>
        <w:t>年月日</w:t>
      </w:r>
    </w:p>
    <w:p>
      <w:pPr>
        <w:autoSpaceDE w:val="0"/>
        <w:autoSpaceDN w:val="0"/>
        <w:adjustRightInd w:val="0"/>
        <w:spacing w:line="400" w:lineRule="exact"/>
        <w:ind w:right="-34" w:rightChars="-16"/>
        <w:jc w:val="left"/>
        <w:rPr>
          <w:rFonts w:ascii="宋体" w:hAnsi="宋体"/>
          <w:kern w:val="0"/>
          <w:sz w:val="18"/>
        </w:rPr>
      </w:pPr>
      <w:r>
        <w:rPr>
          <w:rFonts w:ascii="宋体" w:hAnsi="宋体"/>
          <w:kern w:val="0"/>
          <w:sz w:val="18"/>
        </w:rPr>
        <w:pict>
          <v:line id="直线 54" o:spid="_x0000_s2052" o:spt="20" style="position:absolute;left:0pt;margin-left:-17.85pt;margin-top:14.45pt;height:0.05pt;width:504pt;z-index:251660288;mso-width-relative:page;mso-height-relative:page;" coordsize="21600,21600" o:gfxdata="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5rLP6dYAAAAJAQAADwAAAAAAAAABACAAAAAi&#10;AAAAZHJzL2Rvd25yZXYueG1sUEsBAhQAFAAAAAgAh07iQC/Fw8LTAQAAkgMAAA4AAAAAAAAAAQAg&#10;AAAAJQEAAGRycy9lMm9Eb2MueG1sUEsFBgAAAAAGAAYAWQEAAGoFAAAAAA==&#10;">
            <v:path arrowok="t"/>
            <v:fill focussize="0,0"/>
            <v:stroke weight="2.5pt" dashstyle="1 1"/>
            <v:imagedata o:title=""/>
            <o:lock v:ext="edit"/>
          </v:line>
        </w:pict>
      </w:r>
    </w:p>
    <w:p>
      <w:pPr>
        <w:pStyle w:val="16"/>
        <w:overflowPunct w:val="0"/>
        <w:spacing w:line="400" w:lineRule="exact"/>
        <w:ind w:right="-34" w:rightChars="-16" w:firstLine="0"/>
        <w:jc w:val="center"/>
        <w:rPr>
          <w:rFonts w:ascii="宋体" w:hAnsi="宋体" w:eastAsia="宋体"/>
          <w:b/>
          <w:sz w:val="21"/>
        </w:rPr>
      </w:pPr>
      <w:r>
        <w:rPr>
          <w:rFonts w:ascii="宋体" w:hAnsi="宋体" w:eastAsia="宋体"/>
          <w:b/>
          <w:sz w:val="21"/>
        </w:rPr>
        <w:pict>
          <v:rect id="矩形 55" o:spid="_x0000_s2051" o:spt="1" style="position:absolute;left:0pt;margin-left:25.85pt;margin-top:3.35pt;height:249.6pt;width:432pt;z-index:251661312;mso-width-relative:page;mso-height-relative:page;" coordsize="21600,21600" o:gfxdata="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zRjr/aAAAACAEAAA8AAAAAAAAAAQAgAAAAIgAAAGRycy9kb3ducmV2LnhtbFBLAQIUABQA&#10;AAAIAIdO4kCawrEg7gEAAOADAAAOAAAAAAAAAAEAIAAAACkBAABkcnMvZTJvRG9jLnhtbFBLBQYA&#10;AAAABgAGAFkBAACJBQAAAAA=&#10;">
            <v:path/>
            <v:fill focussize="0,0"/>
            <v:stroke weight="1.5pt" dashstyle="dashDot"/>
            <v:imagedata o:title=""/>
            <o:lock v:ext="edit"/>
            <v:textbox>
              <w:txbxContent>
                <w:p>
                  <w:pPr>
                    <w:jc w:val="center"/>
                  </w:pPr>
                </w:p>
                <w:p>
                  <w:pPr>
                    <w:jc w:val="center"/>
                  </w:pPr>
                </w:p>
                <w:p>
                  <w:pPr>
                    <w:jc w:val="center"/>
                  </w:pPr>
                </w:p>
                <w:p>
                  <w:pPr>
                    <w:jc w:val="center"/>
                  </w:pPr>
                </w:p>
                <w:p>
                  <w:pPr>
                    <w:jc w:val="center"/>
                  </w:pPr>
                </w:p>
                <w:p>
                  <w:pPr>
                    <w:jc w:val="center"/>
                    <w:rPr>
                      <w:b/>
                      <w:sz w:val="48"/>
                    </w:rPr>
                  </w:pPr>
                  <w:r>
                    <w:rPr>
                      <w:rFonts w:hint="eastAsia"/>
                      <w:b/>
                      <w:sz w:val="48"/>
                    </w:rPr>
                    <w:t>投标保证金有效证明资料</w:t>
                  </w:r>
                </w:p>
                <w:p>
                  <w:pPr>
                    <w:spacing w:line="500" w:lineRule="exact"/>
                    <w:jc w:val="center"/>
                    <w:rPr>
                      <w:rFonts w:ascii="黑体" w:hAnsi="黑体" w:eastAsia="黑体"/>
                      <w:kern w:val="0"/>
                      <w:sz w:val="28"/>
                      <w:szCs w:val="30"/>
                    </w:rPr>
                  </w:pPr>
                </w:p>
              </w:txbxContent>
            </v:textbox>
          </v:rect>
        </w:pict>
      </w: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pStyle w:val="16"/>
        <w:overflowPunct w:val="0"/>
        <w:spacing w:line="400" w:lineRule="exact"/>
        <w:ind w:right="-34" w:rightChars="-16" w:firstLine="0"/>
        <w:rPr>
          <w:rFonts w:ascii="宋体" w:hAnsi="宋体" w:eastAsia="宋体"/>
          <w:b/>
          <w:sz w:val="21"/>
        </w:rPr>
      </w:pPr>
    </w:p>
    <w:p>
      <w:pPr>
        <w:autoSpaceDE w:val="0"/>
        <w:autoSpaceDN w:val="0"/>
        <w:adjustRightInd w:val="0"/>
        <w:spacing w:line="400" w:lineRule="exact"/>
        <w:ind w:right="-34" w:rightChars="-16"/>
        <w:jc w:val="left"/>
        <w:rPr>
          <w:rFonts w:ascii="宋体" w:hAnsi="宋体"/>
          <w:kern w:val="0"/>
          <w:sz w:val="28"/>
        </w:rPr>
      </w:pPr>
    </w:p>
    <w:p>
      <w:pPr>
        <w:pStyle w:val="69"/>
        <w:rPr>
          <w:color w:val="auto"/>
        </w:rPr>
      </w:pPr>
    </w:p>
    <w:p>
      <w:pPr>
        <w:autoSpaceDE w:val="0"/>
        <w:autoSpaceDN w:val="0"/>
        <w:adjustRightInd w:val="0"/>
        <w:spacing w:line="400" w:lineRule="exact"/>
        <w:ind w:right="-34" w:rightChars="-16"/>
        <w:outlineLvl w:val="0"/>
        <w:rPr>
          <w:rFonts w:ascii="黑体" w:hAnsi="新宋体" w:eastAsia="黑体"/>
          <w:b/>
          <w:kern w:val="0"/>
          <w:sz w:val="32"/>
          <w:szCs w:val="32"/>
        </w:rPr>
      </w:pPr>
    </w:p>
    <w:p>
      <w:pPr>
        <w:autoSpaceDE w:val="0"/>
        <w:autoSpaceDN w:val="0"/>
        <w:adjustRightInd w:val="0"/>
        <w:spacing w:line="400" w:lineRule="exact"/>
        <w:ind w:right="-34" w:rightChars="-16"/>
        <w:jc w:val="center"/>
        <w:outlineLvl w:val="0"/>
        <w:rPr>
          <w:rFonts w:ascii="黑体" w:hAnsi="新宋体" w:eastAsia="黑体"/>
          <w:b/>
          <w:kern w:val="0"/>
          <w:sz w:val="28"/>
        </w:rPr>
      </w:pPr>
      <w:bookmarkStart w:id="1132" w:name="_Toc10786"/>
      <w:bookmarkStart w:id="1133" w:name="_Toc19664"/>
      <w:r>
        <w:rPr>
          <w:rFonts w:hint="eastAsia" w:ascii="黑体" w:hAnsi="新宋体" w:eastAsia="黑体"/>
          <w:b/>
          <w:kern w:val="0"/>
          <w:sz w:val="28"/>
        </w:rPr>
        <w:t>五、已标价工程量清单</w:t>
      </w:r>
      <w:bookmarkEnd w:id="1132"/>
      <w:bookmarkEnd w:id="1133"/>
    </w:p>
    <w:p>
      <w:pPr>
        <w:spacing w:line="400" w:lineRule="exact"/>
        <w:ind w:right="-34" w:rightChars="-16"/>
        <w:rPr>
          <w:rFonts w:ascii="宋体" w:hAnsi="宋体"/>
          <w:kern w:val="0"/>
          <w:sz w:val="28"/>
        </w:rPr>
      </w:pPr>
    </w:p>
    <w:p>
      <w:pPr>
        <w:spacing w:line="400" w:lineRule="exact"/>
        <w:ind w:right="-34" w:rightChars="-16"/>
        <w:rPr>
          <w:rFonts w:ascii="宋体" w:hAnsi="宋体"/>
          <w:kern w:val="0"/>
          <w:sz w:val="28"/>
        </w:rPr>
      </w:pPr>
    </w:p>
    <w:p>
      <w:pPr>
        <w:spacing w:line="400" w:lineRule="exact"/>
        <w:ind w:right="-34" w:rightChars="-16" w:firstLine="315" w:firstLineChars="150"/>
        <w:rPr>
          <w:rFonts w:ascii="宋体" w:hAnsi="宋体"/>
          <w:kern w:val="0"/>
          <w:szCs w:val="21"/>
        </w:rPr>
      </w:pPr>
      <w:r>
        <w:rPr>
          <w:rFonts w:hint="eastAsia" w:ascii="宋体" w:hAnsi="宋体"/>
          <w:kern w:val="0"/>
          <w:szCs w:val="21"/>
        </w:rPr>
        <w:t>1、投标人提交的已标价工程量清单应严格按照招标人提供的分部分项工程量清单与计价表及主要材料价格表填报单价及合价，任何投标人不得对提供的工程量清单格式及内容进行修改及调整，否则按废标处理。</w:t>
      </w:r>
    </w:p>
    <w:p>
      <w:pPr>
        <w:spacing w:line="400" w:lineRule="exact"/>
        <w:ind w:right="-34" w:rightChars="-16" w:firstLine="315" w:firstLineChars="150"/>
        <w:rPr>
          <w:rFonts w:ascii="宋体" w:hAnsi="宋体"/>
          <w:kern w:val="0"/>
          <w:szCs w:val="21"/>
        </w:rPr>
      </w:pPr>
      <w:r>
        <w:rPr>
          <w:rFonts w:hint="eastAsia" w:ascii="宋体" w:hAnsi="宋体"/>
          <w:kern w:val="0"/>
          <w:szCs w:val="21"/>
        </w:rPr>
        <w:t>2、如投标人提交的分部分项工程量清单与招标人提供的格式不一致，其投标文件按废标处理。</w:t>
      </w:r>
    </w:p>
    <w:p>
      <w:pPr>
        <w:spacing w:line="400" w:lineRule="exact"/>
        <w:ind w:right="-34" w:rightChars="-16" w:firstLine="315" w:firstLineChars="150"/>
        <w:rPr>
          <w:rFonts w:ascii="宋体" w:hAnsi="宋体"/>
          <w:kern w:val="0"/>
          <w:szCs w:val="21"/>
        </w:rPr>
      </w:pPr>
      <w:r>
        <w:rPr>
          <w:rFonts w:hint="eastAsia" w:ascii="宋体" w:hAnsi="宋体"/>
          <w:kern w:val="0"/>
          <w:szCs w:val="21"/>
        </w:rPr>
        <w:t>3、</w:t>
      </w:r>
      <w:r>
        <w:rPr>
          <w:rFonts w:hint="eastAsia" w:ascii="宋体" w:hAnsi="宋体"/>
          <w:szCs w:val="21"/>
        </w:rPr>
        <w:t>投标人已标价清单必须按招标文件给定的单位工程材料表格式列出本工程所有的主要材料，如抽到某项材料缺项时，该项材料单价按不合理单价处理，且不再参与该项材料评标基准价的计算。</w:t>
      </w:r>
    </w:p>
    <w:p>
      <w:pPr>
        <w:spacing w:line="400" w:lineRule="exact"/>
        <w:ind w:right="-34" w:rightChars="-16" w:firstLine="360" w:firstLineChars="150"/>
        <w:rPr>
          <w:rFonts w:ascii="宋体" w:hAnsi="宋体"/>
          <w:kern w:val="0"/>
          <w:sz w:val="24"/>
          <w:szCs w:val="28"/>
        </w:rPr>
      </w:pPr>
    </w:p>
    <w:p>
      <w:pPr>
        <w:spacing w:line="400" w:lineRule="exact"/>
        <w:ind w:right="-34" w:rightChars="-16" w:firstLine="420" w:firstLineChars="150"/>
        <w:rPr>
          <w:rFonts w:ascii="宋体" w:hAnsi="宋体"/>
          <w:kern w:val="0"/>
          <w:sz w:val="28"/>
          <w:szCs w:val="28"/>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spacing w:line="400" w:lineRule="exact"/>
        <w:ind w:right="-34" w:rightChars="-16"/>
        <w:jc w:val="center"/>
        <w:rPr>
          <w:rFonts w:ascii="宋体" w:hAnsi="宋体"/>
          <w:sz w:val="52"/>
        </w:rPr>
      </w:pPr>
    </w:p>
    <w:p>
      <w:pPr>
        <w:autoSpaceDE w:val="0"/>
        <w:autoSpaceDN w:val="0"/>
        <w:adjustRightInd w:val="0"/>
        <w:spacing w:line="400" w:lineRule="exact"/>
        <w:ind w:right="-34" w:rightChars="-16"/>
        <w:jc w:val="center"/>
        <w:outlineLvl w:val="0"/>
        <w:rPr>
          <w:rFonts w:ascii="黑体" w:hAnsi="新宋体" w:eastAsia="黑体"/>
          <w:b/>
          <w:kern w:val="0"/>
          <w:sz w:val="28"/>
        </w:rPr>
      </w:pPr>
      <w:bookmarkStart w:id="1134" w:name="_Toc228589264"/>
      <w:bookmarkStart w:id="1135" w:name="_Toc228591758"/>
      <w:bookmarkStart w:id="1136" w:name="_Toc228881250"/>
      <w:bookmarkStart w:id="1137" w:name="_Toc227657588"/>
      <w:bookmarkStart w:id="1138" w:name="_Toc227492346"/>
      <w:bookmarkStart w:id="1139" w:name="_Toc228591610"/>
      <w:bookmarkStart w:id="1140" w:name="_Toc272772669"/>
      <w:bookmarkStart w:id="1141" w:name="_Toc214433990"/>
      <w:bookmarkStart w:id="1142" w:name="_Toc228337199"/>
      <w:r>
        <w:rPr>
          <w:rFonts w:ascii="宋体" w:hAnsi="宋体"/>
          <w:sz w:val="52"/>
        </w:rPr>
        <w:br w:type="page"/>
      </w:r>
      <w:bookmarkEnd w:id="1134"/>
      <w:bookmarkEnd w:id="1135"/>
      <w:bookmarkEnd w:id="1136"/>
      <w:bookmarkEnd w:id="1137"/>
      <w:bookmarkEnd w:id="1138"/>
      <w:bookmarkEnd w:id="1139"/>
      <w:bookmarkEnd w:id="1140"/>
      <w:bookmarkEnd w:id="1141"/>
      <w:bookmarkEnd w:id="1142"/>
      <w:bookmarkStart w:id="1143" w:name="_Toc30966"/>
      <w:bookmarkStart w:id="1144" w:name="_Toc6964"/>
      <w:r>
        <w:rPr>
          <w:rFonts w:hint="eastAsia" w:ascii="黑体" w:hAnsi="新宋体" w:eastAsia="黑体"/>
          <w:b/>
          <w:kern w:val="0"/>
          <w:sz w:val="28"/>
        </w:rPr>
        <w:t>六、技术标</w:t>
      </w:r>
      <w:bookmarkEnd w:id="1143"/>
      <w:bookmarkEnd w:id="1144"/>
    </w:p>
    <w:p>
      <w:pPr>
        <w:autoSpaceDE w:val="0"/>
        <w:autoSpaceDN w:val="0"/>
        <w:adjustRightInd w:val="0"/>
        <w:spacing w:line="400" w:lineRule="exact"/>
        <w:ind w:right="-34" w:rightChars="-16"/>
        <w:jc w:val="center"/>
        <w:rPr>
          <w:rFonts w:ascii="宋体" w:hAnsi="宋体"/>
          <w:kern w:val="0"/>
          <w:sz w:val="28"/>
        </w:rPr>
      </w:pPr>
    </w:p>
    <w:p>
      <w:pPr>
        <w:autoSpaceDE w:val="0"/>
        <w:autoSpaceDN w:val="0"/>
        <w:adjustRightInd w:val="0"/>
        <w:spacing w:line="400" w:lineRule="exact"/>
        <w:ind w:right="-34" w:rightChars="-16" w:firstLine="539" w:firstLineChars="257"/>
        <w:jc w:val="left"/>
        <w:rPr>
          <w:rFonts w:ascii="宋体" w:hAnsi="宋体"/>
          <w:kern w:val="0"/>
          <w:szCs w:val="21"/>
        </w:rPr>
      </w:pPr>
      <w:r>
        <w:rPr>
          <w:rFonts w:ascii="宋体" w:hAnsi="宋体"/>
          <w:kern w:val="0"/>
          <w:szCs w:val="21"/>
        </w:rPr>
        <w:t xml:space="preserve">1. </w:t>
      </w:r>
      <w:r>
        <w:rPr>
          <w:rFonts w:hint="eastAsia" w:ascii="宋体" w:hAnsi="宋体"/>
          <w:kern w:val="0"/>
          <w:szCs w:val="21"/>
        </w:rPr>
        <w:t>投标人编制技术标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autoSpaceDE w:val="0"/>
        <w:autoSpaceDN w:val="0"/>
        <w:adjustRightInd w:val="0"/>
        <w:spacing w:line="400" w:lineRule="exact"/>
        <w:ind w:right="-34" w:rightChars="-16" w:firstLine="539" w:firstLineChars="257"/>
        <w:jc w:val="left"/>
        <w:rPr>
          <w:rFonts w:ascii="宋体" w:hAnsi="宋体"/>
          <w:szCs w:val="21"/>
        </w:rPr>
      </w:pPr>
      <w:r>
        <w:rPr>
          <w:rFonts w:hint="eastAsia" w:ascii="宋体" w:hAnsi="宋体"/>
          <w:kern w:val="0"/>
          <w:szCs w:val="21"/>
        </w:rPr>
        <w:t>2.</w:t>
      </w:r>
      <w:r>
        <w:rPr>
          <w:rFonts w:hint="eastAsia" w:ascii="宋体" w:hAnsi="宋体"/>
          <w:szCs w:val="21"/>
        </w:rPr>
        <w:t xml:space="preserve"> 技术标主要包括下列内容：</w:t>
      </w:r>
    </w:p>
    <w:p>
      <w:pPr>
        <w:spacing w:line="400" w:lineRule="exact"/>
        <w:ind w:right="-34" w:rightChars="-16" w:firstLine="787" w:firstLineChars="375"/>
        <w:rPr>
          <w:rFonts w:ascii="宋体" w:hAnsi="宋体"/>
          <w:szCs w:val="21"/>
        </w:rPr>
      </w:pPr>
      <w:r>
        <w:rPr>
          <w:rFonts w:hint="eastAsia" w:ascii="宋体" w:hAnsi="宋体"/>
          <w:szCs w:val="21"/>
        </w:rPr>
        <w:t xml:space="preserve">1）施工方案和技术措施； </w:t>
      </w:r>
    </w:p>
    <w:p>
      <w:pPr>
        <w:spacing w:line="400" w:lineRule="exact"/>
        <w:ind w:right="-34" w:rightChars="-16" w:firstLine="787" w:firstLineChars="375"/>
        <w:rPr>
          <w:rFonts w:ascii="宋体" w:hAnsi="宋体"/>
          <w:szCs w:val="21"/>
        </w:rPr>
      </w:pPr>
      <w:r>
        <w:rPr>
          <w:rFonts w:hint="eastAsia" w:ascii="宋体" w:hAnsi="宋体"/>
          <w:szCs w:val="21"/>
        </w:rPr>
        <w:t>2）</w:t>
      </w:r>
      <w:r>
        <w:rPr>
          <w:rFonts w:hint="eastAsia" w:hAnsi="宋体"/>
        </w:rPr>
        <w:t>质量管理体系与措施</w:t>
      </w:r>
      <w:r>
        <w:rPr>
          <w:rFonts w:hint="eastAsia" w:ascii="宋体" w:hAnsi="宋体"/>
          <w:szCs w:val="21"/>
        </w:rPr>
        <w:t>；</w:t>
      </w:r>
    </w:p>
    <w:p>
      <w:pPr>
        <w:spacing w:line="400" w:lineRule="exact"/>
        <w:ind w:right="-34" w:rightChars="-16" w:firstLine="787" w:firstLineChars="375"/>
        <w:rPr>
          <w:rFonts w:ascii="宋体" w:hAnsi="宋体"/>
          <w:szCs w:val="21"/>
        </w:rPr>
      </w:pPr>
      <w:r>
        <w:rPr>
          <w:rFonts w:hint="eastAsia" w:ascii="宋体" w:hAnsi="宋体"/>
          <w:szCs w:val="21"/>
        </w:rPr>
        <w:t>3）</w:t>
      </w:r>
      <w:r>
        <w:rPr>
          <w:rFonts w:hint="eastAsia" w:hAnsi="宋体"/>
        </w:rPr>
        <w:t>安全管理体系与措施</w:t>
      </w:r>
      <w:r>
        <w:rPr>
          <w:rFonts w:hint="eastAsia" w:ascii="宋体" w:hAnsi="宋体"/>
          <w:szCs w:val="21"/>
        </w:rPr>
        <w:t>；</w:t>
      </w:r>
    </w:p>
    <w:p>
      <w:pPr>
        <w:spacing w:line="400" w:lineRule="exact"/>
        <w:ind w:right="-34" w:rightChars="-16" w:firstLine="787" w:firstLineChars="375"/>
        <w:rPr>
          <w:rFonts w:ascii="宋体" w:hAnsi="宋体"/>
          <w:szCs w:val="21"/>
        </w:rPr>
      </w:pPr>
      <w:r>
        <w:rPr>
          <w:rFonts w:hint="eastAsia" w:ascii="宋体" w:hAnsi="宋体"/>
          <w:szCs w:val="21"/>
        </w:rPr>
        <w:t>4）</w:t>
      </w:r>
      <w:r>
        <w:rPr>
          <w:rFonts w:hint="eastAsia" w:hAnsi="宋体"/>
        </w:rPr>
        <w:t>环境保护管理体系与措施</w:t>
      </w:r>
      <w:r>
        <w:rPr>
          <w:rFonts w:hint="eastAsia" w:ascii="宋体" w:hAnsi="宋体"/>
          <w:szCs w:val="21"/>
        </w:rPr>
        <w:t xml:space="preserve">； </w:t>
      </w:r>
    </w:p>
    <w:p>
      <w:pPr>
        <w:spacing w:line="400" w:lineRule="exact"/>
        <w:ind w:right="-34" w:rightChars="-16" w:firstLine="787" w:firstLineChars="375"/>
        <w:rPr>
          <w:rFonts w:ascii="宋体" w:hAnsi="宋体"/>
          <w:szCs w:val="21"/>
        </w:rPr>
      </w:pPr>
      <w:r>
        <w:rPr>
          <w:rFonts w:hint="eastAsia" w:ascii="宋体" w:hAnsi="宋体"/>
          <w:szCs w:val="21"/>
        </w:rPr>
        <w:t>5）</w:t>
      </w:r>
      <w:r>
        <w:rPr>
          <w:rFonts w:hint="eastAsia" w:hAnsi="宋体"/>
        </w:rPr>
        <w:t>工程进度计划与措施</w:t>
      </w:r>
      <w:r>
        <w:rPr>
          <w:rFonts w:hint="eastAsia" w:ascii="宋体" w:hAnsi="宋体"/>
          <w:szCs w:val="21"/>
        </w:rPr>
        <w:t>；</w:t>
      </w:r>
    </w:p>
    <w:p>
      <w:pPr>
        <w:spacing w:line="400" w:lineRule="exact"/>
        <w:ind w:right="-34" w:rightChars="-16" w:firstLine="787" w:firstLineChars="375"/>
        <w:rPr>
          <w:rFonts w:ascii="宋体" w:hAnsi="宋体"/>
          <w:szCs w:val="21"/>
        </w:rPr>
      </w:pPr>
      <w:r>
        <w:rPr>
          <w:rFonts w:hint="eastAsia" w:ascii="宋体" w:hAnsi="宋体"/>
          <w:szCs w:val="21"/>
        </w:rPr>
        <w:t>6）</w:t>
      </w:r>
      <w:r>
        <w:rPr>
          <w:rFonts w:hint="eastAsia" w:hAnsi="宋体"/>
        </w:rPr>
        <w:t>拟投入资源配备计划</w:t>
      </w:r>
      <w:r>
        <w:rPr>
          <w:rFonts w:hint="eastAsia" w:ascii="宋体" w:hAnsi="宋体"/>
          <w:szCs w:val="21"/>
        </w:rPr>
        <w:t xml:space="preserve">；  </w:t>
      </w:r>
    </w:p>
    <w:p>
      <w:pPr>
        <w:spacing w:line="400" w:lineRule="exact"/>
        <w:ind w:right="-34" w:rightChars="-16" w:firstLine="787" w:firstLineChars="375"/>
        <w:rPr>
          <w:rFonts w:ascii="宋体" w:hAnsi="宋体"/>
          <w:szCs w:val="21"/>
        </w:rPr>
      </w:pPr>
      <w:r>
        <w:rPr>
          <w:rFonts w:hint="eastAsia" w:ascii="宋体" w:hAnsi="宋体"/>
          <w:szCs w:val="21"/>
        </w:rPr>
        <w:t>7）</w:t>
      </w:r>
      <w:r>
        <w:rPr>
          <w:rFonts w:hint="eastAsia" w:hAnsi="宋体"/>
        </w:rPr>
        <w:t>施工进度表或施工网络图</w:t>
      </w:r>
      <w:r>
        <w:rPr>
          <w:rFonts w:hint="eastAsia" w:ascii="宋体" w:hAnsi="宋体"/>
          <w:szCs w:val="21"/>
        </w:rPr>
        <w:t xml:space="preserve">； </w:t>
      </w:r>
    </w:p>
    <w:p>
      <w:pPr>
        <w:spacing w:line="400" w:lineRule="exact"/>
        <w:ind w:right="-34" w:rightChars="-16" w:firstLine="787" w:firstLineChars="375"/>
        <w:rPr>
          <w:rFonts w:ascii="宋体" w:hAnsi="宋体"/>
          <w:szCs w:val="21"/>
        </w:rPr>
      </w:pPr>
      <w:r>
        <w:rPr>
          <w:rFonts w:hint="eastAsia" w:ascii="宋体" w:hAnsi="宋体"/>
          <w:szCs w:val="21"/>
        </w:rPr>
        <w:t>8）</w:t>
      </w:r>
      <w:r>
        <w:rPr>
          <w:rFonts w:hint="eastAsia" w:hAnsi="宋体"/>
        </w:rPr>
        <w:t>施工总平面布置图</w:t>
      </w:r>
      <w:r>
        <w:rPr>
          <w:rFonts w:hint="eastAsia" w:ascii="宋体" w:hAnsi="宋体"/>
          <w:szCs w:val="21"/>
        </w:rPr>
        <w:t xml:space="preserve">；  </w:t>
      </w:r>
    </w:p>
    <w:p>
      <w:pPr>
        <w:spacing w:line="400" w:lineRule="exact"/>
        <w:ind w:right="-34" w:rightChars="-16" w:firstLine="787" w:firstLineChars="375"/>
        <w:rPr>
          <w:rFonts w:ascii="宋体" w:hAnsi="宋体"/>
          <w:szCs w:val="21"/>
        </w:rPr>
      </w:pPr>
      <w:r>
        <w:rPr>
          <w:rFonts w:hint="eastAsia" w:ascii="宋体" w:hAnsi="宋体"/>
          <w:szCs w:val="21"/>
        </w:rPr>
        <w:t>9）</w:t>
      </w:r>
      <w:r>
        <w:rPr>
          <w:rFonts w:hint="eastAsia" w:ascii="宋体" w:hAnsi="宋体"/>
        </w:rPr>
        <w:t>在节能减排、绿色施工、工艺创新方面针对本工程有具体措施或企业自有创新技术</w:t>
      </w:r>
      <w:r>
        <w:rPr>
          <w:rFonts w:hint="eastAsia" w:ascii="宋体" w:hAnsi="宋体"/>
          <w:szCs w:val="21"/>
        </w:rPr>
        <w:t>；</w:t>
      </w:r>
    </w:p>
    <w:p>
      <w:pPr>
        <w:spacing w:line="400" w:lineRule="exact"/>
        <w:ind w:left="1208" w:leftChars="375" w:right="-34" w:rightChars="-16" w:hanging="420" w:hangingChars="200"/>
        <w:rPr>
          <w:rFonts w:ascii="宋体" w:hAnsi="宋体"/>
          <w:szCs w:val="21"/>
        </w:rPr>
      </w:pPr>
      <w:r>
        <w:rPr>
          <w:rFonts w:hint="eastAsia" w:ascii="宋体" w:hAnsi="宋体"/>
          <w:szCs w:val="21"/>
        </w:rPr>
        <w:t>10）</w:t>
      </w:r>
      <w:r>
        <w:rPr>
          <w:rFonts w:hint="eastAsia" w:ascii="宋体" w:hAnsi="宋体"/>
        </w:rPr>
        <w:t>新工艺、新技术、新设备、新材料的采用程度，其在确保质量、降低成本、缩短工期、减轻劳动强度、提高工效等方面的作用</w:t>
      </w:r>
      <w:r>
        <w:rPr>
          <w:rFonts w:hint="eastAsia" w:ascii="宋体" w:hAnsi="宋体"/>
          <w:szCs w:val="21"/>
        </w:rPr>
        <w:t>；</w:t>
      </w:r>
    </w:p>
    <w:p>
      <w:pPr>
        <w:spacing w:line="400" w:lineRule="exact"/>
        <w:ind w:right="-34" w:rightChars="-16" w:firstLine="787" w:firstLineChars="375"/>
        <w:rPr>
          <w:rFonts w:ascii="宋体" w:hAnsi="宋体"/>
          <w:szCs w:val="21"/>
        </w:rPr>
      </w:pPr>
      <w:r>
        <w:rPr>
          <w:rFonts w:hint="eastAsia" w:ascii="宋体" w:hAnsi="宋体"/>
          <w:szCs w:val="21"/>
        </w:rPr>
        <w:t>11）</w:t>
      </w:r>
      <w:r>
        <w:rPr>
          <w:rFonts w:hint="eastAsia" w:ascii="宋体" w:hAnsi="宋体"/>
        </w:rPr>
        <w:t>企业具备信息化管理平台，能够使工程管理者对现场实施监控和数据处理</w:t>
      </w:r>
      <w:r>
        <w:rPr>
          <w:rFonts w:hint="eastAsia" w:ascii="宋体" w:hAnsi="宋体"/>
          <w:szCs w:val="21"/>
        </w:rPr>
        <w:t>。</w:t>
      </w:r>
    </w:p>
    <w:p>
      <w:pPr>
        <w:spacing w:line="400" w:lineRule="exact"/>
        <w:ind w:right="-34" w:rightChars="-16" w:firstLine="420" w:firstLineChars="200"/>
        <w:rPr>
          <w:rFonts w:ascii="黑体" w:hAnsi="新宋体" w:eastAsia="黑体"/>
          <w:kern w:val="0"/>
          <w:sz w:val="28"/>
        </w:rPr>
      </w:pPr>
      <w:r>
        <w:rPr>
          <w:rFonts w:ascii="宋体" w:hAnsi="宋体"/>
          <w:szCs w:val="21"/>
        </w:rPr>
        <w:br w:type="page"/>
      </w:r>
      <w:bookmarkStart w:id="1145" w:name="_Toc228591611"/>
      <w:bookmarkStart w:id="1146" w:name="_Toc228337200"/>
      <w:bookmarkStart w:id="1147" w:name="_Toc214433991"/>
      <w:bookmarkStart w:id="1148" w:name="_Toc228591759"/>
      <w:bookmarkStart w:id="1149" w:name="_Toc434140864"/>
      <w:bookmarkStart w:id="1150" w:name="_Toc431367140"/>
      <w:bookmarkStart w:id="1151" w:name="_Toc227492347"/>
      <w:bookmarkStart w:id="1152" w:name="_Toc228589265"/>
      <w:bookmarkStart w:id="1153" w:name="_Toc227657589"/>
      <w:bookmarkStart w:id="1154" w:name="_Toc228881251"/>
      <w:bookmarkStart w:id="1155" w:name="_Toc272772670"/>
      <w:r>
        <w:rPr>
          <w:rFonts w:hint="eastAsia" w:ascii="黑体" w:hAnsi="新宋体" w:eastAsia="黑体"/>
          <w:kern w:val="0"/>
          <w:sz w:val="28"/>
        </w:rPr>
        <w:t>附表一：拟投入本项目的</w:t>
      </w:r>
      <w:bookmarkEnd w:id="1145"/>
      <w:bookmarkEnd w:id="1146"/>
      <w:bookmarkEnd w:id="1147"/>
      <w:bookmarkEnd w:id="1148"/>
      <w:bookmarkEnd w:id="1149"/>
      <w:bookmarkEnd w:id="1150"/>
      <w:bookmarkEnd w:id="1151"/>
      <w:bookmarkEnd w:id="1152"/>
      <w:bookmarkEnd w:id="1153"/>
      <w:bookmarkEnd w:id="1154"/>
      <w:bookmarkEnd w:id="1155"/>
      <w:r>
        <w:rPr>
          <w:rFonts w:hint="eastAsia" w:ascii="黑体" w:hAnsi="新宋体" w:eastAsia="黑体"/>
          <w:kern w:val="0"/>
          <w:sz w:val="28"/>
        </w:rPr>
        <w:t>资源配备计划</w:t>
      </w:r>
    </w:p>
    <w:p>
      <w:pPr>
        <w:autoSpaceDE w:val="0"/>
        <w:autoSpaceDN w:val="0"/>
        <w:adjustRightInd w:val="0"/>
        <w:spacing w:line="400" w:lineRule="exact"/>
        <w:ind w:right="-34" w:rightChars="-16"/>
        <w:jc w:val="left"/>
        <w:rPr>
          <w:rFonts w:ascii="宋体" w:hAnsi="宋体"/>
          <w:kern w:val="0"/>
          <w:sz w:val="24"/>
        </w:rPr>
      </w:pPr>
    </w:p>
    <w:tbl>
      <w:tblPr>
        <w:tblStyle w:val="46"/>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序号</w:t>
            </w: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设备名称</w:t>
            </w:r>
          </w:p>
        </w:tc>
        <w:tc>
          <w:tcPr>
            <w:tcW w:w="931"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型号</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规格</w:t>
            </w: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数量</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国别</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产地</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制造</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年份</w:t>
            </w:r>
          </w:p>
        </w:tc>
        <w:tc>
          <w:tcPr>
            <w:tcW w:w="1201"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额定功率</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w:t>
            </w:r>
            <w:r>
              <w:rPr>
                <w:rFonts w:ascii="宋体" w:hAnsi="宋体"/>
                <w:b/>
                <w:kern w:val="0"/>
              </w:rPr>
              <w:t>KW</w:t>
            </w:r>
            <w:r>
              <w:rPr>
                <w:rFonts w:hint="eastAsia" w:ascii="宋体" w:hAnsi="宋体"/>
                <w:kern w:val="0"/>
              </w:rPr>
              <w:t>）</w:t>
            </w:r>
          </w:p>
        </w:tc>
        <w:tc>
          <w:tcPr>
            <w:tcW w:w="66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生产</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能力</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用于施</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工部位</w:t>
            </w: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bl>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outlineLvl w:val="0"/>
        <w:rPr>
          <w:rFonts w:ascii="黑体" w:hAnsi="新宋体" w:eastAsia="黑体"/>
          <w:kern w:val="0"/>
          <w:sz w:val="28"/>
        </w:rPr>
      </w:pPr>
      <w:bookmarkStart w:id="1156" w:name="_Toc227657590"/>
      <w:bookmarkStart w:id="1157" w:name="_Toc272772671"/>
      <w:bookmarkStart w:id="1158" w:name="_Toc434140865"/>
      <w:bookmarkStart w:id="1159" w:name="_Toc228881252"/>
      <w:bookmarkStart w:id="1160" w:name="_Toc228337201"/>
      <w:bookmarkStart w:id="1161" w:name="_Toc228591760"/>
      <w:bookmarkStart w:id="1162" w:name="_Toc454031615"/>
      <w:bookmarkStart w:id="1163" w:name="_Toc431367141"/>
      <w:bookmarkStart w:id="1164" w:name="_Toc228589266"/>
      <w:bookmarkStart w:id="1165" w:name="_Toc459289947"/>
      <w:bookmarkStart w:id="1166" w:name="_Toc227492348"/>
      <w:bookmarkStart w:id="1167" w:name="_Toc13120"/>
      <w:bookmarkStart w:id="1168" w:name="_Toc21861"/>
      <w:bookmarkStart w:id="1169" w:name="_Toc228591612"/>
      <w:bookmarkStart w:id="1170" w:name="_Toc214433992"/>
      <w:bookmarkStart w:id="1171" w:name="_Toc453573352"/>
      <w:r>
        <w:rPr>
          <w:rFonts w:hint="eastAsia" w:ascii="黑体" w:hAnsi="新宋体" w:eastAsia="黑体"/>
          <w:kern w:val="0"/>
          <w:sz w:val="28"/>
        </w:rPr>
        <w:t>附表二：拟配备本项目的试验和检测仪器设备表</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p>
    <w:p>
      <w:pPr>
        <w:autoSpaceDE w:val="0"/>
        <w:autoSpaceDN w:val="0"/>
        <w:adjustRightInd w:val="0"/>
        <w:spacing w:line="400" w:lineRule="exact"/>
        <w:ind w:right="-34" w:rightChars="-16"/>
        <w:jc w:val="left"/>
        <w:rPr>
          <w:rFonts w:ascii="宋体" w:hAnsi="宋体"/>
          <w:kern w:val="0"/>
          <w:sz w:val="24"/>
        </w:rPr>
      </w:pPr>
    </w:p>
    <w:tbl>
      <w:tblPr>
        <w:tblStyle w:val="46"/>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序号</w:t>
            </w:r>
          </w:p>
        </w:tc>
        <w:tc>
          <w:tcPr>
            <w:tcW w:w="122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仪器设备</w:t>
            </w:r>
          </w:p>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名称</w:t>
            </w:r>
          </w:p>
        </w:tc>
        <w:tc>
          <w:tcPr>
            <w:tcW w:w="1026"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型号</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规格</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数量</w:t>
            </w:r>
          </w:p>
        </w:tc>
        <w:tc>
          <w:tcPr>
            <w:tcW w:w="1025"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国别</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产地</w:t>
            </w:r>
          </w:p>
        </w:tc>
        <w:tc>
          <w:tcPr>
            <w:tcW w:w="884"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制造</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年份</w:t>
            </w:r>
          </w:p>
        </w:tc>
        <w:tc>
          <w:tcPr>
            <w:tcW w:w="1166"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已使用台</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时数</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用途</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bl>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sz w:val="18"/>
        </w:rPr>
      </w:pPr>
    </w:p>
    <w:p>
      <w:pPr>
        <w:autoSpaceDE w:val="0"/>
        <w:autoSpaceDN w:val="0"/>
        <w:adjustRightInd w:val="0"/>
        <w:spacing w:line="400" w:lineRule="exact"/>
        <w:ind w:right="-34" w:rightChars="-16"/>
        <w:outlineLvl w:val="0"/>
        <w:rPr>
          <w:rFonts w:ascii="黑体" w:hAnsi="新宋体" w:eastAsia="黑体"/>
          <w:kern w:val="0"/>
          <w:sz w:val="28"/>
        </w:rPr>
      </w:pPr>
      <w:bookmarkStart w:id="1172" w:name="_Toc227657592"/>
      <w:bookmarkStart w:id="1173" w:name="_Toc227492350"/>
      <w:bookmarkStart w:id="1174" w:name="_Toc228591762"/>
      <w:bookmarkStart w:id="1175" w:name="_Toc228881254"/>
      <w:bookmarkStart w:id="1176" w:name="_Toc272772673"/>
      <w:bookmarkStart w:id="1177" w:name="_Toc228337203"/>
      <w:bookmarkStart w:id="1178" w:name="_Toc214433994"/>
      <w:bookmarkStart w:id="1179" w:name="_Toc228591614"/>
      <w:bookmarkStart w:id="1180" w:name="_Toc228589268"/>
      <w:bookmarkStart w:id="1181" w:name="_Toc28006"/>
      <w:bookmarkStart w:id="1182" w:name="_Toc459289949"/>
      <w:bookmarkStart w:id="1183" w:name="_Toc453573354"/>
      <w:bookmarkStart w:id="1184" w:name="_Toc431367143"/>
      <w:bookmarkStart w:id="1185" w:name="_Toc9600"/>
      <w:bookmarkStart w:id="1186" w:name="_Toc434140867"/>
      <w:bookmarkStart w:id="1187" w:name="_Toc454031617"/>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r>
        <w:rPr>
          <w:rFonts w:hint="eastAsia" w:ascii="黑体" w:hAnsi="新宋体" w:eastAsia="黑体"/>
          <w:kern w:val="0"/>
          <w:sz w:val="28"/>
        </w:rPr>
        <w:t>附表三：施工进度</w:t>
      </w:r>
      <w:bookmarkEnd w:id="1172"/>
      <w:bookmarkEnd w:id="1173"/>
      <w:bookmarkEnd w:id="1174"/>
      <w:bookmarkEnd w:id="1175"/>
      <w:bookmarkEnd w:id="1176"/>
      <w:bookmarkEnd w:id="1177"/>
      <w:bookmarkEnd w:id="1178"/>
      <w:bookmarkEnd w:id="1179"/>
      <w:bookmarkEnd w:id="1180"/>
      <w:r>
        <w:rPr>
          <w:rFonts w:hint="eastAsia" w:ascii="黑体" w:hAnsi="新宋体" w:eastAsia="黑体"/>
          <w:kern w:val="0"/>
          <w:sz w:val="28"/>
        </w:rPr>
        <w:t>计划表</w:t>
      </w:r>
      <w:bookmarkEnd w:id="1181"/>
      <w:bookmarkEnd w:id="1182"/>
      <w:bookmarkEnd w:id="1183"/>
      <w:bookmarkEnd w:id="1184"/>
      <w:bookmarkEnd w:id="1185"/>
      <w:bookmarkEnd w:id="1186"/>
      <w:bookmarkEnd w:id="1187"/>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firstLine="718" w:firstLineChars="342"/>
        <w:jc w:val="left"/>
        <w:rPr>
          <w:rFonts w:ascii="宋体" w:hAnsi="宋体"/>
          <w:kern w:val="0"/>
          <w:szCs w:val="21"/>
        </w:rPr>
      </w:pPr>
      <w:r>
        <w:rPr>
          <w:rFonts w:ascii="宋体" w:hAnsi="宋体"/>
          <w:kern w:val="0"/>
          <w:szCs w:val="21"/>
        </w:rPr>
        <w:t xml:space="preserve">1. </w:t>
      </w:r>
      <w:r>
        <w:rPr>
          <w:rFonts w:hint="eastAsia" w:ascii="宋体" w:hAnsi="宋体"/>
          <w:kern w:val="0"/>
          <w:szCs w:val="21"/>
        </w:rPr>
        <w:t>投标人应递交施工进度网络图或施工进度表。</w:t>
      </w:r>
    </w:p>
    <w:p>
      <w:pPr>
        <w:autoSpaceDE w:val="0"/>
        <w:autoSpaceDN w:val="0"/>
        <w:adjustRightInd w:val="0"/>
        <w:spacing w:line="400" w:lineRule="exact"/>
        <w:ind w:right="-34" w:rightChars="-16" w:firstLine="718" w:firstLineChars="342"/>
        <w:jc w:val="left"/>
        <w:rPr>
          <w:rFonts w:ascii="宋体" w:hAnsi="宋体"/>
          <w:kern w:val="0"/>
          <w:szCs w:val="21"/>
        </w:rPr>
      </w:pPr>
      <w:r>
        <w:rPr>
          <w:rFonts w:ascii="宋体" w:hAnsi="宋体"/>
          <w:kern w:val="0"/>
          <w:szCs w:val="21"/>
        </w:rPr>
        <w:t xml:space="preserve">2. </w:t>
      </w:r>
      <w:r>
        <w:rPr>
          <w:rFonts w:hint="eastAsia" w:ascii="宋体" w:hAnsi="宋体"/>
          <w:kern w:val="0"/>
          <w:szCs w:val="21"/>
        </w:rPr>
        <w:t>施工进度表可采用网络图（或横道图）表示。</w:t>
      </w: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spacing w:before="120" w:beforeLines="50" w:after="120" w:afterLines="50" w:line="420" w:lineRule="exact"/>
        <w:rPr>
          <w:rFonts w:ascii="黑体" w:hAnsi="宋体" w:eastAsia="黑体"/>
          <w:sz w:val="24"/>
        </w:rPr>
      </w:pPr>
    </w:p>
    <w:p>
      <w:pPr>
        <w:spacing w:before="120" w:beforeLines="50" w:after="120" w:afterLines="50" w:line="420" w:lineRule="exact"/>
        <w:rPr>
          <w:rFonts w:ascii="黑体" w:hAnsi="宋体" w:eastAsia="黑体"/>
          <w:sz w:val="24"/>
        </w:rPr>
      </w:pPr>
    </w:p>
    <w:p>
      <w:pPr>
        <w:spacing w:before="120" w:beforeLines="50" w:after="120" w:afterLines="50" w:line="420" w:lineRule="exact"/>
        <w:rPr>
          <w:rFonts w:ascii="黑体" w:hAnsi="宋体" w:eastAsia="黑体"/>
          <w:sz w:val="24"/>
        </w:rPr>
      </w:pPr>
    </w:p>
    <w:p>
      <w:pPr>
        <w:spacing w:before="120" w:beforeLines="50" w:after="120" w:afterLines="50" w:line="420" w:lineRule="exact"/>
        <w:rPr>
          <w:rFonts w:ascii="黑体" w:hAnsi="宋体" w:eastAsia="黑体"/>
          <w:sz w:val="24"/>
        </w:rPr>
      </w:pPr>
    </w:p>
    <w:p>
      <w:pPr>
        <w:spacing w:before="120" w:beforeLines="50" w:after="120" w:afterLines="50" w:line="420" w:lineRule="exact"/>
        <w:rPr>
          <w:rFonts w:ascii="黑体" w:hAnsi="宋体" w:eastAsia="黑体"/>
          <w:sz w:val="24"/>
        </w:rPr>
      </w:pPr>
    </w:p>
    <w:p>
      <w:pPr>
        <w:spacing w:before="120" w:beforeLines="50" w:after="120" w:afterLines="50" w:line="420" w:lineRule="exact"/>
        <w:rPr>
          <w:rFonts w:ascii="黑体" w:hAnsi="宋体" w:eastAsia="黑体"/>
          <w:sz w:val="24"/>
        </w:rPr>
      </w:pPr>
    </w:p>
    <w:p>
      <w:pPr>
        <w:spacing w:before="120" w:beforeLines="50" w:after="120" w:afterLines="50" w:line="420" w:lineRule="exact"/>
        <w:rPr>
          <w:rFonts w:ascii="黑体" w:hAnsi="宋体" w:eastAsia="黑体"/>
          <w:sz w:val="24"/>
        </w:rPr>
      </w:pPr>
    </w:p>
    <w:p>
      <w:pPr>
        <w:spacing w:before="120" w:beforeLines="50" w:after="120" w:afterLines="50" w:line="420" w:lineRule="exact"/>
        <w:rPr>
          <w:rFonts w:ascii="黑体" w:hAnsi="宋体" w:eastAsia="黑体"/>
          <w:b/>
          <w:sz w:val="28"/>
          <w:szCs w:val="28"/>
        </w:rPr>
      </w:pPr>
      <w:r>
        <w:rPr>
          <w:rFonts w:hint="eastAsia" w:ascii="黑体" w:hAnsi="宋体" w:eastAsia="黑体"/>
          <w:b/>
          <w:sz w:val="28"/>
          <w:szCs w:val="28"/>
        </w:rPr>
        <w:t>附表四：劳动力计划表</w:t>
      </w:r>
    </w:p>
    <w:p>
      <w:pPr>
        <w:wordWrap w:val="0"/>
        <w:spacing w:line="420" w:lineRule="exact"/>
        <w:jc w:val="right"/>
        <w:rPr>
          <w:rFonts w:ascii="黑体" w:hAnsi="宋体" w:eastAsia="黑体"/>
          <w:szCs w:val="21"/>
        </w:rPr>
      </w:pPr>
      <w:r>
        <w:rPr>
          <w:rFonts w:hint="eastAsia" w:ascii="黑体" w:hAnsi="宋体" w:eastAsia="黑体"/>
          <w:szCs w:val="21"/>
        </w:rPr>
        <w:t xml:space="preserve">单位：人   </w:t>
      </w:r>
    </w:p>
    <w:tbl>
      <w:tblPr>
        <w:tblStyle w:val="46"/>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vAlign w:val="center"/>
          </w:tcPr>
          <w:p>
            <w:pPr>
              <w:jc w:val="center"/>
              <w:rPr>
                <w:rFonts w:ascii="宋体" w:hAnsi="宋体"/>
                <w:szCs w:val="21"/>
              </w:rPr>
            </w:pPr>
            <w:r>
              <w:rPr>
                <w:rFonts w:hint="eastAsia" w:ascii="宋体" w:hAnsi="宋体"/>
                <w:szCs w:val="21"/>
              </w:rPr>
              <w:t>工种</w:t>
            </w:r>
          </w:p>
        </w:tc>
        <w:tc>
          <w:tcPr>
            <w:tcW w:w="7796" w:type="dxa"/>
            <w:gridSpan w:val="7"/>
            <w:vAlign w:val="center"/>
          </w:tcPr>
          <w:p>
            <w:pPr>
              <w:jc w:val="center"/>
              <w:rPr>
                <w:rFonts w:ascii="宋体" w:hAnsi="宋体"/>
                <w:szCs w:val="21"/>
              </w:rPr>
            </w:pPr>
            <w:r>
              <w:rPr>
                <w:rFonts w:hint="eastAsia" w:ascii="宋体" w:hAnsi="宋体"/>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bl>
    <w:p>
      <w:pPr>
        <w:autoSpaceDE w:val="0"/>
        <w:autoSpaceDN w:val="0"/>
        <w:adjustRightInd w:val="0"/>
        <w:spacing w:line="400" w:lineRule="exact"/>
        <w:ind w:right="-34" w:rightChars="-16"/>
        <w:jc w:val="left"/>
        <w:rPr>
          <w:rFonts w:ascii="黑体" w:hAnsi="新宋体" w:eastAsia="黑体"/>
          <w:kern w:val="0"/>
          <w:sz w:val="28"/>
        </w:rPr>
      </w:pPr>
      <w:bookmarkStart w:id="1188" w:name="_Toc228589269"/>
      <w:bookmarkStart w:id="1189" w:name="_Toc214433995"/>
      <w:bookmarkStart w:id="1190" w:name="_Toc454031618"/>
      <w:bookmarkStart w:id="1191" w:name="_Toc228337204"/>
      <w:bookmarkStart w:id="1192" w:name="_Toc27419"/>
      <w:bookmarkStart w:id="1193" w:name="_Toc228591763"/>
      <w:bookmarkStart w:id="1194" w:name="_Toc227492351"/>
      <w:bookmarkStart w:id="1195" w:name="_Toc28049"/>
      <w:bookmarkStart w:id="1196" w:name="_Toc228881255"/>
      <w:bookmarkStart w:id="1197" w:name="_Toc227657593"/>
      <w:bookmarkStart w:id="1198" w:name="_Toc228591615"/>
      <w:bookmarkStart w:id="1199" w:name="_Toc431367144"/>
      <w:bookmarkStart w:id="1200" w:name="_Toc453573355"/>
      <w:bookmarkStart w:id="1201" w:name="_Toc459289950"/>
      <w:bookmarkStart w:id="1202" w:name="_Toc272772674"/>
      <w:bookmarkStart w:id="1203" w:name="_Toc434140868"/>
      <w:r>
        <w:rPr>
          <w:rFonts w:hint="eastAsia" w:ascii="黑体" w:hAnsi="新宋体" w:eastAsia="黑体"/>
          <w:kern w:val="0"/>
          <w:sz w:val="28"/>
        </w:rPr>
        <w:t>附表五：施工总平面图</w:t>
      </w:r>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p>
    <w:p>
      <w:pPr>
        <w:autoSpaceDE w:val="0"/>
        <w:autoSpaceDN w:val="0"/>
        <w:adjustRightInd w:val="0"/>
        <w:spacing w:before="240" w:beforeLines="100" w:line="400" w:lineRule="exact"/>
        <w:ind w:right="-34" w:rightChars="-16" w:firstLine="420" w:firstLineChars="200"/>
        <w:jc w:val="left"/>
        <w:rPr>
          <w:rFonts w:ascii="宋体" w:hAnsi="宋体"/>
          <w:kern w:val="0"/>
          <w:szCs w:val="21"/>
        </w:rPr>
      </w:pPr>
      <w:r>
        <w:rPr>
          <w:rFonts w:hint="eastAsia" w:ascii="宋体" w:hAnsi="宋体"/>
          <w:kern w:val="0"/>
          <w:szCs w:val="21"/>
        </w:rPr>
        <w:t>投标人应递交一份施工总平面图，绘出现场临时设施布置图表并附文字说明，说明临时设施、加工车间、现场办公、设备及仓储、供电、供水、卫生、生活、道路、消防等设施的情况和布置。</w:t>
      </w:r>
    </w:p>
    <w:p>
      <w:pPr>
        <w:autoSpaceDE w:val="0"/>
        <w:autoSpaceDN w:val="0"/>
        <w:adjustRightInd w:val="0"/>
        <w:spacing w:line="400" w:lineRule="exact"/>
        <w:ind w:right="-34" w:rightChars="-16"/>
        <w:jc w:val="center"/>
        <w:outlineLvl w:val="0"/>
        <w:rPr>
          <w:rFonts w:ascii="黑体" w:hAnsi="新宋体" w:eastAsia="黑体"/>
          <w:b/>
          <w:kern w:val="0"/>
          <w:sz w:val="28"/>
        </w:rPr>
      </w:pPr>
      <w:r>
        <w:rPr>
          <w:rFonts w:ascii="宋体" w:hAnsi="宋体"/>
          <w:kern w:val="0"/>
          <w:szCs w:val="21"/>
        </w:rPr>
        <w:br w:type="page"/>
      </w:r>
      <w:bookmarkStart w:id="1204" w:name="_Toc184"/>
      <w:bookmarkStart w:id="1205" w:name="_Toc1575"/>
      <w:r>
        <w:rPr>
          <w:rFonts w:hint="eastAsia" w:ascii="黑体" w:hAnsi="新宋体" w:eastAsia="黑体"/>
          <w:b/>
          <w:kern w:val="0"/>
          <w:sz w:val="28"/>
        </w:rPr>
        <w:t>七、技术标准和要求</w:t>
      </w:r>
      <w:bookmarkEnd w:id="1204"/>
      <w:bookmarkEnd w:id="1205"/>
    </w:p>
    <w:p>
      <w:pPr>
        <w:autoSpaceDE w:val="0"/>
        <w:autoSpaceDN w:val="0"/>
        <w:adjustRightInd w:val="0"/>
        <w:spacing w:before="240" w:beforeLines="100" w:line="360" w:lineRule="auto"/>
        <w:ind w:right="-34" w:rightChars="-16" w:firstLine="420" w:firstLineChars="200"/>
        <w:outlineLvl w:val="0"/>
        <w:rPr>
          <w:rFonts w:ascii="宋体" w:hAnsi="宋体"/>
          <w:color w:val="auto"/>
          <w:kern w:val="0"/>
          <w:szCs w:val="21"/>
        </w:rPr>
      </w:pPr>
      <w:bookmarkStart w:id="1206" w:name="_Toc459289952"/>
      <w:bookmarkStart w:id="1207" w:name="_Toc1980"/>
      <w:bookmarkStart w:id="1208" w:name="_Toc436583943"/>
      <w:bookmarkStart w:id="1209" w:name="_Toc418520827"/>
      <w:bookmarkStart w:id="1210" w:name="_Toc453573356"/>
      <w:bookmarkStart w:id="1211" w:name="_Toc454031619"/>
      <w:bookmarkStart w:id="1212" w:name="_Toc463776623"/>
      <w:bookmarkStart w:id="1213" w:name="_Toc372286579"/>
      <w:bookmarkStart w:id="1214" w:name="_Toc368902869"/>
      <w:bookmarkStart w:id="1215" w:name="_Toc16949"/>
      <w:bookmarkStart w:id="1216" w:name="_Toc369620623"/>
      <w:bookmarkStart w:id="1217" w:name="_Toc28316"/>
      <w:r>
        <w:rPr>
          <w:rFonts w:hint="eastAsia" w:ascii="宋体" w:hAnsi="宋体"/>
          <w:color w:val="auto"/>
          <w:kern w:val="0"/>
          <w:szCs w:val="21"/>
        </w:rPr>
        <w:t>投标人在本招标工程项目中的工程建设标准、规范等技术要求应符合招标文件“第七章技术标准和要求”。</w:t>
      </w:r>
      <w:bookmarkEnd w:id="1206"/>
      <w:bookmarkEnd w:id="1207"/>
      <w:bookmarkEnd w:id="1208"/>
      <w:bookmarkEnd w:id="1209"/>
      <w:bookmarkEnd w:id="1210"/>
      <w:bookmarkEnd w:id="1211"/>
      <w:bookmarkEnd w:id="1212"/>
      <w:bookmarkEnd w:id="1213"/>
      <w:bookmarkEnd w:id="1214"/>
      <w:bookmarkEnd w:id="1215"/>
      <w:bookmarkEnd w:id="1216"/>
      <w:bookmarkEnd w:id="1217"/>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pStyle w:val="42"/>
        <w:rPr>
          <w:rFonts w:ascii="黑体" w:hAnsi="新宋体" w:eastAsia="黑体"/>
          <w:kern w:val="0"/>
          <w:sz w:val="28"/>
        </w:rPr>
      </w:pPr>
      <w:bookmarkStart w:id="1218" w:name="_Toc228591617"/>
      <w:bookmarkStart w:id="1219" w:name="_Toc228881257"/>
      <w:bookmarkStart w:id="1220" w:name="_Toc227492353"/>
      <w:bookmarkStart w:id="1221" w:name="_Toc228589271"/>
      <w:bookmarkStart w:id="1222" w:name="_Toc227657595"/>
      <w:bookmarkStart w:id="1223" w:name="_Toc228591765"/>
      <w:bookmarkStart w:id="1224" w:name="_Toc214433997"/>
      <w:bookmarkStart w:id="1225" w:name="_Toc228337206"/>
      <w:bookmarkStart w:id="1226" w:name="_Toc431367152"/>
      <w:bookmarkStart w:id="1227" w:name="_Toc272772676"/>
      <w:r>
        <w:rPr>
          <w:rFonts w:hint="eastAsia" w:ascii="黑体" w:hAnsi="新宋体" w:eastAsia="黑体"/>
          <w:kern w:val="0"/>
          <w:sz w:val="28"/>
        </w:rPr>
        <w:t>八、</w:t>
      </w:r>
      <w:bookmarkEnd w:id="1218"/>
      <w:bookmarkEnd w:id="1219"/>
      <w:bookmarkEnd w:id="1220"/>
      <w:bookmarkEnd w:id="1221"/>
      <w:bookmarkEnd w:id="1222"/>
      <w:bookmarkEnd w:id="1223"/>
      <w:bookmarkEnd w:id="1224"/>
      <w:bookmarkEnd w:id="1225"/>
      <w:r>
        <w:rPr>
          <w:rFonts w:hint="eastAsia" w:ascii="黑体" w:hAnsi="新宋体" w:eastAsia="黑体"/>
          <w:kern w:val="0"/>
          <w:sz w:val="28"/>
        </w:rPr>
        <w:t>项目管理机构</w:t>
      </w:r>
      <w:bookmarkEnd w:id="1226"/>
      <w:bookmarkEnd w:id="1227"/>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firstLine="2940" w:firstLineChars="1050"/>
        <w:outlineLvl w:val="0"/>
        <w:rPr>
          <w:rFonts w:ascii="黑体" w:hAnsi="新宋体" w:eastAsia="黑体"/>
          <w:kern w:val="0"/>
          <w:sz w:val="28"/>
        </w:rPr>
      </w:pPr>
      <w:bookmarkStart w:id="1228" w:name="_Toc228591618"/>
      <w:bookmarkStart w:id="1229" w:name="_Toc227657596"/>
      <w:bookmarkStart w:id="1230" w:name="_Toc228337207"/>
      <w:bookmarkStart w:id="1231" w:name="_Toc228881258"/>
      <w:bookmarkStart w:id="1232" w:name="_Toc20710"/>
      <w:bookmarkStart w:id="1233" w:name="_Toc227492354"/>
      <w:bookmarkStart w:id="1234" w:name="_Toc228589272"/>
      <w:bookmarkStart w:id="1235" w:name="_Toc228591766"/>
      <w:bookmarkStart w:id="1236" w:name="_Toc32505"/>
      <w:bookmarkStart w:id="1237" w:name="_Toc272772677"/>
      <w:bookmarkStart w:id="1238" w:name="_Toc431367153"/>
      <w:bookmarkStart w:id="1239" w:name="_Toc214433998"/>
      <w:r>
        <w:rPr>
          <w:rFonts w:hint="eastAsia" w:ascii="黑体" w:hAnsi="新宋体" w:eastAsia="黑体"/>
          <w:kern w:val="0"/>
          <w:sz w:val="28"/>
        </w:rPr>
        <w:t>（一）项目管理机构组成表</w:t>
      </w:r>
      <w:bookmarkEnd w:id="1228"/>
      <w:bookmarkEnd w:id="1229"/>
      <w:bookmarkEnd w:id="1230"/>
      <w:bookmarkEnd w:id="1231"/>
      <w:bookmarkEnd w:id="1232"/>
      <w:bookmarkEnd w:id="1233"/>
      <w:bookmarkEnd w:id="1234"/>
      <w:bookmarkEnd w:id="1235"/>
      <w:bookmarkEnd w:id="1236"/>
      <w:bookmarkEnd w:id="1237"/>
      <w:bookmarkEnd w:id="1238"/>
      <w:bookmarkEnd w:id="1239"/>
    </w:p>
    <w:p>
      <w:pPr>
        <w:autoSpaceDE w:val="0"/>
        <w:autoSpaceDN w:val="0"/>
        <w:adjustRightInd w:val="0"/>
        <w:spacing w:line="400" w:lineRule="exact"/>
        <w:ind w:right="-34" w:rightChars="-16"/>
        <w:jc w:val="left"/>
        <w:rPr>
          <w:rFonts w:ascii="宋体" w:hAnsi="宋体"/>
          <w:kern w:val="0"/>
          <w:sz w:val="24"/>
        </w:rPr>
      </w:pPr>
    </w:p>
    <w:tbl>
      <w:tblPr>
        <w:tblStyle w:val="46"/>
        <w:tblW w:w="8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职务</w:t>
            </w:r>
          </w:p>
        </w:tc>
        <w:tc>
          <w:tcPr>
            <w:tcW w:w="1034" w:type="dxa"/>
            <w:vMerge w:val="restart"/>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姓名</w:t>
            </w:r>
          </w:p>
        </w:tc>
        <w:tc>
          <w:tcPr>
            <w:tcW w:w="1035" w:type="dxa"/>
            <w:vMerge w:val="restart"/>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职称</w:t>
            </w:r>
          </w:p>
        </w:tc>
        <w:tc>
          <w:tcPr>
            <w:tcW w:w="5309" w:type="dxa"/>
            <w:gridSpan w:val="5"/>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执业或职业资格证明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Merge w:val="continue"/>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Merge w:val="continue"/>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证书名称</w:t>
            </w: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级别</w:t>
            </w: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证号</w:t>
            </w: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专业</w:t>
            </w: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4"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57" w:type="dxa"/>
            <w:vAlign w:val="center"/>
          </w:tcPr>
          <w:p>
            <w:pPr>
              <w:autoSpaceDE w:val="0"/>
              <w:autoSpaceDN w:val="0"/>
              <w:adjustRightInd w:val="0"/>
              <w:spacing w:line="400" w:lineRule="exact"/>
              <w:ind w:right="-34" w:rightChars="-16"/>
              <w:jc w:val="center"/>
              <w:rPr>
                <w:rFonts w:ascii="宋体" w:hAnsi="宋体"/>
                <w:kern w:val="0"/>
                <w:sz w:val="24"/>
              </w:rPr>
            </w:pPr>
          </w:p>
        </w:tc>
        <w:tc>
          <w:tcPr>
            <w:tcW w:w="913"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035" w:type="dxa"/>
            <w:vAlign w:val="center"/>
          </w:tcPr>
          <w:p>
            <w:pPr>
              <w:autoSpaceDE w:val="0"/>
              <w:autoSpaceDN w:val="0"/>
              <w:adjustRightInd w:val="0"/>
              <w:spacing w:line="400" w:lineRule="exact"/>
              <w:ind w:right="-34" w:rightChars="-16"/>
              <w:jc w:val="center"/>
              <w:rPr>
                <w:rFonts w:ascii="宋体" w:hAnsi="宋体"/>
                <w:kern w:val="0"/>
                <w:sz w:val="24"/>
              </w:rPr>
            </w:pPr>
          </w:p>
        </w:tc>
        <w:tc>
          <w:tcPr>
            <w:tcW w:w="1169" w:type="dxa"/>
            <w:vAlign w:val="center"/>
          </w:tcPr>
          <w:p>
            <w:pPr>
              <w:autoSpaceDE w:val="0"/>
              <w:autoSpaceDN w:val="0"/>
              <w:adjustRightInd w:val="0"/>
              <w:spacing w:line="400" w:lineRule="exact"/>
              <w:ind w:right="-34" w:rightChars="-16"/>
              <w:jc w:val="center"/>
              <w:rPr>
                <w:rFonts w:ascii="宋体" w:hAnsi="宋体"/>
                <w:kern w:val="0"/>
                <w:sz w:val="24"/>
              </w:rPr>
            </w:pPr>
          </w:p>
        </w:tc>
      </w:tr>
    </w:tbl>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18"/>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jc w:val="center"/>
        <w:outlineLvl w:val="0"/>
        <w:rPr>
          <w:rFonts w:ascii="黑体" w:hAnsi="新宋体" w:eastAsia="黑体"/>
          <w:kern w:val="0"/>
          <w:sz w:val="28"/>
        </w:rPr>
      </w:pPr>
      <w:bookmarkStart w:id="1240" w:name="_Toc227492355"/>
      <w:bookmarkStart w:id="1241" w:name="_Toc228881259"/>
      <w:bookmarkStart w:id="1242" w:name="_Toc431367154"/>
      <w:bookmarkStart w:id="1243" w:name="_Toc19288"/>
      <w:bookmarkStart w:id="1244" w:name="_Toc228337208"/>
      <w:bookmarkStart w:id="1245" w:name="_Toc15801"/>
      <w:bookmarkStart w:id="1246" w:name="_Toc228591619"/>
      <w:bookmarkStart w:id="1247" w:name="_Toc227657597"/>
      <w:bookmarkStart w:id="1248" w:name="_Toc228589273"/>
      <w:bookmarkStart w:id="1249" w:name="_Toc228591767"/>
      <w:bookmarkStart w:id="1250" w:name="_Toc214433999"/>
      <w:bookmarkStart w:id="1251" w:name="_Toc272772678"/>
      <w:r>
        <w:rPr>
          <w:rFonts w:hint="eastAsia" w:ascii="黑体" w:hAnsi="新宋体" w:eastAsia="黑体"/>
          <w:kern w:val="0"/>
          <w:sz w:val="28"/>
        </w:rPr>
        <w:t>（二）主要人员简历表</w:t>
      </w:r>
      <w:bookmarkEnd w:id="1240"/>
      <w:bookmarkEnd w:id="1241"/>
      <w:bookmarkEnd w:id="1242"/>
      <w:bookmarkEnd w:id="1243"/>
      <w:bookmarkEnd w:id="1244"/>
      <w:bookmarkEnd w:id="1245"/>
      <w:bookmarkEnd w:id="1246"/>
      <w:bookmarkEnd w:id="1247"/>
      <w:bookmarkEnd w:id="1248"/>
      <w:bookmarkEnd w:id="1249"/>
      <w:bookmarkEnd w:id="1250"/>
      <w:bookmarkEnd w:id="1251"/>
    </w:p>
    <w:p>
      <w:pPr>
        <w:autoSpaceDE w:val="0"/>
        <w:autoSpaceDN w:val="0"/>
        <w:adjustRightInd w:val="0"/>
        <w:spacing w:line="400" w:lineRule="exact"/>
        <w:ind w:right="-34" w:rightChars="-16" w:firstLine="420" w:firstLineChars="200"/>
        <w:jc w:val="left"/>
        <w:rPr>
          <w:rFonts w:ascii="宋体" w:hAnsi="宋体"/>
          <w:kern w:val="0"/>
        </w:rPr>
      </w:pPr>
      <w:r>
        <w:rPr>
          <w:rFonts w:hint="eastAsia" w:ascii="宋体" w:hAnsi="宋体"/>
          <w:kern w:val="0"/>
        </w:rPr>
        <w:t xml:space="preserve">  “主要人员简历表”中的项目经理附注册执资格证书等复印件；技术负责人附职称证等复印件；其他主要人员附职称证（执业证或上岗证书）复印件。</w:t>
      </w:r>
    </w:p>
    <w:p>
      <w:pPr>
        <w:autoSpaceDE w:val="0"/>
        <w:autoSpaceDN w:val="0"/>
        <w:adjustRightInd w:val="0"/>
        <w:spacing w:line="400" w:lineRule="exact"/>
        <w:ind w:right="-34" w:rightChars="-16" w:firstLine="420" w:firstLineChars="200"/>
        <w:jc w:val="left"/>
        <w:rPr>
          <w:rFonts w:ascii="宋体" w:hAnsi="宋体"/>
          <w:kern w:val="0"/>
        </w:rPr>
      </w:pPr>
    </w:p>
    <w:tbl>
      <w:tblPr>
        <w:tblStyle w:val="46"/>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姓名</w:t>
            </w:r>
          </w:p>
        </w:tc>
        <w:tc>
          <w:tcPr>
            <w:tcW w:w="1551"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1555"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年龄</w:t>
            </w:r>
          </w:p>
        </w:tc>
        <w:tc>
          <w:tcPr>
            <w:tcW w:w="1552" w:type="dxa"/>
            <w:vAlign w:val="center"/>
          </w:tcPr>
          <w:p>
            <w:pPr>
              <w:autoSpaceDE w:val="0"/>
              <w:autoSpaceDN w:val="0"/>
              <w:adjustRightInd w:val="0"/>
              <w:spacing w:line="400" w:lineRule="exact"/>
              <w:ind w:right="-34" w:rightChars="-16"/>
              <w:jc w:val="center"/>
              <w:rPr>
                <w:rFonts w:ascii="宋体" w:hAnsi="宋体"/>
                <w:kern w:val="0"/>
              </w:rPr>
            </w:pPr>
          </w:p>
        </w:tc>
        <w:tc>
          <w:tcPr>
            <w:tcW w:w="1843" w:type="dxa"/>
            <w:gridSpan w:val="2"/>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学 历</w:t>
            </w:r>
          </w:p>
        </w:tc>
        <w:tc>
          <w:tcPr>
            <w:tcW w:w="1263"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职称</w:t>
            </w:r>
          </w:p>
        </w:tc>
        <w:tc>
          <w:tcPr>
            <w:tcW w:w="1551"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1555"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职务</w:t>
            </w:r>
          </w:p>
        </w:tc>
        <w:tc>
          <w:tcPr>
            <w:tcW w:w="1552" w:type="dxa"/>
            <w:vAlign w:val="center"/>
          </w:tcPr>
          <w:p>
            <w:pPr>
              <w:autoSpaceDE w:val="0"/>
              <w:autoSpaceDN w:val="0"/>
              <w:adjustRightInd w:val="0"/>
              <w:spacing w:line="400" w:lineRule="exact"/>
              <w:ind w:right="-34" w:rightChars="-16"/>
              <w:jc w:val="center"/>
              <w:rPr>
                <w:rFonts w:ascii="宋体" w:hAnsi="宋体"/>
                <w:kern w:val="0"/>
              </w:rPr>
            </w:pPr>
          </w:p>
        </w:tc>
        <w:tc>
          <w:tcPr>
            <w:tcW w:w="1843" w:type="dxa"/>
            <w:gridSpan w:val="2"/>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拟在本合同任职</w:t>
            </w:r>
          </w:p>
        </w:tc>
        <w:tc>
          <w:tcPr>
            <w:tcW w:w="1263"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时间</w:t>
            </w: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参加过的类似项目</w:t>
            </w: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担任职务</w:t>
            </w: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发包人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9"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28" w:type="dxa"/>
            <w:gridSpan w:val="2"/>
            <w:vAlign w:val="center"/>
          </w:tcPr>
          <w:p>
            <w:pPr>
              <w:autoSpaceDE w:val="0"/>
              <w:autoSpaceDN w:val="0"/>
              <w:adjustRightInd w:val="0"/>
              <w:spacing w:line="400" w:lineRule="exact"/>
              <w:ind w:right="-34" w:rightChars="-16"/>
              <w:jc w:val="center"/>
              <w:rPr>
                <w:rFonts w:ascii="宋体" w:hAnsi="宋体"/>
                <w:kern w:val="0"/>
              </w:rPr>
            </w:pPr>
          </w:p>
        </w:tc>
        <w:tc>
          <w:tcPr>
            <w:tcW w:w="2330" w:type="dxa"/>
            <w:gridSpan w:val="2"/>
            <w:vAlign w:val="center"/>
          </w:tcPr>
          <w:p>
            <w:pPr>
              <w:autoSpaceDE w:val="0"/>
              <w:autoSpaceDN w:val="0"/>
              <w:adjustRightInd w:val="0"/>
              <w:spacing w:line="400" w:lineRule="exact"/>
              <w:ind w:right="-34" w:rightChars="-16"/>
              <w:jc w:val="center"/>
              <w:rPr>
                <w:rFonts w:ascii="宋体" w:hAnsi="宋体"/>
                <w:kern w:val="0"/>
              </w:rPr>
            </w:pPr>
          </w:p>
        </w:tc>
      </w:tr>
    </w:tbl>
    <w:p>
      <w:pPr>
        <w:autoSpaceDE w:val="0"/>
        <w:autoSpaceDN w:val="0"/>
        <w:adjustRightInd w:val="0"/>
        <w:spacing w:line="400" w:lineRule="exact"/>
        <w:ind w:right="-34" w:rightChars="-16"/>
        <w:jc w:val="left"/>
        <w:rPr>
          <w:rFonts w:ascii="宋体" w:hAnsi="宋体"/>
          <w:kern w:val="0"/>
          <w:sz w:val="18"/>
        </w:rPr>
      </w:pPr>
    </w:p>
    <w:p>
      <w:pPr>
        <w:autoSpaceDE w:val="0"/>
        <w:autoSpaceDN w:val="0"/>
        <w:adjustRightInd w:val="0"/>
        <w:spacing w:line="400" w:lineRule="exact"/>
        <w:ind w:right="-34" w:rightChars="-16"/>
        <w:outlineLvl w:val="0"/>
        <w:rPr>
          <w:rFonts w:ascii="黑体" w:hAnsi="新宋体" w:eastAsia="黑体"/>
          <w:kern w:val="0"/>
          <w:sz w:val="28"/>
        </w:rPr>
      </w:pPr>
      <w:bookmarkStart w:id="1252" w:name="_Toc431367155"/>
      <w:bookmarkStart w:id="1253" w:name="_Toc272772679"/>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jc w:val="center"/>
        <w:outlineLvl w:val="0"/>
        <w:rPr>
          <w:rFonts w:ascii="黑体" w:hAnsi="新宋体" w:eastAsia="黑体"/>
          <w:kern w:val="0"/>
          <w:sz w:val="28"/>
        </w:rPr>
      </w:pPr>
      <w:bookmarkStart w:id="1254" w:name="_Toc18458"/>
      <w:bookmarkStart w:id="1255" w:name="_Toc2859"/>
      <w:r>
        <w:rPr>
          <w:rFonts w:hint="eastAsia" w:ascii="黑体" w:hAnsi="新宋体" w:eastAsia="黑体"/>
          <w:kern w:val="0"/>
          <w:sz w:val="28"/>
        </w:rPr>
        <w:t>（三）其他</w:t>
      </w:r>
      <w:bookmarkEnd w:id="1252"/>
      <w:bookmarkEnd w:id="1253"/>
      <w:bookmarkEnd w:id="1254"/>
      <w:bookmarkEnd w:id="1255"/>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jc w:val="left"/>
        <w:rPr>
          <w:rFonts w:ascii="宋体" w:hAnsi="宋体"/>
          <w:kern w:val="0"/>
          <w:sz w:val="28"/>
        </w:rPr>
      </w:pPr>
    </w:p>
    <w:p>
      <w:pPr>
        <w:autoSpaceDE w:val="0"/>
        <w:autoSpaceDN w:val="0"/>
        <w:adjustRightInd w:val="0"/>
        <w:spacing w:line="400" w:lineRule="exact"/>
        <w:ind w:right="-34" w:rightChars="-16"/>
        <w:outlineLvl w:val="0"/>
        <w:rPr>
          <w:rFonts w:ascii="黑体" w:hAnsi="新宋体" w:eastAsia="黑体"/>
          <w:b/>
          <w:kern w:val="0"/>
          <w:sz w:val="28"/>
        </w:rPr>
      </w:pPr>
      <w:bookmarkStart w:id="1256" w:name="_Toc228589274"/>
      <w:bookmarkStart w:id="1257" w:name="_Toc228337209"/>
      <w:bookmarkStart w:id="1258" w:name="_Toc227492356"/>
      <w:bookmarkStart w:id="1259" w:name="_Toc214434000"/>
      <w:bookmarkStart w:id="1260" w:name="_Toc227657598"/>
      <w:bookmarkStart w:id="1261" w:name="_Toc228591620"/>
      <w:bookmarkStart w:id="1262" w:name="_Toc272772680"/>
      <w:bookmarkStart w:id="1263" w:name="_Toc228591768"/>
      <w:bookmarkStart w:id="1264" w:name="_Toc228881260"/>
    </w:p>
    <w:bookmarkEnd w:id="1256"/>
    <w:bookmarkEnd w:id="1257"/>
    <w:bookmarkEnd w:id="1258"/>
    <w:bookmarkEnd w:id="1259"/>
    <w:bookmarkEnd w:id="1260"/>
    <w:bookmarkEnd w:id="1261"/>
    <w:bookmarkEnd w:id="1262"/>
    <w:bookmarkEnd w:id="1263"/>
    <w:bookmarkEnd w:id="1264"/>
    <w:p>
      <w:pPr>
        <w:autoSpaceDE w:val="0"/>
        <w:autoSpaceDN w:val="0"/>
        <w:adjustRightInd w:val="0"/>
        <w:spacing w:line="400" w:lineRule="exact"/>
        <w:ind w:right="-34" w:rightChars="-16"/>
        <w:jc w:val="center"/>
        <w:outlineLvl w:val="0"/>
        <w:rPr>
          <w:rFonts w:ascii="黑体" w:hAnsi="新宋体" w:eastAsia="黑体"/>
          <w:b/>
          <w:kern w:val="0"/>
          <w:sz w:val="28"/>
        </w:rPr>
      </w:pPr>
      <w:r>
        <w:rPr>
          <w:rFonts w:ascii="宋体" w:hAnsi="宋体"/>
          <w:kern w:val="0"/>
          <w:sz w:val="18"/>
        </w:rPr>
        <w:br w:type="page"/>
      </w:r>
      <w:bookmarkStart w:id="1265" w:name="_Toc228591769"/>
      <w:bookmarkStart w:id="1266" w:name="_Toc214434001"/>
      <w:bookmarkStart w:id="1267" w:name="_Toc228589275"/>
      <w:bookmarkStart w:id="1268" w:name="_Toc27472"/>
      <w:bookmarkStart w:id="1269" w:name="_Toc228881261"/>
      <w:bookmarkStart w:id="1270" w:name="_Toc272772681"/>
      <w:bookmarkStart w:id="1271" w:name="_Toc228337210"/>
      <w:bookmarkStart w:id="1272" w:name="_Toc227657599"/>
      <w:bookmarkStart w:id="1273" w:name="_Toc431367156"/>
      <w:bookmarkStart w:id="1274" w:name="_Toc21148"/>
      <w:bookmarkStart w:id="1275" w:name="_Toc227492357"/>
      <w:bookmarkStart w:id="1276" w:name="_Toc228591621"/>
      <w:r>
        <w:rPr>
          <w:rFonts w:hint="eastAsia" w:ascii="黑体" w:hAnsi="新宋体" w:eastAsia="黑体"/>
          <w:b/>
          <w:kern w:val="0"/>
          <w:sz w:val="28"/>
        </w:rPr>
        <w:t>九、资格审查资料</w:t>
      </w:r>
      <w:bookmarkEnd w:id="1265"/>
      <w:bookmarkEnd w:id="1266"/>
      <w:bookmarkEnd w:id="1267"/>
      <w:bookmarkEnd w:id="1268"/>
      <w:bookmarkEnd w:id="1269"/>
      <w:bookmarkEnd w:id="1270"/>
      <w:bookmarkEnd w:id="1271"/>
      <w:bookmarkEnd w:id="1272"/>
      <w:bookmarkEnd w:id="1273"/>
      <w:bookmarkEnd w:id="1274"/>
      <w:bookmarkEnd w:id="1275"/>
      <w:bookmarkEnd w:id="1276"/>
    </w:p>
    <w:p>
      <w:pPr>
        <w:autoSpaceDE w:val="0"/>
        <w:autoSpaceDN w:val="0"/>
        <w:adjustRightInd w:val="0"/>
        <w:spacing w:line="400" w:lineRule="exact"/>
        <w:ind w:right="-34" w:rightChars="-16"/>
        <w:jc w:val="center"/>
        <w:rPr>
          <w:rFonts w:ascii="宋体" w:hAnsi="宋体"/>
          <w:kern w:val="0"/>
          <w:sz w:val="28"/>
        </w:rPr>
      </w:pPr>
    </w:p>
    <w:p>
      <w:pPr>
        <w:autoSpaceDE w:val="0"/>
        <w:autoSpaceDN w:val="0"/>
        <w:adjustRightInd w:val="0"/>
        <w:spacing w:line="400" w:lineRule="exact"/>
        <w:ind w:right="-34" w:rightChars="-16"/>
        <w:jc w:val="center"/>
        <w:outlineLvl w:val="0"/>
        <w:rPr>
          <w:rFonts w:ascii="黑体" w:hAnsi="新宋体" w:eastAsia="黑体"/>
          <w:kern w:val="0"/>
          <w:sz w:val="28"/>
        </w:rPr>
      </w:pPr>
      <w:bookmarkStart w:id="1277" w:name="_Toc228591622"/>
      <w:bookmarkStart w:id="1278" w:name="_Toc431367157"/>
      <w:bookmarkStart w:id="1279" w:name="_Toc228591770"/>
      <w:bookmarkStart w:id="1280" w:name="_Toc8600"/>
      <w:bookmarkStart w:id="1281" w:name="_Toc183"/>
      <w:bookmarkStart w:id="1282" w:name="_Toc228881262"/>
      <w:bookmarkStart w:id="1283" w:name="_Toc272772682"/>
      <w:bookmarkStart w:id="1284" w:name="_Toc228337211"/>
      <w:bookmarkStart w:id="1285" w:name="_Toc227657600"/>
      <w:bookmarkStart w:id="1286" w:name="_Toc228589276"/>
      <w:bookmarkStart w:id="1287" w:name="_Toc214434002"/>
      <w:bookmarkStart w:id="1288" w:name="_Toc227492358"/>
      <w:r>
        <w:rPr>
          <w:rFonts w:hint="eastAsia" w:ascii="黑体" w:hAnsi="新宋体" w:eastAsia="黑体"/>
          <w:kern w:val="0"/>
          <w:sz w:val="28"/>
        </w:rPr>
        <w:t>（一）投标人基本情况表</w:t>
      </w:r>
      <w:bookmarkEnd w:id="1277"/>
      <w:bookmarkEnd w:id="1278"/>
      <w:bookmarkEnd w:id="1279"/>
      <w:bookmarkEnd w:id="1280"/>
      <w:bookmarkEnd w:id="1281"/>
      <w:bookmarkEnd w:id="1282"/>
      <w:bookmarkEnd w:id="1283"/>
      <w:bookmarkEnd w:id="1284"/>
      <w:bookmarkEnd w:id="1285"/>
      <w:bookmarkEnd w:id="1286"/>
      <w:bookmarkEnd w:id="1287"/>
      <w:bookmarkEnd w:id="1288"/>
    </w:p>
    <w:tbl>
      <w:tblPr>
        <w:tblStyle w:val="46"/>
        <w:tblW w:w="9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投标人名称</w:t>
            </w:r>
          </w:p>
        </w:tc>
        <w:tc>
          <w:tcPr>
            <w:tcW w:w="7761" w:type="dxa"/>
            <w:gridSpan w:val="7"/>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注册地址</w:t>
            </w:r>
          </w:p>
        </w:tc>
        <w:tc>
          <w:tcPr>
            <w:tcW w:w="3768" w:type="dxa"/>
            <w:gridSpan w:val="3"/>
            <w:vAlign w:val="center"/>
          </w:tcPr>
          <w:p>
            <w:pPr>
              <w:autoSpaceDE w:val="0"/>
              <w:autoSpaceDN w:val="0"/>
              <w:adjustRightInd w:val="0"/>
              <w:spacing w:line="400" w:lineRule="exact"/>
              <w:ind w:right="-34" w:rightChars="-16"/>
              <w:jc w:val="center"/>
              <w:rPr>
                <w:rFonts w:ascii="宋体" w:hAnsi="宋体"/>
                <w:kern w:val="0"/>
                <w:sz w:val="24"/>
              </w:rPr>
            </w:pPr>
          </w:p>
        </w:tc>
        <w:tc>
          <w:tcPr>
            <w:tcW w:w="1331" w:type="dxa"/>
            <w:gridSpan w:val="2"/>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邮政编码</w:t>
            </w:r>
          </w:p>
        </w:tc>
        <w:tc>
          <w:tcPr>
            <w:tcW w:w="2662" w:type="dxa"/>
            <w:gridSpan w:val="2"/>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联系方式</w:t>
            </w:r>
          </w:p>
        </w:tc>
        <w:tc>
          <w:tcPr>
            <w:tcW w:w="1107"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联系人</w:t>
            </w:r>
          </w:p>
        </w:tc>
        <w:tc>
          <w:tcPr>
            <w:tcW w:w="2661" w:type="dxa"/>
            <w:gridSpan w:val="2"/>
            <w:vAlign w:val="center"/>
          </w:tcPr>
          <w:p>
            <w:pPr>
              <w:autoSpaceDE w:val="0"/>
              <w:autoSpaceDN w:val="0"/>
              <w:adjustRightInd w:val="0"/>
              <w:spacing w:line="400" w:lineRule="exact"/>
              <w:ind w:right="-34" w:rightChars="-16"/>
              <w:jc w:val="center"/>
              <w:rPr>
                <w:rFonts w:ascii="宋体" w:hAnsi="宋体"/>
                <w:kern w:val="0"/>
                <w:sz w:val="24"/>
              </w:rPr>
            </w:pPr>
          </w:p>
        </w:tc>
        <w:tc>
          <w:tcPr>
            <w:tcW w:w="1331" w:type="dxa"/>
            <w:gridSpan w:val="2"/>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电话</w:t>
            </w:r>
          </w:p>
        </w:tc>
        <w:tc>
          <w:tcPr>
            <w:tcW w:w="2662" w:type="dxa"/>
            <w:gridSpan w:val="2"/>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vAlign w:val="center"/>
          </w:tcPr>
          <w:p>
            <w:pPr>
              <w:autoSpaceDE w:val="0"/>
              <w:autoSpaceDN w:val="0"/>
              <w:adjustRightInd w:val="0"/>
              <w:spacing w:line="400" w:lineRule="exact"/>
              <w:ind w:right="-34" w:rightChars="-16"/>
              <w:jc w:val="center"/>
              <w:rPr>
                <w:rFonts w:ascii="宋体" w:hAnsi="宋体"/>
                <w:kern w:val="0"/>
                <w:sz w:val="24"/>
              </w:rPr>
            </w:pPr>
          </w:p>
        </w:tc>
        <w:tc>
          <w:tcPr>
            <w:tcW w:w="1107"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传 真</w:t>
            </w:r>
          </w:p>
        </w:tc>
        <w:tc>
          <w:tcPr>
            <w:tcW w:w="2661" w:type="dxa"/>
            <w:gridSpan w:val="2"/>
            <w:vAlign w:val="center"/>
          </w:tcPr>
          <w:p>
            <w:pPr>
              <w:autoSpaceDE w:val="0"/>
              <w:autoSpaceDN w:val="0"/>
              <w:adjustRightInd w:val="0"/>
              <w:spacing w:line="400" w:lineRule="exact"/>
              <w:ind w:right="-34" w:rightChars="-16"/>
              <w:jc w:val="center"/>
              <w:rPr>
                <w:rFonts w:ascii="宋体" w:hAnsi="宋体"/>
                <w:kern w:val="0"/>
                <w:sz w:val="24"/>
              </w:rPr>
            </w:pPr>
          </w:p>
        </w:tc>
        <w:tc>
          <w:tcPr>
            <w:tcW w:w="1331" w:type="dxa"/>
            <w:gridSpan w:val="2"/>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网址</w:t>
            </w:r>
          </w:p>
        </w:tc>
        <w:tc>
          <w:tcPr>
            <w:tcW w:w="2662" w:type="dxa"/>
            <w:gridSpan w:val="2"/>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组织结构</w:t>
            </w:r>
          </w:p>
        </w:tc>
        <w:tc>
          <w:tcPr>
            <w:tcW w:w="7761" w:type="dxa"/>
            <w:gridSpan w:val="7"/>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法定代表人</w:t>
            </w:r>
          </w:p>
        </w:tc>
        <w:tc>
          <w:tcPr>
            <w:tcW w:w="1107"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姓名</w:t>
            </w:r>
          </w:p>
        </w:tc>
        <w:tc>
          <w:tcPr>
            <w:tcW w:w="1330" w:type="dxa"/>
            <w:vAlign w:val="center"/>
          </w:tcPr>
          <w:p>
            <w:pPr>
              <w:autoSpaceDE w:val="0"/>
              <w:autoSpaceDN w:val="0"/>
              <w:adjustRightInd w:val="0"/>
              <w:spacing w:line="400" w:lineRule="exact"/>
              <w:ind w:right="-34" w:rightChars="-16"/>
              <w:jc w:val="center"/>
              <w:rPr>
                <w:rFonts w:ascii="宋体" w:hAnsi="宋体"/>
                <w:kern w:val="0"/>
                <w:sz w:val="24"/>
              </w:rPr>
            </w:pP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技术职称</w:t>
            </w:r>
          </w:p>
        </w:tc>
        <w:tc>
          <w:tcPr>
            <w:tcW w:w="1331" w:type="dxa"/>
            <w:gridSpan w:val="2"/>
            <w:vAlign w:val="center"/>
          </w:tcPr>
          <w:p>
            <w:pPr>
              <w:autoSpaceDE w:val="0"/>
              <w:autoSpaceDN w:val="0"/>
              <w:adjustRightInd w:val="0"/>
              <w:spacing w:line="400" w:lineRule="exact"/>
              <w:ind w:right="-34" w:rightChars="-16"/>
              <w:jc w:val="center"/>
              <w:rPr>
                <w:rFonts w:ascii="宋体" w:hAnsi="宋体"/>
                <w:kern w:val="0"/>
                <w:sz w:val="24"/>
              </w:rPr>
            </w:pP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电话</w:t>
            </w: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技术负责人</w:t>
            </w:r>
          </w:p>
        </w:tc>
        <w:tc>
          <w:tcPr>
            <w:tcW w:w="1107"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姓名</w:t>
            </w:r>
          </w:p>
        </w:tc>
        <w:tc>
          <w:tcPr>
            <w:tcW w:w="1330" w:type="dxa"/>
            <w:vAlign w:val="center"/>
          </w:tcPr>
          <w:p>
            <w:pPr>
              <w:autoSpaceDE w:val="0"/>
              <w:autoSpaceDN w:val="0"/>
              <w:adjustRightInd w:val="0"/>
              <w:spacing w:line="400" w:lineRule="exact"/>
              <w:ind w:right="-34" w:rightChars="-16"/>
              <w:jc w:val="center"/>
              <w:rPr>
                <w:rFonts w:ascii="宋体" w:hAnsi="宋体"/>
                <w:kern w:val="0"/>
                <w:sz w:val="24"/>
              </w:rPr>
            </w:pP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技术职称</w:t>
            </w:r>
          </w:p>
        </w:tc>
        <w:tc>
          <w:tcPr>
            <w:tcW w:w="1331" w:type="dxa"/>
            <w:gridSpan w:val="2"/>
            <w:vAlign w:val="center"/>
          </w:tcPr>
          <w:p>
            <w:pPr>
              <w:autoSpaceDE w:val="0"/>
              <w:autoSpaceDN w:val="0"/>
              <w:adjustRightInd w:val="0"/>
              <w:spacing w:line="400" w:lineRule="exact"/>
              <w:ind w:right="-34" w:rightChars="-16"/>
              <w:jc w:val="center"/>
              <w:rPr>
                <w:rFonts w:ascii="宋体" w:hAnsi="宋体"/>
                <w:kern w:val="0"/>
                <w:sz w:val="24"/>
              </w:rPr>
            </w:pP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电话</w:t>
            </w: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成立时间</w:t>
            </w:r>
          </w:p>
        </w:tc>
        <w:tc>
          <w:tcPr>
            <w:tcW w:w="3768" w:type="dxa"/>
            <w:gridSpan w:val="3"/>
            <w:vAlign w:val="center"/>
          </w:tcPr>
          <w:p>
            <w:pPr>
              <w:autoSpaceDE w:val="0"/>
              <w:autoSpaceDN w:val="0"/>
              <w:adjustRightInd w:val="0"/>
              <w:spacing w:line="400" w:lineRule="exact"/>
              <w:ind w:right="-34" w:rightChars="-16"/>
              <w:jc w:val="center"/>
              <w:rPr>
                <w:rFonts w:ascii="宋体" w:hAnsi="宋体"/>
                <w:kern w:val="0"/>
                <w:sz w:val="24"/>
              </w:rPr>
            </w:pPr>
          </w:p>
        </w:tc>
        <w:tc>
          <w:tcPr>
            <w:tcW w:w="3993" w:type="dxa"/>
            <w:gridSpan w:val="4"/>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企业资质等级</w:t>
            </w:r>
          </w:p>
        </w:tc>
        <w:tc>
          <w:tcPr>
            <w:tcW w:w="3768" w:type="dxa"/>
            <w:gridSpan w:val="3"/>
            <w:vAlign w:val="center"/>
          </w:tcPr>
          <w:p>
            <w:pPr>
              <w:autoSpaceDE w:val="0"/>
              <w:autoSpaceDN w:val="0"/>
              <w:adjustRightInd w:val="0"/>
              <w:spacing w:line="400" w:lineRule="exact"/>
              <w:ind w:right="-34" w:rightChars="-16"/>
              <w:jc w:val="center"/>
              <w:rPr>
                <w:rFonts w:ascii="宋体" w:hAnsi="宋体"/>
                <w:kern w:val="0"/>
                <w:sz w:val="24"/>
              </w:rPr>
            </w:pPr>
          </w:p>
        </w:tc>
        <w:tc>
          <w:tcPr>
            <w:tcW w:w="1106" w:type="dxa"/>
            <w:vMerge w:val="restart"/>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其中</w:t>
            </w:r>
          </w:p>
        </w:tc>
        <w:tc>
          <w:tcPr>
            <w:tcW w:w="1556" w:type="dxa"/>
            <w:gridSpan w:val="2"/>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项目经理</w:t>
            </w: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营业执照号</w:t>
            </w:r>
          </w:p>
        </w:tc>
        <w:tc>
          <w:tcPr>
            <w:tcW w:w="3768" w:type="dxa"/>
            <w:gridSpan w:val="3"/>
            <w:vAlign w:val="center"/>
          </w:tcPr>
          <w:p>
            <w:pPr>
              <w:autoSpaceDE w:val="0"/>
              <w:autoSpaceDN w:val="0"/>
              <w:adjustRightInd w:val="0"/>
              <w:spacing w:line="400" w:lineRule="exact"/>
              <w:ind w:right="-34" w:rightChars="-16"/>
              <w:jc w:val="center"/>
              <w:rPr>
                <w:rFonts w:ascii="宋体" w:hAnsi="宋体"/>
                <w:kern w:val="0"/>
                <w:sz w:val="24"/>
              </w:rPr>
            </w:pPr>
          </w:p>
        </w:tc>
        <w:tc>
          <w:tcPr>
            <w:tcW w:w="1106" w:type="dxa"/>
            <w:vMerge w:val="continue"/>
            <w:vAlign w:val="center"/>
          </w:tcPr>
          <w:p>
            <w:pPr>
              <w:autoSpaceDE w:val="0"/>
              <w:autoSpaceDN w:val="0"/>
              <w:adjustRightInd w:val="0"/>
              <w:spacing w:line="400" w:lineRule="exact"/>
              <w:ind w:right="-34" w:rightChars="-16"/>
              <w:jc w:val="center"/>
              <w:rPr>
                <w:rFonts w:ascii="宋体" w:hAnsi="宋体"/>
                <w:kern w:val="0"/>
                <w:sz w:val="24"/>
              </w:rPr>
            </w:pPr>
          </w:p>
        </w:tc>
        <w:tc>
          <w:tcPr>
            <w:tcW w:w="1556" w:type="dxa"/>
            <w:gridSpan w:val="2"/>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高级职称人员</w:t>
            </w: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注册资金</w:t>
            </w:r>
          </w:p>
        </w:tc>
        <w:tc>
          <w:tcPr>
            <w:tcW w:w="3768" w:type="dxa"/>
            <w:gridSpan w:val="3"/>
            <w:vAlign w:val="center"/>
          </w:tcPr>
          <w:p>
            <w:pPr>
              <w:autoSpaceDE w:val="0"/>
              <w:autoSpaceDN w:val="0"/>
              <w:adjustRightInd w:val="0"/>
              <w:spacing w:line="400" w:lineRule="exact"/>
              <w:ind w:right="-34" w:rightChars="-16"/>
              <w:jc w:val="center"/>
              <w:rPr>
                <w:rFonts w:ascii="宋体" w:hAnsi="宋体"/>
                <w:kern w:val="0"/>
                <w:sz w:val="24"/>
              </w:rPr>
            </w:pPr>
          </w:p>
        </w:tc>
        <w:tc>
          <w:tcPr>
            <w:tcW w:w="1106" w:type="dxa"/>
            <w:vMerge w:val="continue"/>
            <w:vAlign w:val="center"/>
          </w:tcPr>
          <w:p>
            <w:pPr>
              <w:autoSpaceDE w:val="0"/>
              <w:autoSpaceDN w:val="0"/>
              <w:adjustRightInd w:val="0"/>
              <w:spacing w:line="400" w:lineRule="exact"/>
              <w:ind w:right="-34" w:rightChars="-16"/>
              <w:jc w:val="center"/>
              <w:rPr>
                <w:rFonts w:ascii="宋体" w:hAnsi="宋体"/>
                <w:kern w:val="0"/>
                <w:sz w:val="24"/>
              </w:rPr>
            </w:pPr>
          </w:p>
        </w:tc>
        <w:tc>
          <w:tcPr>
            <w:tcW w:w="1556" w:type="dxa"/>
            <w:gridSpan w:val="2"/>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中级职称人员</w:t>
            </w: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开户银行</w:t>
            </w:r>
          </w:p>
        </w:tc>
        <w:tc>
          <w:tcPr>
            <w:tcW w:w="3768" w:type="dxa"/>
            <w:gridSpan w:val="3"/>
            <w:vAlign w:val="center"/>
          </w:tcPr>
          <w:p>
            <w:pPr>
              <w:autoSpaceDE w:val="0"/>
              <w:autoSpaceDN w:val="0"/>
              <w:adjustRightInd w:val="0"/>
              <w:spacing w:line="400" w:lineRule="exact"/>
              <w:ind w:right="-34" w:rightChars="-16"/>
              <w:jc w:val="center"/>
              <w:rPr>
                <w:rFonts w:ascii="宋体" w:hAnsi="宋体"/>
                <w:kern w:val="0"/>
                <w:sz w:val="24"/>
              </w:rPr>
            </w:pPr>
          </w:p>
        </w:tc>
        <w:tc>
          <w:tcPr>
            <w:tcW w:w="1106" w:type="dxa"/>
            <w:vMerge w:val="continue"/>
            <w:vAlign w:val="center"/>
          </w:tcPr>
          <w:p>
            <w:pPr>
              <w:autoSpaceDE w:val="0"/>
              <w:autoSpaceDN w:val="0"/>
              <w:adjustRightInd w:val="0"/>
              <w:spacing w:line="400" w:lineRule="exact"/>
              <w:ind w:right="-34" w:rightChars="-16"/>
              <w:jc w:val="center"/>
              <w:rPr>
                <w:rFonts w:ascii="宋体" w:hAnsi="宋体"/>
                <w:kern w:val="0"/>
                <w:sz w:val="24"/>
              </w:rPr>
            </w:pPr>
          </w:p>
        </w:tc>
        <w:tc>
          <w:tcPr>
            <w:tcW w:w="1556" w:type="dxa"/>
            <w:gridSpan w:val="2"/>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初级职称人员</w:t>
            </w: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账号</w:t>
            </w:r>
          </w:p>
        </w:tc>
        <w:tc>
          <w:tcPr>
            <w:tcW w:w="3768" w:type="dxa"/>
            <w:gridSpan w:val="3"/>
            <w:vAlign w:val="center"/>
          </w:tcPr>
          <w:p>
            <w:pPr>
              <w:autoSpaceDE w:val="0"/>
              <w:autoSpaceDN w:val="0"/>
              <w:adjustRightInd w:val="0"/>
              <w:spacing w:line="400" w:lineRule="exact"/>
              <w:ind w:right="-34" w:rightChars="-16"/>
              <w:jc w:val="center"/>
              <w:rPr>
                <w:rFonts w:ascii="宋体" w:hAnsi="宋体"/>
                <w:kern w:val="0"/>
                <w:sz w:val="24"/>
              </w:rPr>
            </w:pPr>
          </w:p>
        </w:tc>
        <w:tc>
          <w:tcPr>
            <w:tcW w:w="1106" w:type="dxa"/>
            <w:vMerge w:val="continue"/>
            <w:vAlign w:val="center"/>
          </w:tcPr>
          <w:p>
            <w:pPr>
              <w:autoSpaceDE w:val="0"/>
              <w:autoSpaceDN w:val="0"/>
              <w:adjustRightInd w:val="0"/>
              <w:spacing w:line="400" w:lineRule="exact"/>
              <w:ind w:right="-34" w:rightChars="-16"/>
              <w:jc w:val="center"/>
              <w:rPr>
                <w:rFonts w:ascii="宋体" w:hAnsi="宋体"/>
                <w:kern w:val="0"/>
                <w:sz w:val="24"/>
              </w:rPr>
            </w:pPr>
          </w:p>
        </w:tc>
        <w:tc>
          <w:tcPr>
            <w:tcW w:w="1556" w:type="dxa"/>
            <w:gridSpan w:val="2"/>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技工</w:t>
            </w:r>
          </w:p>
        </w:tc>
        <w:tc>
          <w:tcPr>
            <w:tcW w:w="1331"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6"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经营范围</w:t>
            </w:r>
          </w:p>
        </w:tc>
        <w:tc>
          <w:tcPr>
            <w:tcW w:w="7761" w:type="dxa"/>
            <w:gridSpan w:val="7"/>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备注</w:t>
            </w:r>
          </w:p>
        </w:tc>
        <w:tc>
          <w:tcPr>
            <w:tcW w:w="7761" w:type="dxa"/>
            <w:gridSpan w:val="7"/>
            <w:vAlign w:val="center"/>
          </w:tcPr>
          <w:p>
            <w:pPr>
              <w:autoSpaceDE w:val="0"/>
              <w:autoSpaceDN w:val="0"/>
              <w:adjustRightInd w:val="0"/>
              <w:spacing w:line="400" w:lineRule="exact"/>
              <w:ind w:right="-34" w:rightChars="-16"/>
              <w:jc w:val="center"/>
              <w:rPr>
                <w:rFonts w:ascii="宋体" w:hAnsi="宋体"/>
                <w:kern w:val="0"/>
                <w:sz w:val="24"/>
              </w:rPr>
            </w:pPr>
          </w:p>
        </w:tc>
      </w:tr>
    </w:tbl>
    <w:p>
      <w:pPr>
        <w:autoSpaceDE w:val="0"/>
        <w:autoSpaceDN w:val="0"/>
        <w:adjustRightInd w:val="0"/>
        <w:spacing w:line="400" w:lineRule="exact"/>
        <w:ind w:right="-34" w:rightChars="-16"/>
        <w:outlineLvl w:val="0"/>
        <w:rPr>
          <w:rFonts w:ascii="黑体" w:hAnsi="新宋体" w:eastAsia="黑体"/>
          <w:kern w:val="0"/>
          <w:sz w:val="28"/>
        </w:rPr>
      </w:pPr>
      <w:bookmarkStart w:id="1289" w:name="_Toc431367158"/>
      <w:bookmarkStart w:id="1290" w:name="_Toc272772683"/>
      <w:bookmarkStart w:id="1291" w:name="_Toc228589277"/>
      <w:bookmarkStart w:id="1292" w:name="_Toc228337212"/>
      <w:bookmarkStart w:id="1293" w:name="_Toc228591771"/>
      <w:bookmarkStart w:id="1294" w:name="_Toc8428"/>
      <w:bookmarkStart w:id="1295" w:name="_Toc227492359"/>
      <w:bookmarkStart w:id="1296" w:name="_Toc214434003"/>
      <w:bookmarkStart w:id="1297" w:name="_Toc26313"/>
      <w:bookmarkStart w:id="1298" w:name="_Toc228591623"/>
      <w:bookmarkStart w:id="1299" w:name="_Toc227657601"/>
      <w:bookmarkStart w:id="1300" w:name="_Toc228881263"/>
      <w:r>
        <w:rPr>
          <w:rFonts w:hint="eastAsia" w:ascii="黑体" w:hAnsi="新宋体" w:eastAsia="黑体"/>
          <w:kern w:val="0"/>
          <w:sz w:val="28"/>
        </w:rPr>
        <w:t>（二）近年财务状况表</w:t>
      </w:r>
      <w:bookmarkEnd w:id="1289"/>
      <w:bookmarkEnd w:id="1290"/>
      <w:bookmarkEnd w:id="1291"/>
      <w:bookmarkEnd w:id="1292"/>
      <w:bookmarkEnd w:id="1293"/>
      <w:bookmarkEnd w:id="1294"/>
      <w:bookmarkEnd w:id="1295"/>
      <w:bookmarkEnd w:id="1296"/>
      <w:bookmarkEnd w:id="1297"/>
      <w:bookmarkEnd w:id="1298"/>
      <w:bookmarkEnd w:id="1299"/>
      <w:bookmarkEnd w:id="1300"/>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sz w:val="24"/>
        </w:rPr>
      </w:pPr>
    </w:p>
    <w:p>
      <w:pPr>
        <w:pStyle w:val="2"/>
        <w:ind w:left="63" w:right="63" w:firstLine="400"/>
      </w:pP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outlineLvl w:val="0"/>
        <w:rPr>
          <w:rFonts w:ascii="黑体" w:hAnsi="新宋体" w:eastAsia="黑体"/>
          <w:kern w:val="0"/>
          <w:sz w:val="28"/>
        </w:rPr>
      </w:pPr>
      <w:bookmarkStart w:id="1301" w:name="_Toc228337213"/>
      <w:bookmarkStart w:id="1302" w:name="_Toc272772684"/>
      <w:bookmarkStart w:id="1303" w:name="_Toc228881264"/>
      <w:bookmarkStart w:id="1304" w:name="_Toc18359"/>
      <w:bookmarkStart w:id="1305" w:name="_Toc227492360"/>
      <w:bookmarkStart w:id="1306" w:name="_Toc214434004"/>
      <w:bookmarkStart w:id="1307" w:name="_Toc22850"/>
      <w:bookmarkStart w:id="1308" w:name="_Toc228589278"/>
      <w:bookmarkStart w:id="1309" w:name="_Toc227657602"/>
      <w:bookmarkStart w:id="1310" w:name="_Toc228591772"/>
      <w:bookmarkStart w:id="1311" w:name="_Toc431367159"/>
      <w:bookmarkStart w:id="1312" w:name="_Toc228591624"/>
      <w:r>
        <w:rPr>
          <w:rFonts w:hint="eastAsia" w:ascii="黑体" w:hAnsi="新宋体" w:eastAsia="黑体"/>
          <w:kern w:val="0"/>
          <w:sz w:val="28"/>
        </w:rPr>
        <w:t>（三）近年完成的类似项目情况表</w:t>
      </w:r>
      <w:bookmarkEnd w:id="1301"/>
      <w:bookmarkEnd w:id="1302"/>
      <w:bookmarkEnd w:id="1303"/>
      <w:bookmarkEnd w:id="1304"/>
      <w:bookmarkEnd w:id="1305"/>
      <w:bookmarkEnd w:id="1306"/>
      <w:bookmarkEnd w:id="1307"/>
      <w:bookmarkEnd w:id="1308"/>
      <w:bookmarkEnd w:id="1309"/>
      <w:bookmarkEnd w:id="1310"/>
      <w:bookmarkEnd w:id="1311"/>
      <w:bookmarkEnd w:id="1312"/>
    </w:p>
    <w:p>
      <w:pPr>
        <w:autoSpaceDE w:val="0"/>
        <w:autoSpaceDN w:val="0"/>
        <w:adjustRightInd w:val="0"/>
        <w:spacing w:line="400" w:lineRule="exact"/>
        <w:ind w:right="-34" w:rightChars="-16"/>
        <w:jc w:val="left"/>
        <w:rPr>
          <w:rFonts w:ascii="宋体" w:hAnsi="宋体"/>
          <w:kern w:val="0"/>
          <w:sz w:val="24"/>
        </w:rPr>
      </w:pPr>
    </w:p>
    <w:tbl>
      <w:tblPr>
        <w:tblStyle w:val="46"/>
        <w:tblW w:w="9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7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项目名称</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项目所在地</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发包人名称</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发包人地址</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发包人电话</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合同价格</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开工日期</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竣工日期</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承担的工作</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工程质量</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项目经理</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技术负责人</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总监理工程师及电话</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项目描述</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备注</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bl>
    <w:p>
      <w:pPr>
        <w:autoSpaceDE w:val="0"/>
        <w:autoSpaceDN w:val="0"/>
        <w:adjustRightInd w:val="0"/>
        <w:spacing w:line="400" w:lineRule="exact"/>
        <w:ind w:right="-34" w:rightChars="-16"/>
        <w:outlineLvl w:val="0"/>
        <w:rPr>
          <w:rFonts w:ascii="黑体" w:hAnsi="新宋体" w:eastAsia="黑体"/>
          <w:kern w:val="0"/>
          <w:sz w:val="28"/>
        </w:rPr>
      </w:pPr>
      <w:bookmarkStart w:id="1313" w:name="_Toc431367160"/>
      <w:bookmarkStart w:id="1314" w:name="_Toc228337214"/>
      <w:bookmarkStart w:id="1315" w:name="_Toc272772685"/>
      <w:bookmarkStart w:id="1316" w:name="_Toc228589279"/>
      <w:bookmarkStart w:id="1317" w:name="_Toc214434005"/>
      <w:bookmarkStart w:id="1318" w:name="_Toc228591625"/>
      <w:bookmarkStart w:id="1319" w:name="_Toc228591773"/>
      <w:bookmarkStart w:id="1320" w:name="_Toc227657603"/>
      <w:bookmarkStart w:id="1321" w:name="_Toc228881265"/>
      <w:bookmarkStart w:id="1322" w:name="_Toc227492361"/>
      <w:bookmarkStart w:id="1323" w:name="_Toc32411"/>
      <w:bookmarkStart w:id="1324" w:name="_Toc30415"/>
      <w:r>
        <w:rPr>
          <w:rFonts w:hint="eastAsia" w:ascii="黑体" w:hAnsi="新宋体" w:eastAsia="黑体"/>
          <w:kern w:val="0"/>
          <w:sz w:val="28"/>
        </w:rPr>
        <w:t>（四）正在施工的和新承接的项目情况表</w:t>
      </w:r>
      <w:bookmarkEnd w:id="1313"/>
      <w:bookmarkEnd w:id="1314"/>
      <w:bookmarkEnd w:id="1315"/>
      <w:bookmarkEnd w:id="1316"/>
      <w:bookmarkEnd w:id="1317"/>
      <w:bookmarkEnd w:id="1318"/>
      <w:bookmarkEnd w:id="1319"/>
      <w:bookmarkEnd w:id="1320"/>
      <w:bookmarkEnd w:id="1321"/>
      <w:bookmarkEnd w:id="1322"/>
      <w:bookmarkEnd w:id="1323"/>
      <w:bookmarkEnd w:id="1324"/>
    </w:p>
    <w:tbl>
      <w:tblPr>
        <w:tblStyle w:val="46"/>
        <w:tblpPr w:leftFromText="180" w:rightFromText="180" w:vertAnchor="text" w:horzAnchor="margin" w:tblpY="258"/>
        <w:tblW w:w="9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7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项目名称</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项目所在地</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发包人名称</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发包人地址</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发包人电话</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签约合同价</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开工日期</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计划竣工日期</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承担的工作</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工程质量</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项目经理</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技术负责人</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总监理工程师及电话</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项目描述</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备注</w:t>
            </w:r>
          </w:p>
        </w:tc>
        <w:tc>
          <w:tcPr>
            <w:tcW w:w="7026" w:type="dxa"/>
            <w:vAlign w:val="center"/>
          </w:tcPr>
          <w:p>
            <w:pPr>
              <w:autoSpaceDE w:val="0"/>
              <w:autoSpaceDN w:val="0"/>
              <w:adjustRightInd w:val="0"/>
              <w:spacing w:line="400" w:lineRule="exact"/>
              <w:ind w:right="-34" w:rightChars="-16"/>
              <w:jc w:val="center"/>
              <w:rPr>
                <w:rFonts w:ascii="宋体" w:hAnsi="宋体"/>
                <w:kern w:val="0"/>
              </w:rPr>
            </w:pPr>
          </w:p>
        </w:tc>
      </w:tr>
    </w:tbl>
    <w:p>
      <w:pPr>
        <w:autoSpaceDE w:val="0"/>
        <w:autoSpaceDN w:val="0"/>
        <w:adjustRightInd w:val="0"/>
        <w:spacing w:line="400" w:lineRule="exact"/>
        <w:ind w:right="-34" w:rightChars="-16"/>
        <w:outlineLvl w:val="0"/>
        <w:rPr>
          <w:rFonts w:ascii="黑体" w:hAnsi="新宋体" w:eastAsia="黑体"/>
          <w:kern w:val="0"/>
          <w:sz w:val="28"/>
        </w:rPr>
      </w:pPr>
      <w:bookmarkStart w:id="1325" w:name="_Toc228591774"/>
      <w:bookmarkStart w:id="1326" w:name="_Toc22059"/>
      <w:bookmarkStart w:id="1327" w:name="_Toc227657604"/>
      <w:bookmarkStart w:id="1328" w:name="_Toc272772686"/>
      <w:bookmarkStart w:id="1329" w:name="_Toc19287"/>
      <w:bookmarkStart w:id="1330" w:name="_Toc214434006"/>
      <w:bookmarkStart w:id="1331" w:name="_Toc431367161"/>
      <w:bookmarkStart w:id="1332" w:name="_Toc227492362"/>
      <w:bookmarkStart w:id="1333" w:name="_Toc228589280"/>
      <w:bookmarkStart w:id="1334" w:name="_Toc228591626"/>
      <w:bookmarkStart w:id="1335" w:name="_Toc228337215"/>
      <w:bookmarkStart w:id="1336" w:name="_Toc228881266"/>
      <w:r>
        <w:rPr>
          <w:rFonts w:hint="eastAsia" w:ascii="黑体" w:hAnsi="新宋体" w:eastAsia="黑体"/>
          <w:kern w:val="0"/>
          <w:sz w:val="28"/>
        </w:rPr>
        <w:t>（五）近年发生的诉讼及仲裁情况</w:t>
      </w:r>
      <w:bookmarkEnd w:id="1325"/>
      <w:bookmarkEnd w:id="1326"/>
      <w:bookmarkEnd w:id="1327"/>
      <w:bookmarkEnd w:id="1328"/>
      <w:bookmarkEnd w:id="1329"/>
      <w:bookmarkEnd w:id="1330"/>
      <w:bookmarkEnd w:id="1331"/>
      <w:bookmarkEnd w:id="1332"/>
      <w:bookmarkEnd w:id="1333"/>
      <w:bookmarkEnd w:id="1334"/>
      <w:bookmarkEnd w:id="1335"/>
      <w:bookmarkEnd w:id="1336"/>
    </w:p>
    <w:p>
      <w:pPr>
        <w:pStyle w:val="3"/>
        <w:ind w:left="63" w:right="63"/>
        <w:jc w:val="both"/>
      </w:pPr>
    </w:p>
    <w:p>
      <w:pPr>
        <w:pStyle w:val="3"/>
        <w:ind w:left="63" w:right="63"/>
        <w:jc w:val="left"/>
        <w:rPr>
          <w:rFonts w:ascii="宋体" w:hAnsi="宋体" w:cs="宋体"/>
          <w:sz w:val="24"/>
          <w:szCs w:val="24"/>
        </w:rPr>
      </w:pPr>
      <w:r>
        <w:t>注：</w:t>
      </w:r>
      <w:r>
        <w:rPr>
          <w:rFonts w:hint="eastAsia"/>
        </w:rPr>
        <w:t>1、</w:t>
      </w:r>
      <w:r>
        <w:t>投标人应根据投标人须知第</w:t>
      </w:r>
      <w:r>
        <w:rPr>
          <w:rFonts w:eastAsia="Times New Roman"/>
        </w:rPr>
        <w:t xml:space="preserve">3.5.5 </w:t>
      </w:r>
      <w:r>
        <w:t>项的要求附相关证明材料。</w:t>
      </w:r>
    </w:p>
    <w:p>
      <w:pPr>
        <w:autoSpaceDE w:val="0"/>
        <w:autoSpaceDN w:val="0"/>
        <w:adjustRightInd w:val="0"/>
        <w:spacing w:line="400" w:lineRule="exact"/>
        <w:ind w:right="-34" w:rightChars="-16"/>
        <w:jc w:val="center"/>
        <w:rPr>
          <w:rFonts w:ascii="黑体" w:hAnsi="黑体" w:eastAsia="黑体"/>
          <w:b/>
          <w:kern w:val="0"/>
          <w:sz w:val="28"/>
        </w:rPr>
      </w:pPr>
      <w:r>
        <w:rPr>
          <w:rFonts w:hint="eastAsia"/>
          <w:kern w:val="0"/>
          <w:sz w:val="20"/>
        </w:rPr>
        <w:t>2、</w:t>
      </w:r>
      <w:r>
        <w:rPr>
          <w:kern w:val="0"/>
          <w:sz w:val="20"/>
        </w:rPr>
        <w:t>近年发生的诉讼和仲裁情况仅限于投标人败诉的，且与履行施工承包合同有关的案件，不包括调解结案以及未裁决的仲裁或未终审判决的诉讼。</w:t>
      </w:r>
      <w:r>
        <w:rPr>
          <w:kern w:val="0"/>
          <w:sz w:val="20"/>
        </w:rPr>
        <w:br w:type="page"/>
      </w:r>
      <w:bookmarkStart w:id="1337" w:name="_Toc431367174"/>
      <w:r>
        <w:rPr>
          <w:rFonts w:hint="eastAsia" w:ascii="黑体" w:hAnsi="新宋体" w:eastAsia="黑体"/>
          <w:b/>
          <w:kern w:val="0"/>
          <w:sz w:val="28"/>
        </w:rPr>
        <w:t>十、其他材料</w:t>
      </w:r>
      <w:bookmarkEnd w:id="1337"/>
    </w:p>
    <w:p>
      <w:pPr>
        <w:autoSpaceDE w:val="0"/>
        <w:autoSpaceDN w:val="0"/>
        <w:adjustRightInd w:val="0"/>
        <w:spacing w:line="400" w:lineRule="exact"/>
        <w:ind w:right="-34" w:rightChars="-16"/>
        <w:jc w:val="center"/>
        <w:rPr>
          <w:rFonts w:ascii="黑体" w:hAnsi="黑体" w:eastAsia="黑体"/>
          <w:b/>
          <w:kern w:val="0"/>
          <w:sz w:val="28"/>
        </w:rPr>
      </w:pPr>
      <w:r>
        <w:rPr>
          <w:rFonts w:hint="eastAsia" w:ascii="黑体" w:hAnsi="黑体" w:eastAsia="黑体"/>
          <w:b/>
          <w:kern w:val="0"/>
          <w:sz w:val="30"/>
          <w:szCs w:val="30"/>
        </w:rPr>
        <w:t>（一）投标活动承诺书</w:t>
      </w:r>
    </w:p>
    <w:p>
      <w:pPr>
        <w:tabs>
          <w:tab w:val="left" w:pos="6263"/>
        </w:tabs>
        <w:autoSpaceDE w:val="0"/>
        <w:autoSpaceDN w:val="0"/>
        <w:adjustRightInd w:val="0"/>
        <w:spacing w:line="400" w:lineRule="exact"/>
        <w:ind w:right="-34" w:rightChars="-16"/>
        <w:outlineLvl w:val="0"/>
        <w:rPr>
          <w:b/>
          <w:kern w:val="0"/>
          <w:sz w:val="30"/>
          <w:szCs w:val="30"/>
        </w:rPr>
      </w:pPr>
      <w:r>
        <w:rPr>
          <w:rFonts w:hint="eastAsia"/>
          <w:b/>
          <w:kern w:val="0"/>
          <w:sz w:val="30"/>
          <w:szCs w:val="30"/>
        </w:rPr>
        <w:tab/>
      </w:r>
    </w:p>
    <w:p>
      <w:pPr>
        <w:autoSpaceDE w:val="0"/>
        <w:autoSpaceDN w:val="0"/>
        <w:adjustRightInd w:val="0"/>
        <w:spacing w:line="460" w:lineRule="exact"/>
        <w:ind w:right="-34" w:rightChars="-16"/>
        <w:jc w:val="center"/>
        <w:outlineLvl w:val="0"/>
        <w:rPr>
          <w:rFonts w:ascii="黑体" w:hAnsi="黑体" w:eastAsia="黑体"/>
          <w:b/>
          <w:kern w:val="0"/>
          <w:sz w:val="44"/>
          <w:szCs w:val="44"/>
        </w:rPr>
      </w:pPr>
      <w:r>
        <w:rPr>
          <w:rFonts w:hint="eastAsia" w:ascii="黑体" w:hAnsi="黑体" w:eastAsia="黑体"/>
          <w:b/>
          <w:kern w:val="0"/>
          <w:sz w:val="44"/>
          <w:szCs w:val="44"/>
        </w:rPr>
        <w:t>承诺书</w:t>
      </w:r>
    </w:p>
    <w:p>
      <w:pPr>
        <w:autoSpaceDE w:val="0"/>
        <w:autoSpaceDN w:val="0"/>
        <w:adjustRightInd w:val="0"/>
        <w:spacing w:line="400" w:lineRule="exact"/>
        <w:ind w:right="-34" w:rightChars="-16"/>
        <w:jc w:val="center"/>
        <w:outlineLvl w:val="0"/>
        <w:rPr>
          <w:rFonts w:ascii="黑体" w:hAnsi="黑体" w:eastAsia="黑体"/>
          <w:b/>
          <w:kern w:val="0"/>
          <w:sz w:val="44"/>
          <w:szCs w:val="44"/>
        </w:rPr>
      </w:pPr>
    </w:p>
    <w:p>
      <w:pPr>
        <w:autoSpaceDE w:val="0"/>
        <w:autoSpaceDN w:val="0"/>
        <w:adjustRightInd w:val="0"/>
        <w:spacing w:line="400" w:lineRule="exact"/>
        <w:ind w:right="-34" w:rightChars="-16"/>
        <w:jc w:val="left"/>
        <w:outlineLvl w:val="0"/>
        <w:rPr>
          <w:rFonts w:ascii="仿宋" w:hAnsi="仿宋" w:eastAsia="仿宋"/>
          <w:kern w:val="0"/>
          <w:sz w:val="30"/>
          <w:szCs w:val="30"/>
        </w:rPr>
      </w:pPr>
      <w:r>
        <w:rPr>
          <w:rFonts w:hint="eastAsia" w:ascii="仿宋" w:hAnsi="仿宋" w:eastAsia="仿宋"/>
          <w:kern w:val="0"/>
          <w:sz w:val="30"/>
          <w:szCs w:val="30"/>
        </w:rPr>
        <w:t>（招标人）：</w:t>
      </w:r>
    </w:p>
    <w:p>
      <w:pPr>
        <w:pStyle w:val="41"/>
        <w:spacing w:before="0" w:beforeAutospacing="0" w:after="0" w:afterAutospacing="0" w:line="450" w:lineRule="atLeast"/>
        <w:rPr>
          <w:rFonts w:ascii="仿宋" w:hAnsi="仿宋" w:eastAsia="仿宋"/>
          <w:sz w:val="32"/>
          <w:szCs w:val="32"/>
        </w:rPr>
      </w:pPr>
      <w:r>
        <w:rPr>
          <w:rFonts w:ascii="仿宋" w:hAnsi="仿宋" w:eastAsia="仿宋"/>
          <w:sz w:val="30"/>
          <w:szCs w:val="30"/>
        </w:rPr>
        <w:t>我公司有幸参加贵单位项目（项目名称）的投标，</w:t>
      </w:r>
      <w:r>
        <w:rPr>
          <w:rFonts w:ascii="仿宋" w:hAnsi="仿宋" w:eastAsia="仿宋"/>
          <w:sz w:val="32"/>
          <w:szCs w:val="32"/>
        </w:rPr>
        <w:t>本人以企业法定代表人的身份郑重承诺如下：</w:t>
      </w:r>
    </w:p>
    <w:p>
      <w:pPr>
        <w:pStyle w:val="41"/>
        <w:spacing w:before="0" w:beforeAutospacing="0" w:after="0" w:afterAutospacing="0" w:line="450" w:lineRule="atLeast"/>
        <w:rPr>
          <w:rFonts w:ascii="仿宋" w:hAnsi="仿宋" w:eastAsia="仿宋"/>
          <w:sz w:val="32"/>
          <w:szCs w:val="32"/>
        </w:rPr>
      </w:pPr>
      <w:r>
        <w:rPr>
          <w:rFonts w:ascii="仿宋" w:hAnsi="仿宋" w:eastAsia="仿宋"/>
          <w:sz w:val="32"/>
          <w:szCs w:val="32"/>
        </w:rPr>
        <w:t>　　一、将遵循公开、公正和诚实信用的原则自愿参加本项目的投标;</w:t>
      </w:r>
    </w:p>
    <w:p>
      <w:pPr>
        <w:pStyle w:val="41"/>
        <w:spacing w:before="0" w:beforeAutospacing="0" w:after="0" w:afterAutospacing="0" w:line="450" w:lineRule="atLeast"/>
        <w:rPr>
          <w:rFonts w:ascii="仿宋" w:hAnsi="仿宋" w:eastAsia="仿宋"/>
          <w:sz w:val="32"/>
          <w:szCs w:val="32"/>
        </w:rPr>
      </w:pPr>
      <w:r>
        <w:rPr>
          <w:rFonts w:ascii="仿宋" w:hAnsi="仿宋" w:eastAsia="仿宋"/>
          <w:sz w:val="32"/>
          <w:szCs w:val="32"/>
        </w:rPr>
        <w:t>　　二、所提供的一切材料都是真实、有效、合法的;</w:t>
      </w:r>
    </w:p>
    <w:p>
      <w:pPr>
        <w:pStyle w:val="41"/>
        <w:spacing w:before="0" w:beforeAutospacing="0" w:after="0" w:afterAutospacing="0" w:line="450" w:lineRule="atLeast"/>
        <w:rPr>
          <w:rFonts w:ascii="仿宋" w:hAnsi="仿宋" w:eastAsia="仿宋"/>
          <w:sz w:val="32"/>
          <w:szCs w:val="32"/>
        </w:rPr>
      </w:pPr>
      <w:r>
        <w:rPr>
          <w:rFonts w:ascii="仿宋" w:hAnsi="仿宋" w:eastAsia="仿宋"/>
          <w:sz w:val="32"/>
          <w:szCs w:val="32"/>
        </w:rPr>
        <w:t>　　三、不出借、转让资质证书，不借用、挂靠他人资质证书，以他人名义投标或者以其他方式弄虚作假，骗取中标;</w:t>
      </w:r>
    </w:p>
    <w:p>
      <w:pPr>
        <w:pStyle w:val="41"/>
        <w:spacing w:before="0" w:beforeAutospacing="0" w:after="0" w:afterAutospacing="0" w:line="450" w:lineRule="atLeast"/>
        <w:rPr>
          <w:rFonts w:ascii="仿宋" w:hAnsi="仿宋" w:eastAsia="仿宋"/>
          <w:sz w:val="32"/>
          <w:szCs w:val="32"/>
        </w:rPr>
      </w:pPr>
      <w:r>
        <w:rPr>
          <w:rFonts w:ascii="仿宋" w:hAnsi="仿宋" w:eastAsia="仿宋"/>
          <w:sz w:val="32"/>
          <w:szCs w:val="32"/>
        </w:rPr>
        <w:t>　　四、不与其他投标人相互串通投标报价，不排挤其他投标人的公平竞争、损害招标人的合法权益;</w:t>
      </w:r>
    </w:p>
    <w:p>
      <w:pPr>
        <w:pStyle w:val="41"/>
        <w:spacing w:before="0" w:beforeAutospacing="0" w:after="0" w:afterAutospacing="0" w:line="450" w:lineRule="atLeast"/>
        <w:rPr>
          <w:rFonts w:ascii="仿宋" w:hAnsi="仿宋" w:eastAsia="仿宋"/>
          <w:sz w:val="32"/>
          <w:szCs w:val="32"/>
        </w:rPr>
      </w:pPr>
      <w:r>
        <w:rPr>
          <w:rFonts w:ascii="仿宋" w:hAnsi="仿宋" w:eastAsia="仿宋"/>
          <w:sz w:val="32"/>
          <w:szCs w:val="32"/>
        </w:rPr>
        <w:t>　　五、不与招标人、招标代理机构或其他投标人串通投标，损害国家利益、社会公共利益或者他人的合法权益;</w:t>
      </w:r>
    </w:p>
    <w:p>
      <w:pPr>
        <w:pStyle w:val="41"/>
        <w:spacing w:before="0" w:beforeAutospacing="0" w:after="0" w:afterAutospacing="0" w:line="450" w:lineRule="atLeast"/>
        <w:rPr>
          <w:rFonts w:ascii="仿宋" w:hAnsi="仿宋" w:eastAsia="仿宋"/>
          <w:sz w:val="32"/>
          <w:szCs w:val="32"/>
        </w:rPr>
      </w:pPr>
      <w:r>
        <w:rPr>
          <w:rFonts w:ascii="仿宋" w:hAnsi="仿宋" w:eastAsia="仿宋"/>
          <w:sz w:val="32"/>
          <w:szCs w:val="32"/>
        </w:rPr>
        <w:t>　　六、严格遵守开标现场纪律，服从监管人员管理;</w:t>
      </w:r>
    </w:p>
    <w:p>
      <w:pPr>
        <w:pStyle w:val="41"/>
        <w:spacing w:before="0" w:beforeAutospacing="0" w:after="0" w:afterAutospacing="0" w:line="450" w:lineRule="atLeast"/>
        <w:rPr>
          <w:rFonts w:ascii="仿宋" w:hAnsi="仿宋" w:eastAsia="仿宋"/>
          <w:sz w:val="32"/>
          <w:szCs w:val="32"/>
        </w:rPr>
      </w:pPr>
      <w:r>
        <w:rPr>
          <w:rFonts w:ascii="仿宋" w:hAnsi="仿宋" w:eastAsia="仿宋"/>
          <w:sz w:val="32"/>
          <w:szCs w:val="32"/>
        </w:rPr>
        <w:t>　　以上内容我已仔细阅读，本公司若有违反承诺内容的行为，自愿依法接受取消投标资格、记入信用档案、取消中标资格、没收投标保证金等有关处理，愿意承担法律责任，给招标人造成损失的，依法承担赔偿责任。</w:t>
      </w:r>
    </w:p>
    <w:p>
      <w:pPr>
        <w:pStyle w:val="41"/>
        <w:spacing w:before="0" w:beforeAutospacing="0" w:after="0" w:afterAutospacing="0" w:line="450" w:lineRule="atLeast"/>
        <w:jc w:val="right"/>
        <w:rPr>
          <w:rFonts w:ascii="仿宋" w:hAnsi="仿宋" w:eastAsia="仿宋"/>
          <w:sz w:val="32"/>
          <w:szCs w:val="32"/>
        </w:rPr>
      </w:pPr>
      <w:r>
        <w:rPr>
          <w:rFonts w:ascii="仿宋" w:hAnsi="仿宋" w:eastAsia="仿宋"/>
          <w:sz w:val="32"/>
          <w:szCs w:val="32"/>
        </w:rPr>
        <w:t>　</w:t>
      </w:r>
    </w:p>
    <w:p>
      <w:pPr>
        <w:pStyle w:val="41"/>
        <w:spacing w:before="0" w:beforeAutospacing="0" w:after="0" w:afterAutospacing="0" w:line="450" w:lineRule="atLeast"/>
        <w:jc w:val="right"/>
        <w:rPr>
          <w:rFonts w:ascii="仿宋" w:hAnsi="仿宋" w:eastAsia="仿宋"/>
          <w:sz w:val="32"/>
          <w:szCs w:val="32"/>
        </w:rPr>
      </w:pPr>
    </w:p>
    <w:p>
      <w:pPr>
        <w:pStyle w:val="41"/>
        <w:spacing w:before="0" w:beforeAutospacing="0" w:after="0" w:afterAutospacing="0" w:line="450" w:lineRule="atLeast"/>
        <w:ind w:right="640" w:firstLine="4480" w:firstLineChars="1400"/>
        <w:rPr>
          <w:rFonts w:ascii="仿宋" w:hAnsi="仿宋" w:eastAsia="仿宋"/>
          <w:sz w:val="32"/>
          <w:szCs w:val="32"/>
        </w:rPr>
      </w:pPr>
      <w:r>
        <w:rPr>
          <w:rFonts w:ascii="仿宋" w:hAnsi="仿宋" w:eastAsia="仿宋"/>
          <w:sz w:val="32"/>
          <w:szCs w:val="32"/>
        </w:rPr>
        <w:t>承诺人：（公章）</w:t>
      </w:r>
    </w:p>
    <w:p>
      <w:pPr>
        <w:pStyle w:val="41"/>
        <w:spacing w:before="0" w:beforeAutospacing="0" w:after="0" w:afterAutospacing="0" w:line="450" w:lineRule="atLeast"/>
        <w:ind w:right="640" w:firstLine="4480" w:firstLineChars="1400"/>
        <w:rPr>
          <w:rFonts w:ascii="仿宋" w:hAnsi="仿宋" w:eastAsia="仿宋"/>
          <w:sz w:val="32"/>
          <w:szCs w:val="32"/>
        </w:rPr>
      </w:pPr>
      <w:r>
        <w:rPr>
          <w:rFonts w:ascii="仿宋" w:hAnsi="仿宋" w:eastAsia="仿宋"/>
          <w:sz w:val="32"/>
          <w:szCs w:val="32"/>
        </w:rPr>
        <w:t>法定代表人签字：</w:t>
      </w:r>
    </w:p>
    <w:p>
      <w:pPr>
        <w:pStyle w:val="41"/>
        <w:wordWrap w:val="0"/>
        <w:spacing w:before="0" w:beforeAutospacing="0" w:after="0" w:afterAutospacing="0" w:line="450" w:lineRule="atLeast"/>
        <w:jc w:val="right"/>
        <w:rPr>
          <w:rFonts w:ascii="仿宋" w:hAnsi="仿宋" w:eastAsia="仿宋"/>
          <w:sz w:val="32"/>
          <w:szCs w:val="32"/>
        </w:rPr>
      </w:pPr>
      <w:r>
        <w:rPr>
          <w:rFonts w:ascii="仿宋" w:hAnsi="仿宋" w:eastAsia="仿宋"/>
          <w:sz w:val="32"/>
          <w:szCs w:val="32"/>
        </w:rPr>
        <w:t>　　</w:t>
      </w:r>
    </w:p>
    <w:p>
      <w:pPr>
        <w:pStyle w:val="41"/>
        <w:spacing w:before="0" w:beforeAutospacing="0" w:after="0" w:afterAutospacing="0" w:line="450" w:lineRule="atLeast"/>
        <w:ind w:right="640"/>
        <w:jc w:val="center"/>
        <w:rPr>
          <w:rFonts w:ascii="仿宋" w:hAnsi="仿宋" w:eastAsia="仿宋"/>
          <w:sz w:val="32"/>
          <w:szCs w:val="32"/>
        </w:rPr>
      </w:pPr>
      <w:r>
        <w:rPr>
          <w:rFonts w:ascii="仿宋" w:hAnsi="仿宋" w:eastAsia="仿宋"/>
          <w:sz w:val="32"/>
          <w:szCs w:val="32"/>
        </w:rPr>
        <w:t xml:space="preserve">                       年  月  日</w:t>
      </w:r>
    </w:p>
    <w:p>
      <w:pPr>
        <w:jc w:val="center"/>
        <w:rPr>
          <w:rFonts w:ascii="黑体" w:hAnsi="黑体" w:eastAsia="黑体"/>
          <w:sz w:val="32"/>
          <w:szCs w:val="32"/>
        </w:rPr>
      </w:pPr>
      <w:r>
        <w:rPr>
          <w:rFonts w:hint="eastAsia" w:ascii="黑体" w:hAnsi="黑体" w:eastAsia="黑体"/>
          <w:sz w:val="32"/>
          <w:szCs w:val="32"/>
        </w:rPr>
        <w:t>（二）投标人认为有必要提供的其他材料</w:t>
      </w:r>
    </w:p>
    <w:p>
      <w:pPr>
        <w:jc w:val="center"/>
        <w:rPr>
          <w:rFonts w:hint="eastAsia" w:ascii="宋体" w:hAnsi="宋体" w:cs="宋体"/>
          <w:b/>
          <w:color w:val="auto"/>
          <w:sz w:val="24"/>
          <w:highlight w:val="none"/>
        </w:rPr>
      </w:pPr>
    </w:p>
    <w:p>
      <w:pPr>
        <w:jc w:val="center"/>
        <w:rPr>
          <w:rFonts w:hint="eastAsia" w:ascii="宋体" w:hAnsi="宋体" w:cs="宋体"/>
          <w:b/>
          <w:color w:val="auto"/>
          <w:sz w:val="24"/>
          <w:highlight w:val="none"/>
        </w:rPr>
      </w:pPr>
    </w:p>
    <w:p>
      <w:pPr>
        <w:rPr>
          <w:rFonts w:ascii="仿宋" w:hAnsi="仿宋" w:eastAsia="仿宋"/>
          <w:kern w:val="0"/>
          <w:sz w:val="32"/>
          <w:szCs w:val="32"/>
        </w:rPr>
      </w:pPr>
    </w:p>
    <w:sectPr>
      <w:pgSz w:w="11906" w:h="16838"/>
      <w:pgMar w:top="2098" w:right="1588" w:bottom="2098" w:left="1588"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modern"/>
    <w:pitch w:val="default"/>
    <w:sig w:usb0="E00002FF" w:usb1="400004FF" w:usb2="00000000" w:usb3="00000000" w:csb0="2000019F" w:csb1="00000000"/>
  </w:font>
  <w:font w:name="楷体_GB2312">
    <w:altName w:val="楷体"/>
    <w:panose1 w:val="02010609030101010101"/>
    <w:charset w:val="86"/>
    <w:family w:val="swiss"/>
    <w:pitch w:val="default"/>
    <w:sig w:usb0="00000000" w:usb1="00000000" w:usb2="00000000" w:usb3="00000000" w:csb0="00040000" w:csb1="00000000"/>
  </w:font>
  <w:font w:name="方正小标宋_GBK">
    <w:altName w:val="宋体"/>
    <w:panose1 w:val="00000000000000000000"/>
    <w:charset w:val="86"/>
    <w:family w:val="script"/>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swiss"/>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 w:name="TimesNewRomanPSMT">
    <w:altName w:val="Times New Roman"/>
    <w:panose1 w:val="00000000000000000000"/>
    <w:charset w:val="00"/>
    <w:family w:val="modern"/>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center" w:pos="4153"/>
        <w:tab w:val="right" w:pos="8306"/>
        <w:tab w:val="clear" w:pos="4140"/>
        <w:tab w:val="clear" w:pos="830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center" w:pos="4153"/>
        <w:tab w:val="right" w:pos="8306"/>
        <w:tab w:val="clear" w:pos="4140"/>
        <w:tab w:val="clear" w:pos="830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center" w:pos="4153"/>
        <w:tab w:val="right" w:pos="8306"/>
        <w:tab w:val="clear" w:pos="4140"/>
        <w:tab w:val="clear" w:pos="8300"/>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right" w:pos="8306"/>
        <w:tab w:val="clear" w:pos="4140"/>
        <w:tab w:val="clear" w:pos="8300"/>
      </w:tabs>
      <w:jc w:val="center"/>
    </w:pPr>
    <w:r>
      <w:rPr>
        <w:sz w:val="18"/>
      </w:rPr>
      <w:pict>
        <v:shape id="_x0000_s1040" o:spid="_x0000_s1040"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2</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center" w:pos="4153"/>
        <w:tab w:val="right" w:pos="8306"/>
        <w:tab w:val="clear" w:pos="4140"/>
        <w:tab w:val="clear" w:pos="8300"/>
      </w:tabs>
      <w:jc w:val="center"/>
      <w:rPr>
        <w:rFonts w:eastAsia="仿宋_GB2312"/>
        <w:sz w:val="24"/>
      </w:rPr>
    </w:pPr>
    <w:r>
      <w:rPr>
        <w:sz w:val="24"/>
      </w:rPr>
      <w:pict>
        <v:shape id="_x0000_s1041" o:spid="_x0000_s1041"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sz w:val="21"/>
      </w:rPr>
      <w:pict>
        <v:shape id="_x0000_s1042" o:spid="_x0000_s1042"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42</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center" w:pos="4153"/>
        <w:tab w:val="right" w:pos="8306"/>
        <w:tab w:val="clear" w:pos="4140"/>
        <w:tab w:val="clear" w:pos="8300"/>
      </w:tabs>
      <w:jc w:val="center"/>
      <w:rPr>
        <w:rFonts w:eastAsia="仿宋_GB2312"/>
        <w:sz w:val="24"/>
      </w:rPr>
    </w:pPr>
    <w:r>
      <w:rPr>
        <w:sz w:val="24"/>
      </w:rPr>
      <w:pict>
        <v:shape id="_x0000_s1043" o:spid="_x0000_s1043"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43</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pict>
        <v:shape id="_x0000_s1031" o:spid="_x0000_s1031"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path/>
          <v:fill on="f" focussize="0,0"/>
          <v:stroke on="f" weight="0.5pt" joinstyle="miter"/>
          <v:imagedata o:title=""/>
          <o:lock v:ext="edit"/>
          <v:textbox inset="0mm,0mm,0mm,0mm" style="mso-fit-shape-to-text:t;">
            <w:txbxContent>
              <w:p>
                <w:pPr>
                  <w:pStyle w:val="31"/>
                </w:pPr>
                <w:r>
                  <w:fldChar w:fldCharType="begin"/>
                </w:r>
                <w:r>
                  <w:instrText xml:space="preserve"> PAGE  \* MERGEFORMAT </w:instrText>
                </w:r>
                <w:r>
                  <w:fldChar w:fldCharType="separate"/>
                </w:r>
                <w:r>
                  <w:t>43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rPr>
        <w:rFonts w:ascii="宋体" w:hAnsi="宋体" w:cs="宋体"/>
        <w:b/>
        <w:bCs/>
        <w:szCs w:val="21"/>
        <w:u w:val="single"/>
      </w:rPr>
    </w:pPr>
    <w:r>
      <w:rPr>
        <w:rFonts w:hint="eastAsia" w:ascii="宋体" w:hAnsi="宋体" w:cs="宋体"/>
        <w:b/>
        <w:bCs/>
        <w:szCs w:val="21"/>
        <w:u w:val="single"/>
      </w:rPr>
      <w:t>泌阳县泌水河南岸道路及广场建设项目                                    施工招标文件</w:t>
    </w:r>
  </w:p>
  <w:p>
    <w:pPr>
      <w:pStyle w:val="32"/>
      <w:pBdr>
        <w:bottom w:val="none" w:color="auto" w:sz="0" w:space="0"/>
      </w:pBdr>
      <w:tabs>
        <w:tab w:val="center" w:pos="4153"/>
        <w:tab w:val="right" w:pos="8306"/>
        <w:tab w:val="clear" w:pos="4140"/>
        <w:tab w:val="clear" w:pos="830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tabs>
        <w:tab w:val="center" w:pos="4153"/>
        <w:tab w:val="right" w:pos="8306"/>
        <w:tab w:val="clear" w:pos="4140"/>
        <w:tab w:val="clear" w:pos="830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tabs>
        <w:tab w:val="center" w:pos="4153"/>
        <w:tab w:val="right" w:pos="8306"/>
        <w:tab w:val="clear" w:pos="4140"/>
        <w:tab w:val="clear" w:pos="830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tabs>
        <w:tab w:val="center" w:pos="4153"/>
        <w:tab w:val="right" w:pos="8306"/>
        <w:tab w:val="clear" w:pos="4140"/>
        <w:tab w:val="clear" w:pos="83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6CD3C1"/>
    <w:multiLevelType w:val="singleLevel"/>
    <w:tmpl w:val="446CD3C1"/>
    <w:lvl w:ilvl="0" w:tentative="0">
      <w:start w:val="3"/>
      <w:numFmt w:val="decimal"/>
      <w:suff w:val="nothing"/>
      <w:lvlText w:val="%1．"/>
      <w:lvlJc w:val="left"/>
    </w:lvl>
  </w:abstractNum>
  <w:abstractNum w:abstractNumId="1">
    <w:nsid w:val="5B3C4877"/>
    <w:multiLevelType w:val="singleLevel"/>
    <w:tmpl w:val="5B3C4877"/>
    <w:lvl w:ilvl="0" w:tentative="0">
      <w:start w:val="1"/>
      <w:numFmt w:val="decimal"/>
      <w:suff w:val="nothing"/>
      <w:lvlText w:val="%1、"/>
      <w:lvlJc w:val="left"/>
    </w:lvl>
  </w:abstractNum>
  <w:abstractNum w:abstractNumId="2">
    <w:nsid w:val="71747F25"/>
    <w:multiLevelType w:val="singleLevel"/>
    <w:tmpl w:val="71747F25"/>
    <w:lvl w:ilvl="0" w:tentative="0">
      <w:start w:val="2"/>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287"/>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2"/>
  </w:compat>
  <w:docVars>
    <w:docVar w:name="commondata" w:val="eyJoZGlkIjoiMWNlOTBmMDg1MWJhZWZkODExZWQ0NGMwN2I3NDJmNDMifQ=="/>
  </w:docVars>
  <w:rsids>
    <w:rsidRoot w:val="00172A27"/>
    <w:rsid w:val="000023D1"/>
    <w:rsid w:val="00003122"/>
    <w:rsid w:val="00003BA3"/>
    <w:rsid w:val="00003CC9"/>
    <w:rsid w:val="00003EAE"/>
    <w:rsid w:val="00004D77"/>
    <w:rsid w:val="0000518D"/>
    <w:rsid w:val="00005617"/>
    <w:rsid w:val="00005AC9"/>
    <w:rsid w:val="00006071"/>
    <w:rsid w:val="000068F1"/>
    <w:rsid w:val="00006CA9"/>
    <w:rsid w:val="00010B4D"/>
    <w:rsid w:val="00010E7C"/>
    <w:rsid w:val="0001171E"/>
    <w:rsid w:val="00011E13"/>
    <w:rsid w:val="0001224C"/>
    <w:rsid w:val="0001282F"/>
    <w:rsid w:val="00013033"/>
    <w:rsid w:val="000130B7"/>
    <w:rsid w:val="00013256"/>
    <w:rsid w:val="00013F18"/>
    <w:rsid w:val="00014583"/>
    <w:rsid w:val="00014B10"/>
    <w:rsid w:val="00015F7D"/>
    <w:rsid w:val="00016025"/>
    <w:rsid w:val="000166CB"/>
    <w:rsid w:val="000166FC"/>
    <w:rsid w:val="000167EA"/>
    <w:rsid w:val="000168D5"/>
    <w:rsid w:val="00016C38"/>
    <w:rsid w:val="00016F23"/>
    <w:rsid w:val="00016FB5"/>
    <w:rsid w:val="00017725"/>
    <w:rsid w:val="00017AB0"/>
    <w:rsid w:val="00017D1B"/>
    <w:rsid w:val="00017EAC"/>
    <w:rsid w:val="000203FD"/>
    <w:rsid w:val="00020538"/>
    <w:rsid w:val="00020EBF"/>
    <w:rsid w:val="00020EEF"/>
    <w:rsid w:val="000214A6"/>
    <w:rsid w:val="000215D6"/>
    <w:rsid w:val="000215DA"/>
    <w:rsid w:val="0002302D"/>
    <w:rsid w:val="00024334"/>
    <w:rsid w:val="00024F2C"/>
    <w:rsid w:val="000251EB"/>
    <w:rsid w:val="000258DE"/>
    <w:rsid w:val="0002678D"/>
    <w:rsid w:val="000267C3"/>
    <w:rsid w:val="00026A2D"/>
    <w:rsid w:val="00027A2D"/>
    <w:rsid w:val="00027E4F"/>
    <w:rsid w:val="0003001B"/>
    <w:rsid w:val="00030C81"/>
    <w:rsid w:val="00031B47"/>
    <w:rsid w:val="00032277"/>
    <w:rsid w:val="000323A8"/>
    <w:rsid w:val="000335A3"/>
    <w:rsid w:val="00033DD1"/>
    <w:rsid w:val="00033EEE"/>
    <w:rsid w:val="000365CA"/>
    <w:rsid w:val="0003712D"/>
    <w:rsid w:val="000373AB"/>
    <w:rsid w:val="00037416"/>
    <w:rsid w:val="000376CF"/>
    <w:rsid w:val="00037809"/>
    <w:rsid w:val="00037848"/>
    <w:rsid w:val="0004012A"/>
    <w:rsid w:val="0004035C"/>
    <w:rsid w:val="00040505"/>
    <w:rsid w:val="0004072C"/>
    <w:rsid w:val="000407CE"/>
    <w:rsid w:val="00040AF5"/>
    <w:rsid w:val="00041613"/>
    <w:rsid w:val="0004161C"/>
    <w:rsid w:val="00042464"/>
    <w:rsid w:val="000425AA"/>
    <w:rsid w:val="00042A81"/>
    <w:rsid w:val="00042EF1"/>
    <w:rsid w:val="0004319D"/>
    <w:rsid w:val="000434B0"/>
    <w:rsid w:val="00043D2C"/>
    <w:rsid w:val="00043DF8"/>
    <w:rsid w:val="00043F1F"/>
    <w:rsid w:val="00044182"/>
    <w:rsid w:val="000441AC"/>
    <w:rsid w:val="000452CD"/>
    <w:rsid w:val="000469FB"/>
    <w:rsid w:val="00046DD7"/>
    <w:rsid w:val="00047537"/>
    <w:rsid w:val="00047A5C"/>
    <w:rsid w:val="00047B19"/>
    <w:rsid w:val="00047BFE"/>
    <w:rsid w:val="00047E05"/>
    <w:rsid w:val="00050201"/>
    <w:rsid w:val="000503B6"/>
    <w:rsid w:val="00050572"/>
    <w:rsid w:val="00051063"/>
    <w:rsid w:val="00051332"/>
    <w:rsid w:val="00051983"/>
    <w:rsid w:val="00051AD3"/>
    <w:rsid w:val="0005236F"/>
    <w:rsid w:val="00052756"/>
    <w:rsid w:val="00052ABC"/>
    <w:rsid w:val="00052DAB"/>
    <w:rsid w:val="00053118"/>
    <w:rsid w:val="000536D4"/>
    <w:rsid w:val="0005420C"/>
    <w:rsid w:val="00054449"/>
    <w:rsid w:val="0005535C"/>
    <w:rsid w:val="00055AC9"/>
    <w:rsid w:val="00055D67"/>
    <w:rsid w:val="00056B5D"/>
    <w:rsid w:val="00056F1B"/>
    <w:rsid w:val="00057104"/>
    <w:rsid w:val="000574C6"/>
    <w:rsid w:val="00057807"/>
    <w:rsid w:val="000607CD"/>
    <w:rsid w:val="000615F1"/>
    <w:rsid w:val="00061999"/>
    <w:rsid w:val="000628FD"/>
    <w:rsid w:val="00062B2B"/>
    <w:rsid w:val="00062F54"/>
    <w:rsid w:val="00062FBE"/>
    <w:rsid w:val="000636BD"/>
    <w:rsid w:val="00063E7F"/>
    <w:rsid w:val="00064638"/>
    <w:rsid w:val="00064739"/>
    <w:rsid w:val="00064951"/>
    <w:rsid w:val="000653F9"/>
    <w:rsid w:val="000659E5"/>
    <w:rsid w:val="00065AD3"/>
    <w:rsid w:val="00065CD2"/>
    <w:rsid w:val="00066731"/>
    <w:rsid w:val="00066877"/>
    <w:rsid w:val="00066F79"/>
    <w:rsid w:val="000676F8"/>
    <w:rsid w:val="00070556"/>
    <w:rsid w:val="0007056F"/>
    <w:rsid w:val="00070EAC"/>
    <w:rsid w:val="000713E7"/>
    <w:rsid w:val="00071952"/>
    <w:rsid w:val="00071FAF"/>
    <w:rsid w:val="00072024"/>
    <w:rsid w:val="000747D7"/>
    <w:rsid w:val="00074895"/>
    <w:rsid w:val="00074898"/>
    <w:rsid w:val="00075392"/>
    <w:rsid w:val="000753F7"/>
    <w:rsid w:val="0007563C"/>
    <w:rsid w:val="00076268"/>
    <w:rsid w:val="000765C7"/>
    <w:rsid w:val="000769A1"/>
    <w:rsid w:val="00076BDC"/>
    <w:rsid w:val="0007771A"/>
    <w:rsid w:val="0007791F"/>
    <w:rsid w:val="00077923"/>
    <w:rsid w:val="00077C22"/>
    <w:rsid w:val="00080324"/>
    <w:rsid w:val="000803B4"/>
    <w:rsid w:val="000808A5"/>
    <w:rsid w:val="00080FBB"/>
    <w:rsid w:val="00081392"/>
    <w:rsid w:val="00081510"/>
    <w:rsid w:val="000815AA"/>
    <w:rsid w:val="00081C5D"/>
    <w:rsid w:val="00082096"/>
    <w:rsid w:val="0008218E"/>
    <w:rsid w:val="00082325"/>
    <w:rsid w:val="00082DAC"/>
    <w:rsid w:val="0008337B"/>
    <w:rsid w:val="000837A6"/>
    <w:rsid w:val="000837A9"/>
    <w:rsid w:val="00083DD0"/>
    <w:rsid w:val="00085459"/>
    <w:rsid w:val="000854D1"/>
    <w:rsid w:val="000856A3"/>
    <w:rsid w:val="0008582D"/>
    <w:rsid w:val="00085A8F"/>
    <w:rsid w:val="00085ED0"/>
    <w:rsid w:val="00085F29"/>
    <w:rsid w:val="000865BC"/>
    <w:rsid w:val="00086EA7"/>
    <w:rsid w:val="00087117"/>
    <w:rsid w:val="00087ECA"/>
    <w:rsid w:val="000906FB"/>
    <w:rsid w:val="000910A0"/>
    <w:rsid w:val="00091513"/>
    <w:rsid w:val="000917B1"/>
    <w:rsid w:val="00091B12"/>
    <w:rsid w:val="00091BC2"/>
    <w:rsid w:val="00092241"/>
    <w:rsid w:val="0009275B"/>
    <w:rsid w:val="000927E9"/>
    <w:rsid w:val="00092C65"/>
    <w:rsid w:val="00092DF3"/>
    <w:rsid w:val="00092E7F"/>
    <w:rsid w:val="00093AE7"/>
    <w:rsid w:val="000946C0"/>
    <w:rsid w:val="00094868"/>
    <w:rsid w:val="00094D68"/>
    <w:rsid w:val="00095FA2"/>
    <w:rsid w:val="000965E5"/>
    <w:rsid w:val="00096825"/>
    <w:rsid w:val="000975C3"/>
    <w:rsid w:val="000A06D4"/>
    <w:rsid w:val="000A073A"/>
    <w:rsid w:val="000A0B8C"/>
    <w:rsid w:val="000A0FC8"/>
    <w:rsid w:val="000A14A7"/>
    <w:rsid w:val="000A1E00"/>
    <w:rsid w:val="000A3654"/>
    <w:rsid w:val="000A3E79"/>
    <w:rsid w:val="000A3FB0"/>
    <w:rsid w:val="000A4300"/>
    <w:rsid w:val="000A4518"/>
    <w:rsid w:val="000A4899"/>
    <w:rsid w:val="000A4A7A"/>
    <w:rsid w:val="000A4F3B"/>
    <w:rsid w:val="000A4FF3"/>
    <w:rsid w:val="000A5061"/>
    <w:rsid w:val="000A50AB"/>
    <w:rsid w:val="000A5661"/>
    <w:rsid w:val="000A5F43"/>
    <w:rsid w:val="000A6BAF"/>
    <w:rsid w:val="000A72C5"/>
    <w:rsid w:val="000B0C3D"/>
    <w:rsid w:val="000B0C97"/>
    <w:rsid w:val="000B0E4E"/>
    <w:rsid w:val="000B1022"/>
    <w:rsid w:val="000B18F7"/>
    <w:rsid w:val="000B231E"/>
    <w:rsid w:val="000B293A"/>
    <w:rsid w:val="000B2CED"/>
    <w:rsid w:val="000B3E7A"/>
    <w:rsid w:val="000B4178"/>
    <w:rsid w:val="000B47CD"/>
    <w:rsid w:val="000B5356"/>
    <w:rsid w:val="000B5FFD"/>
    <w:rsid w:val="000B642B"/>
    <w:rsid w:val="000B7391"/>
    <w:rsid w:val="000B7D60"/>
    <w:rsid w:val="000C08BD"/>
    <w:rsid w:val="000C0B9F"/>
    <w:rsid w:val="000C1687"/>
    <w:rsid w:val="000C1DAF"/>
    <w:rsid w:val="000C3AB5"/>
    <w:rsid w:val="000C3B9F"/>
    <w:rsid w:val="000C3BDC"/>
    <w:rsid w:val="000C606B"/>
    <w:rsid w:val="000C6B89"/>
    <w:rsid w:val="000C7D83"/>
    <w:rsid w:val="000D064E"/>
    <w:rsid w:val="000D0651"/>
    <w:rsid w:val="000D074B"/>
    <w:rsid w:val="000D0750"/>
    <w:rsid w:val="000D076C"/>
    <w:rsid w:val="000D07C8"/>
    <w:rsid w:val="000D0DDE"/>
    <w:rsid w:val="000D170C"/>
    <w:rsid w:val="000D1908"/>
    <w:rsid w:val="000D1BEF"/>
    <w:rsid w:val="000D278C"/>
    <w:rsid w:val="000D2849"/>
    <w:rsid w:val="000D3622"/>
    <w:rsid w:val="000D37CF"/>
    <w:rsid w:val="000D4513"/>
    <w:rsid w:val="000D4F4A"/>
    <w:rsid w:val="000D5EDD"/>
    <w:rsid w:val="000D60E3"/>
    <w:rsid w:val="000D6179"/>
    <w:rsid w:val="000D6860"/>
    <w:rsid w:val="000D695A"/>
    <w:rsid w:val="000D6CDC"/>
    <w:rsid w:val="000D744C"/>
    <w:rsid w:val="000D79F7"/>
    <w:rsid w:val="000D7CE4"/>
    <w:rsid w:val="000D7CEA"/>
    <w:rsid w:val="000E0750"/>
    <w:rsid w:val="000E0776"/>
    <w:rsid w:val="000E0DF3"/>
    <w:rsid w:val="000E0E67"/>
    <w:rsid w:val="000E12B0"/>
    <w:rsid w:val="000E1382"/>
    <w:rsid w:val="000E198B"/>
    <w:rsid w:val="000E1AC5"/>
    <w:rsid w:val="000E215B"/>
    <w:rsid w:val="000E24F0"/>
    <w:rsid w:val="000E258C"/>
    <w:rsid w:val="000E3732"/>
    <w:rsid w:val="000E3A1E"/>
    <w:rsid w:val="000E3D9C"/>
    <w:rsid w:val="000E42D1"/>
    <w:rsid w:val="000E44D5"/>
    <w:rsid w:val="000E5823"/>
    <w:rsid w:val="000E589C"/>
    <w:rsid w:val="000E5BEC"/>
    <w:rsid w:val="000E628E"/>
    <w:rsid w:val="000E64F8"/>
    <w:rsid w:val="000E670A"/>
    <w:rsid w:val="000E7101"/>
    <w:rsid w:val="000E777F"/>
    <w:rsid w:val="000E77D1"/>
    <w:rsid w:val="000E792D"/>
    <w:rsid w:val="000E7B24"/>
    <w:rsid w:val="000E7E98"/>
    <w:rsid w:val="000F0155"/>
    <w:rsid w:val="000F055F"/>
    <w:rsid w:val="000F05F0"/>
    <w:rsid w:val="000F0A80"/>
    <w:rsid w:val="000F1538"/>
    <w:rsid w:val="000F169A"/>
    <w:rsid w:val="000F3010"/>
    <w:rsid w:val="000F493A"/>
    <w:rsid w:val="000F4DDC"/>
    <w:rsid w:val="000F5DBC"/>
    <w:rsid w:val="000F6298"/>
    <w:rsid w:val="000F73A7"/>
    <w:rsid w:val="000F7549"/>
    <w:rsid w:val="000F7B74"/>
    <w:rsid w:val="00100353"/>
    <w:rsid w:val="0010067E"/>
    <w:rsid w:val="001007AA"/>
    <w:rsid w:val="001018FE"/>
    <w:rsid w:val="00101B4C"/>
    <w:rsid w:val="00101D56"/>
    <w:rsid w:val="001027B3"/>
    <w:rsid w:val="001030D1"/>
    <w:rsid w:val="0010341A"/>
    <w:rsid w:val="0010349B"/>
    <w:rsid w:val="001037DA"/>
    <w:rsid w:val="00103AEA"/>
    <w:rsid w:val="00103DA5"/>
    <w:rsid w:val="0010430D"/>
    <w:rsid w:val="00104333"/>
    <w:rsid w:val="0010467A"/>
    <w:rsid w:val="001051C5"/>
    <w:rsid w:val="001063D3"/>
    <w:rsid w:val="001064CB"/>
    <w:rsid w:val="00106FC1"/>
    <w:rsid w:val="00107315"/>
    <w:rsid w:val="00107E71"/>
    <w:rsid w:val="00107EF2"/>
    <w:rsid w:val="00110055"/>
    <w:rsid w:val="00110394"/>
    <w:rsid w:val="00110C92"/>
    <w:rsid w:val="001111FD"/>
    <w:rsid w:val="00111670"/>
    <w:rsid w:val="001118F0"/>
    <w:rsid w:val="00111DC9"/>
    <w:rsid w:val="00112787"/>
    <w:rsid w:val="00112E57"/>
    <w:rsid w:val="00112F79"/>
    <w:rsid w:val="00113404"/>
    <w:rsid w:val="001135AA"/>
    <w:rsid w:val="00113951"/>
    <w:rsid w:val="00114C29"/>
    <w:rsid w:val="00115843"/>
    <w:rsid w:val="00115A78"/>
    <w:rsid w:val="00115D73"/>
    <w:rsid w:val="00115E73"/>
    <w:rsid w:val="00116D36"/>
    <w:rsid w:val="00116D80"/>
    <w:rsid w:val="00116FC2"/>
    <w:rsid w:val="00117107"/>
    <w:rsid w:val="001171D9"/>
    <w:rsid w:val="00117575"/>
    <w:rsid w:val="00117B16"/>
    <w:rsid w:val="00120082"/>
    <w:rsid w:val="001203A8"/>
    <w:rsid w:val="00120A08"/>
    <w:rsid w:val="00120CFF"/>
    <w:rsid w:val="00121FE2"/>
    <w:rsid w:val="001222BC"/>
    <w:rsid w:val="00122450"/>
    <w:rsid w:val="001224C3"/>
    <w:rsid w:val="00122729"/>
    <w:rsid w:val="00122747"/>
    <w:rsid w:val="00122C18"/>
    <w:rsid w:val="00122C95"/>
    <w:rsid w:val="00122DA9"/>
    <w:rsid w:val="00122F66"/>
    <w:rsid w:val="001238E7"/>
    <w:rsid w:val="00123A78"/>
    <w:rsid w:val="00123E17"/>
    <w:rsid w:val="00124151"/>
    <w:rsid w:val="00124A5C"/>
    <w:rsid w:val="0012527F"/>
    <w:rsid w:val="00125D9F"/>
    <w:rsid w:val="00126344"/>
    <w:rsid w:val="00126557"/>
    <w:rsid w:val="0012769E"/>
    <w:rsid w:val="00127B3D"/>
    <w:rsid w:val="00127C11"/>
    <w:rsid w:val="00130BAA"/>
    <w:rsid w:val="00130C65"/>
    <w:rsid w:val="00131E21"/>
    <w:rsid w:val="00132D33"/>
    <w:rsid w:val="00132E10"/>
    <w:rsid w:val="00133231"/>
    <w:rsid w:val="0013340B"/>
    <w:rsid w:val="00134718"/>
    <w:rsid w:val="00134775"/>
    <w:rsid w:val="0013549D"/>
    <w:rsid w:val="00136104"/>
    <w:rsid w:val="001367A9"/>
    <w:rsid w:val="00137651"/>
    <w:rsid w:val="00137C0E"/>
    <w:rsid w:val="00137CF7"/>
    <w:rsid w:val="00140182"/>
    <w:rsid w:val="00140C7A"/>
    <w:rsid w:val="00142864"/>
    <w:rsid w:val="00143018"/>
    <w:rsid w:val="0014314F"/>
    <w:rsid w:val="00143227"/>
    <w:rsid w:val="001439F3"/>
    <w:rsid w:val="00144051"/>
    <w:rsid w:val="00144D91"/>
    <w:rsid w:val="00144E3D"/>
    <w:rsid w:val="001450CB"/>
    <w:rsid w:val="00145794"/>
    <w:rsid w:val="00145915"/>
    <w:rsid w:val="00145B89"/>
    <w:rsid w:val="00146382"/>
    <w:rsid w:val="0014720E"/>
    <w:rsid w:val="001474C1"/>
    <w:rsid w:val="001477D9"/>
    <w:rsid w:val="001504A1"/>
    <w:rsid w:val="001504B3"/>
    <w:rsid w:val="00150DE9"/>
    <w:rsid w:val="001514AE"/>
    <w:rsid w:val="00151508"/>
    <w:rsid w:val="00152613"/>
    <w:rsid w:val="00152AA2"/>
    <w:rsid w:val="00152ADE"/>
    <w:rsid w:val="00152F98"/>
    <w:rsid w:val="0015386C"/>
    <w:rsid w:val="00153E9D"/>
    <w:rsid w:val="00154D5A"/>
    <w:rsid w:val="001555DA"/>
    <w:rsid w:val="00155EE4"/>
    <w:rsid w:val="001560A5"/>
    <w:rsid w:val="0015633F"/>
    <w:rsid w:val="001567DB"/>
    <w:rsid w:val="0015699D"/>
    <w:rsid w:val="00156BE2"/>
    <w:rsid w:val="00157F89"/>
    <w:rsid w:val="00160259"/>
    <w:rsid w:val="00160380"/>
    <w:rsid w:val="0016068C"/>
    <w:rsid w:val="00160690"/>
    <w:rsid w:val="00160AF3"/>
    <w:rsid w:val="001617C0"/>
    <w:rsid w:val="00161C07"/>
    <w:rsid w:val="00161E08"/>
    <w:rsid w:val="00162D07"/>
    <w:rsid w:val="00162D1E"/>
    <w:rsid w:val="00163637"/>
    <w:rsid w:val="0016426A"/>
    <w:rsid w:val="001645B8"/>
    <w:rsid w:val="00164954"/>
    <w:rsid w:val="00164ACE"/>
    <w:rsid w:val="0016525C"/>
    <w:rsid w:val="00165BC2"/>
    <w:rsid w:val="0016609F"/>
    <w:rsid w:val="00166364"/>
    <w:rsid w:val="001663F9"/>
    <w:rsid w:val="00166FEA"/>
    <w:rsid w:val="001675C1"/>
    <w:rsid w:val="001677A2"/>
    <w:rsid w:val="00167B3F"/>
    <w:rsid w:val="001700CE"/>
    <w:rsid w:val="001707F4"/>
    <w:rsid w:val="00170A71"/>
    <w:rsid w:val="00172219"/>
    <w:rsid w:val="001728EF"/>
    <w:rsid w:val="00172A27"/>
    <w:rsid w:val="0017303D"/>
    <w:rsid w:val="00173B29"/>
    <w:rsid w:val="00173B8E"/>
    <w:rsid w:val="001740B4"/>
    <w:rsid w:val="0017467E"/>
    <w:rsid w:val="001746AB"/>
    <w:rsid w:val="001756CA"/>
    <w:rsid w:val="00176EAD"/>
    <w:rsid w:val="00177641"/>
    <w:rsid w:val="00177975"/>
    <w:rsid w:val="00180B29"/>
    <w:rsid w:val="00180B97"/>
    <w:rsid w:val="0018132D"/>
    <w:rsid w:val="00181630"/>
    <w:rsid w:val="0018209B"/>
    <w:rsid w:val="00182D41"/>
    <w:rsid w:val="00183028"/>
    <w:rsid w:val="0018337E"/>
    <w:rsid w:val="00183597"/>
    <w:rsid w:val="00183714"/>
    <w:rsid w:val="00183A50"/>
    <w:rsid w:val="00183A8B"/>
    <w:rsid w:val="00185155"/>
    <w:rsid w:val="0018544D"/>
    <w:rsid w:val="00185A85"/>
    <w:rsid w:val="00185CFB"/>
    <w:rsid w:val="00186CFD"/>
    <w:rsid w:val="0018720B"/>
    <w:rsid w:val="001873E9"/>
    <w:rsid w:val="001878D1"/>
    <w:rsid w:val="00187ADE"/>
    <w:rsid w:val="00187CA4"/>
    <w:rsid w:val="001900E9"/>
    <w:rsid w:val="0019289E"/>
    <w:rsid w:val="0019294A"/>
    <w:rsid w:val="00192FC8"/>
    <w:rsid w:val="00192FF2"/>
    <w:rsid w:val="00193066"/>
    <w:rsid w:val="001930C0"/>
    <w:rsid w:val="00193AB5"/>
    <w:rsid w:val="00193F44"/>
    <w:rsid w:val="001940E8"/>
    <w:rsid w:val="00194A8F"/>
    <w:rsid w:val="0019551D"/>
    <w:rsid w:val="0019592B"/>
    <w:rsid w:val="001959A1"/>
    <w:rsid w:val="001961B7"/>
    <w:rsid w:val="0019708D"/>
    <w:rsid w:val="00197A7F"/>
    <w:rsid w:val="00197F67"/>
    <w:rsid w:val="001A0D4A"/>
    <w:rsid w:val="001A1570"/>
    <w:rsid w:val="001A1EDC"/>
    <w:rsid w:val="001A1FD9"/>
    <w:rsid w:val="001A23CD"/>
    <w:rsid w:val="001A2BB5"/>
    <w:rsid w:val="001A2E35"/>
    <w:rsid w:val="001A30AB"/>
    <w:rsid w:val="001A332C"/>
    <w:rsid w:val="001A39ED"/>
    <w:rsid w:val="001A3D40"/>
    <w:rsid w:val="001A4167"/>
    <w:rsid w:val="001A4715"/>
    <w:rsid w:val="001A480D"/>
    <w:rsid w:val="001A49E5"/>
    <w:rsid w:val="001A51EF"/>
    <w:rsid w:val="001A5300"/>
    <w:rsid w:val="001A5444"/>
    <w:rsid w:val="001A65EA"/>
    <w:rsid w:val="001A671D"/>
    <w:rsid w:val="001A6FD9"/>
    <w:rsid w:val="001A7176"/>
    <w:rsid w:val="001A792B"/>
    <w:rsid w:val="001A7A0C"/>
    <w:rsid w:val="001A7DAA"/>
    <w:rsid w:val="001B1159"/>
    <w:rsid w:val="001B1883"/>
    <w:rsid w:val="001B1908"/>
    <w:rsid w:val="001B222E"/>
    <w:rsid w:val="001B3546"/>
    <w:rsid w:val="001B398A"/>
    <w:rsid w:val="001B4065"/>
    <w:rsid w:val="001B40A6"/>
    <w:rsid w:val="001B4A2B"/>
    <w:rsid w:val="001B6BFE"/>
    <w:rsid w:val="001B7140"/>
    <w:rsid w:val="001B76FF"/>
    <w:rsid w:val="001B79B5"/>
    <w:rsid w:val="001C04D3"/>
    <w:rsid w:val="001C11C5"/>
    <w:rsid w:val="001C144B"/>
    <w:rsid w:val="001C17E9"/>
    <w:rsid w:val="001C186C"/>
    <w:rsid w:val="001C1A54"/>
    <w:rsid w:val="001C235C"/>
    <w:rsid w:val="001C23F9"/>
    <w:rsid w:val="001C248F"/>
    <w:rsid w:val="001C28B2"/>
    <w:rsid w:val="001C2D12"/>
    <w:rsid w:val="001C3ABF"/>
    <w:rsid w:val="001C4006"/>
    <w:rsid w:val="001C427C"/>
    <w:rsid w:val="001C5039"/>
    <w:rsid w:val="001C5069"/>
    <w:rsid w:val="001C5AD6"/>
    <w:rsid w:val="001C5B0B"/>
    <w:rsid w:val="001C6F97"/>
    <w:rsid w:val="001C722F"/>
    <w:rsid w:val="001D08FB"/>
    <w:rsid w:val="001D1321"/>
    <w:rsid w:val="001D1919"/>
    <w:rsid w:val="001D1DD5"/>
    <w:rsid w:val="001D22C4"/>
    <w:rsid w:val="001D236F"/>
    <w:rsid w:val="001D2437"/>
    <w:rsid w:val="001D2590"/>
    <w:rsid w:val="001D2747"/>
    <w:rsid w:val="001D2FAA"/>
    <w:rsid w:val="001D36C2"/>
    <w:rsid w:val="001D3B29"/>
    <w:rsid w:val="001D3D54"/>
    <w:rsid w:val="001D579A"/>
    <w:rsid w:val="001D6A13"/>
    <w:rsid w:val="001D6EDB"/>
    <w:rsid w:val="001D7485"/>
    <w:rsid w:val="001D765A"/>
    <w:rsid w:val="001D797A"/>
    <w:rsid w:val="001D7C8A"/>
    <w:rsid w:val="001E0D21"/>
    <w:rsid w:val="001E13C1"/>
    <w:rsid w:val="001E196A"/>
    <w:rsid w:val="001E1B37"/>
    <w:rsid w:val="001E1CC2"/>
    <w:rsid w:val="001E1F5B"/>
    <w:rsid w:val="001E23AC"/>
    <w:rsid w:val="001E2479"/>
    <w:rsid w:val="001E2736"/>
    <w:rsid w:val="001E32B1"/>
    <w:rsid w:val="001E4240"/>
    <w:rsid w:val="001E42D9"/>
    <w:rsid w:val="001E4382"/>
    <w:rsid w:val="001E4B5A"/>
    <w:rsid w:val="001E528C"/>
    <w:rsid w:val="001E5634"/>
    <w:rsid w:val="001E5D6F"/>
    <w:rsid w:val="001E61BB"/>
    <w:rsid w:val="001E653B"/>
    <w:rsid w:val="001E6635"/>
    <w:rsid w:val="001E682C"/>
    <w:rsid w:val="001E6EAF"/>
    <w:rsid w:val="001E6F58"/>
    <w:rsid w:val="001E71C1"/>
    <w:rsid w:val="001E7C2A"/>
    <w:rsid w:val="001E7DAF"/>
    <w:rsid w:val="001F0482"/>
    <w:rsid w:val="001F04AA"/>
    <w:rsid w:val="001F096A"/>
    <w:rsid w:val="001F0A13"/>
    <w:rsid w:val="001F1A32"/>
    <w:rsid w:val="001F270B"/>
    <w:rsid w:val="001F2B97"/>
    <w:rsid w:val="001F2E5D"/>
    <w:rsid w:val="001F3676"/>
    <w:rsid w:val="001F3BA2"/>
    <w:rsid w:val="001F3D01"/>
    <w:rsid w:val="001F4C94"/>
    <w:rsid w:val="001F58AC"/>
    <w:rsid w:val="001F59CE"/>
    <w:rsid w:val="001F5C56"/>
    <w:rsid w:val="001F5CEF"/>
    <w:rsid w:val="001F7029"/>
    <w:rsid w:val="001F7256"/>
    <w:rsid w:val="001F7FEE"/>
    <w:rsid w:val="002002AE"/>
    <w:rsid w:val="0020043E"/>
    <w:rsid w:val="00201785"/>
    <w:rsid w:val="00201AF2"/>
    <w:rsid w:val="00201B99"/>
    <w:rsid w:val="00202EA2"/>
    <w:rsid w:val="00203416"/>
    <w:rsid w:val="00203941"/>
    <w:rsid w:val="00203A04"/>
    <w:rsid w:val="00204E0B"/>
    <w:rsid w:val="00204E67"/>
    <w:rsid w:val="00205116"/>
    <w:rsid w:val="00205144"/>
    <w:rsid w:val="0020516F"/>
    <w:rsid w:val="00205386"/>
    <w:rsid w:val="002055B2"/>
    <w:rsid w:val="002057A4"/>
    <w:rsid w:val="002057CD"/>
    <w:rsid w:val="002057EA"/>
    <w:rsid w:val="00205EF9"/>
    <w:rsid w:val="002060B8"/>
    <w:rsid w:val="00206646"/>
    <w:rsid w:val="00206871"/>
    <w:rsid w:val="00206A28"/>
    <w:rsid w:val="00206CBE"/>
    <w:rsid w:val="002103CC"/>
    <w:rsid w:val="00210489"/>
    <w:rsid w:val="002109D1"/>
    <w:rsid w:val="00211B6D"/>
    <w:rsid w:val="002126F3"/>
    <w:rsid w:val="00212787"/>
    <w:rsid w:val="00212BCB"/>
    <w:rsid w:val="00212F42"/>
    <w:rsid w:val="002139A0"/>
    <w:rsid w:val="002149C1"/>
    <w:rsid w:val="00214B6C"/>
    <w:rsid w:val="00215C84"/>
    <w:rsid w:val="0021647D"/>
    <w:rsid w:val="00216D5A"/>
    <w:rsid w:val="00217561"/>
    <w:rsid w:val="0021761B"/>
    <w:rsid w:val="00217AA2"/>
    <w:rsid w:val="002202E7"/>
    <w:rsid w:val="00220A57"/>
    <w:rsid w:val="002213AB"/>
    <w:rsid w:val="002213C6"/>
    <w:rsid w:val="002218C0"/>
    <w:rsid w:val="00222448"/>
    <w:rsid w:val="00222A53"/>
    <w:rsid w:val="00222C4A"/>
    <w:rsid w:val="00223C8E"/>
    <w:rsid w:val="002240E8"/>
    <w:rsid w:val="0022432A"/>
    <w:rsid w:val="00224866"/>
    <w:rsid w:val="002252C9"/>
    <w:rsid w:val="00225A4C"/>
    <w:rsid w:val="00226085"/>
    <w:rsid w:val="00226C08"/>
    <w:rsid w:val="00226D33"/>
    <w:rsid w:val="00227094"/>
    <w:rsid w:val="0022798A"/>
    <w:rsid w:val="002279CC"/>
    <w:rsid w:val="00230141"/>
    <w:rsid w:val="002303D6"/>
    <w:rsid w:val="00230690"/>
    <w:rsid w:val="00230967"/>
    <w:rsid w:val="002318D7"/>
    <w:rsid w:val="00231F46"/>
    <w:rsid w:val="00232106"/>
    <w:rsid w:val="00232735"/>
    <w:rsid w:val="002346BB"/>
    <w:rsid w:val="002350F7"/>
    <w:rsid w:val="002356EB"/>
    <w:rsid w:val="002357BF"/>
    <w:rsid w:val="00235B26"/>
    <w:rsid w:val="00235FE8"/>
    <w:rsid w:val="00236473"/>
    <w:rsid w:val="002369D6"/>
    <w:rsid w:val="00236A1E"/>
    <w:rsid w:val="00236BDA"/>
    <w:rsid w:val="0023788D"/>
    <w:rsid w:val="0024116C"/>
    <w:rsid w:val="00241383"/>
    <w:rsid w:val="00241ADC"/>
    <w:rsid w:val="002422CA"/>
    <w:rsid w:val="002423B7"/>
    <w:rsid w:val="002428F3"/>
    <w:rsid w:val="002430B3"/>
    <w:rsid w:val="00243295"/>
    <w:rsid w:val="002439E8"/>
    <w:rsid w:val="00243BC1"/>
    <w:rsid w:val="00244544"/>
    <w:rsid w:val="0024476A"/>
    <w:rsid w:val="002449B6"/>
    <w:rsid w:val="00244D7C"/>
    <w:rsid w:val="00245349"/>
    <w:rsid w:val="002453D8"/>
    <w:rsid w:val="0024568D"/>
    <w:rsid w:val="002456DF"/>
    <w:rsid w:val="002458C2"/>
    <w:rsid w:val="00245AB9"/>
    <w:rsid w:val="00245E9F"/>
    <w:rsid w:val="002467E5"/>
    <w:rsid w:val="00246C72"/>
    <w:rsid w:val="0024709A"/>
    <w:rsid w:val="00250935"/>
    <w:rsid w:val="00250ACF"/>
    <w:rsid w:val="00250F3E"/>
    <w:rsid w:val="002521FB"/>
    <w:rsid w:val="002522EF"/>
    <w:rsid w:val="00255732"/>
    <w:rsid w:val="0025597B"/>
    <w:rsid w:val="00256284"/>
    <w:rsid w:val="0025633F"/>
    <w:rsid w:val="00256386"/>
    <w:rsid w:val="00256932"/>
    <w:rsid w:val="00256BB6"/>
    <w:rsid w:val="002572F8"/>
    <w:rsid w:val="0025774D"/>
    <w:rsid w:val="00257B28"/>
    <w:rsid w:val="00257F0E"/>
    <w:rsid w:val="002611D4"/>
    <w:rsid w:val="002612E0"/>
    <w:rsid w:val="00261D6B"/>
    <w:rsid w:val="002625AB"/>
    <w:rsid w:val="00262A42"/>
    <w:rsid w:val="00262DBC"/>
    <w:rsid w:val="00263589"/>
    <w:rsid w:val="00264132"/>
    <w:rsid w:val="002645AB"/>
    <w:rsid w:val="00264630"/>
    <w:rsid w:val="002647E3"/>
    <w:rsid w:val="00265720"/>
    <w:rsid w:val="00266BE1"/>
    <w:rsid w:val="002670BC"/>
    <w:rsid w:val="00267F3A"/>
    <w:rsid w:val="00267F90"/>
    <w:rsid w:val="0027077B"/>
    <w:rsid w:val="002708D2"/>
    <w:rsid w:val="0027148D"/>
    <w:rsid w:val="0027197E"/>
    <w:rsid w:val="00271DAC"/>
    <w:rsid w:val="00271EED"/>
    <w:rsid w:val="00272873"/>
    <w:rsid w:val="00272C1D"/>
    <w:rsid w:val="00272FB1"/>
    <w:rsid w:val="00273523"/>
    <w:rsid w:val="0027355A"/>
    <w:rsid w:val="00273C38"/>
    <w:rsid w:val="0027425B"/>
    <w:rsid w:val="00274C9F"/>
    <w:rsid w:val="0027522A"/>
    <w:rsid w:val="0027593F"/>
    <w:rsid w:val="00275C81"/>
    <w:rsid w:val="00275CA0"/>
    <w:rsid w:val="00276BE4"/>
    <w:rsid w:val="002770A2"/>
    <w:rsid w:val="0027719A"/>
    <w:rsid w:val="0027730E"/>
    <w:rsid w:val="00277C4E"/>
    <w:rsid w:val="00277D53"/>
    <w:rsid w:val="00280013"/>
    <w:rsid w:val="00280175"/>
    <w:rsid w:val="002803E7"/>
    <w:rsid w:val="00280855"/>
    <w:rsid w:val="00280B5D"/>
    <w:rsid w:val="00281CE0"/>
    <w:rsid w:val="002820A3"/>
    <w:rsid w:val="00282163"/>
    <w:rsid w:val="00282398"/>
    <w:rsid w:val="002825E6"/>
    <w:rsid w:val="0028346B"/>
    <w:rsid w:val="00283705"/>
    <w:rsid w:val="00283F93"/>
    <w:rsid w:val="00285453"/>
    <w:rsid w:val="0028546A"/>
    <w:rsid w:val="002856B9"/>
    <w:rsid w:val="002856F0"/>
    <w:rsid w:val="00285F1D"/>
    <w:rsid w:val="00286C64"/>
    <w:rsid w:val="002874D0"/>
    <w:rsid w:val="00287676"/>
    <w:rsid w:val="0029039C"/>
    <w:rsid w:val="00290ABA"/>
    <w:rsid w:val="00290BE5"/>
    <w:rsid w:val="00290D6B"/>
    <w:rsid w:val="00291176"/>
    <w:rsid w:val="002912CC"/>
    <w:rsid w:val="00291A16"/>
    <w:rsid w:val="00291D21"/>
    <w:rsid w:val="0029224F"/>
    <w:rsid w:val="00292A61"/>
    <w:rsid w:val="00293700"/>
    <w:rsid w:val="0029388F"/>
    <w:rsid w:val="002938AF"/>
    <w:rsid w:val="002938DC"/>
    <w:rsid w:val="00293E57"/>
    <w:rsid w:val="002943FB"/>
    <w:rsid w:val="0029488F"/>
    <w:rsid w:val="00295C7C"/>
    <w:rsid w:val="00296159"/>
    <w:rsid w:val="0029652E"/>
    <w:rsid w:val="002971B4"/>
    <w:rsid w:val="002972CC"/>
    <w:rsid w:val="002978BE"/>
    <w:rsid w:val="002A02F8"/>
    <w:rsid w:val="002A049E"/>
    <w:rsid w:val="002A0779"/>
    <w:rsid w:val="002A128B"/>
    <w:rsid w:val="002A12DD"/>
    <w:rsid w:val="002A17BD"/>
    <w:rsid w:val="002A181E"/>
    <w:rsid w:val="002A19B5"/>
    <w:rsid w:val="002A4499"/>
    <w:rsid w:val="002A5698"/>
    <w:rsid w:val="002A5AFF"/>
    <w:rsid w:val="002A6091"/>
    <w:rsid w:val="002A6506"/>
    <w:rsid w:val="002A654F"/>
    <w:rsid w:val="002A6C0E"/>
    <w:rsid w:val="002A6C33"/>
    <w:rsid w:val="002A6F70"/>
    <w:rsid w:val="002A79EC"/>
    <w:rsid w:val="002B0030"/>
    <w:rsid w:val="002B0456"/>
    <w:rsid w:val="002B067F"/>
    <w:rsid w:val="002B0821"/>
    <w:rsid w:val="002B105D"/>
    <w:rsid w:val="002B2447"/>
    <w:rsid w:val="002B2590"/>
    <w:rsid w:val="002B3295"/>
    <w:rsid w:val="002B339A"/>
    <w:rsid w:val="002B364D"/>
    <w:rsid w:val="002B3B2E"/>
    <w:rsid w:val="002B4478"/>
    <w:rsid w:val="002B50ED"/>
    <w:rsid w:val="002B5195"/>
    <w:rsid w:val="002B537B"/>
    <w:rsid w:val="002B584E"/>
    <w:rsid w:val="002B6275"/>
    <w:rsid w:val="002B656B"/>
    <w:rsid w:val="002B69D4"/>
    <w:rsid w:val="002B6C2B"/>
    <w:rsid w:val="002B6EEA"/>
    <w:rsid w:val="002B70B2"/>
    <w:rsid w:val="002B72B4"/>
    <w:rsid w:val="002C003D"/>
    <w:rsid w:val="002C003E"/>
    <w:rsid w:val="002C06A5"/>
    <w:rsid w:val="002C0DD8"/>
    <w:rsid w:val="002C0E8B"/>
    <w:rsid w:val="002C0FC0"/>
    <w:rsid w:val="002C130C"/>
    <w:rsid w:val="002C14D0"/>
    <w:rsid w:val="002C20A5"/>
    <w:rsid w:val="002C255A"/>
    <w:rsid w:val="002C2BE8"/>
    <w:rsid w:val="002C2FAB"/>
    <w:rsid w:val="002C315A"/>
    <w:rsid w:val="002C320D"/>
    <w:rsid w:val="002C3345"/>
    <w:rsid w:val="002C4381"/>
    <w:rsid w:val="002C567D"/>
    <w:rsid w:val="002C5C47"/>
    <w:rsid w:val="002C6ACB"/>
    <w:rsid w:val="002C6C9B"/>
    <w:rsid w:val="002C6E40"/>
    <w:rsid w:val="002C6F5E"/>
    <w:rsid w:val="002C7088"/>
    <w:rsid w:val="002C74E4"/>
    <w:rsid w:val="002D1902"/>
    <w:rsid w:val="002D1A86"/>
    <w:rsid w:val="002D1D13"/>
    <w:rsid w:val="002D2005"/>
    <w:rsid w:val="002D2474"/>
    <w:rsid w:val="002D2A2F"/>
    <w:rsid w:val="002D2BC5"/>
    <w:rsid w:val="002D4039"/>
    <w:rsid w:val="002D46FF"/>
    <w:rsid w:val="002D509A"/>
    <w:rsid w:val="002D5C6F"/>
    <w:rsid w:val="002D65A1"/>
    <w:rsid w:val="002D6B19"/>
    <w:rsid w:val="002D718D"/>
    <w:rsid w:val="002D7E99"/>
    <w:rsid w:val="002E021D"/>
    <w:rsid w:val="002E07D4"/>
    <w:rsid w:val="002E08FB"/>
    <w:rsid w:val="002E0B48"/>
    <w:rsid w:val="002E184E"/>
    <w:rsid w:val="002E32D3"/>
    <w:rsid w:val="002E38A3"/>
    <w:rsid w:val="002E38BD"/>
    <w:rsid w:val="002E498C"/>
    <w:rsid w:val="002E49E4"/>
    <w:rsid w:val="002E4B3B"/>
    <w:rsid w:val="002E4C39"/>
    <w:rsid w:val="002E4DF5"/>
    <w:rsid w:val="002E4FF5"/>
    <w:rsid w:val="002E5D77"/>
    <w:rsid w:val="002E712E"/>
    <w:rsid w:val="002E7B78"/>
    <w:rsid w:val="002F0182"/>
    <w:rsid w:val="002F02CA"/>
    <w:rsid w:val="002F07C0"/>
    <w:rsid w:val="002F1763"/>
    <w:rsid w:val="002F1F6C"/>
    <w:rsid w:val="002F242F"/>
    <w:rsid w:val="002F269C"/>
    <w:rsid w:val="002F5108"/>
    <w:rsid w:val="002F54E7"/>
    <w:rsid w:val="002F742B"/>
    <w:rsid w:val="002F7B0B"/>
    <w:rsid w:val="002F7B95"/>
    <w:rsid w:val="00300395"/>
    <w:rsid w:val="00300442"/>
    <w:rsid w:val="00300877"/>
    <w:rsid w:val="00301091"/>
    <w:rsid w:val="003010C6"/>
    <w:rsid w:val="0030169C"/>
    <w:rsid w:val="00301721"/>
    <w:rsid w:val="00301733"/>
    <w:rsid w:val="0030198E"/>
    <w:rsid w:val="00301D20"/>
    <w:rsid w:val="0030224E"/>
    <w:rsid w:val="00302472"/>
    <w:rsid w:val="003026AD"/>
    <w:rsid w:val="00302A56"/>
    <w:rsid w:val="00303692"/>
    <w:rsid w:val="0030458E"/>
    <w:rsid w:val="00304ECB"/>
    <w:rsid w:val="0030531C"/>
    <w:rsid w:val="00305548"/>
    <w:rsid w:val="00305FF6"/>
    <w:rsid w:val="003068AF"/>
    <w:rsid w:val="0031014E"/>
    <w:rsid w:val="003103AE"/>
    <w:rsid w:val="0031089A"/>
    <w:rsid w:val="00310CFC"/>
    <w:rsid w:val="0031177C"/>
    <w:rsid w:val="00311BB6"/>
    <w:rsid w:val="00311F05"/>
    <w:rsid w:val="00312481"/>
    <w:rsid w:val="00312C85"/>
    <w:rsid w:val="00313682"/>
    <w:rsid w:val="00313CEA"/>
    <w:rsid w:val="00313DC3"/>
    <w:rsid w:val="00313E24"/>
    <w:rsid w:val="00313EE2"/>
    <w:rsid w:val="00314547"/>
    <w:rsid w:val="003145D3"/>
    <w:rsid w:val="00314A21"/>
    <w:rsid w:val="00314C35"/>
    <w:rsid w:val="00314D54"/>
    <w:rsid w:val="00315565"/>
    <w:rsid w:val="0031611A"/>
    <w:rsid w:val="00316590"/>
    <w:rsid w:val="003201AD"/>
    <w:rsid w:val="00320A16"/>
    <w:rsid w:val="003210B2"/>
    <w:rsid w:val="00322F0A"/>
    <w:rsid w:val="003230F0"/>
    <w:rsid w:val="003234F8"/>
    <w:rsid w:val="003235E6"/>
    <w:rsid w:val="00323BB9"/>
    <w:rsid w:val="00323F3C"/>
    <w:rsid w:val="00324183"/>
    <w:rsid w:val="003243AB"/>
    <w:rsid w:val="00324625"/>
    <w:rsid w:val="003248AE"/>
    <w:rsid w:val="00324E00"/>
    <w:rsid w:val="00324E2E"/>
    <w:rsid w:val="00324EC2"/>
    <w:rsid w:val="00325713"/>
    <w:rsid w:val="00325C85"/>
    <w:rsid w:val="00325D30"/>
    <w:rsid w:val="00325EC6"/>
    <w:rsid w:val="0032650A"/>
    <w:rsid w:val="00326860"/>
    <w:rsid w:val="00326916"/>
    <w:rsid w:val="00326AAA"/>
    <w:rsid w:val="00327243"/>
    <w:rsid w:val="003279D5"/>
    <w:rsid w:val="00327EF2"/>
    <w:rsid w:val="003300AF"/>
    <w:rsid w:val="0033054F"/>
    <w:rsid w:val="00331062"/>
    <w:rsid w:val="003313D5"/>
    <w:rsid w:val="003317E0"/>
    <w:rsid w:val="00332329"/>
    <w:rsid w:val="003325D5"/>
    <w:rsid w:val="00332CC4"/>
    <w:rsid w:val="0033394B"/>
    <w:rsid w:val="00334606"/>
    <w:rsid w:val="0033573D"/>
    <w:rsid w:val="00335F55"/>
    <w:rsid w:val="00336499"/>
    <w:rsid w:val="00337302"/>
    <w:rsid w:val="0033731A"/>
    <w:rsid w:val="0033751E"/>
    <w:rsid w:val="00337544"/>
    <w:rsid w:val="003404F4"/>
    <w:rsid w:val="0034099D"/>
    <w:rsid w:val="00340EFC"/>
    <w:rsid w:val="00341195"/>
    <w:rsid w:val="00341588"/>
    <w:rsid w:val="003417AD"/>
    <w:rsid w:val="00341B9E"/>
    <w:rsid w:val="003422D2"/>
    <w:rsid w:val="00342828"/>
    <w:rsid w:val="00342EDD"/>
    <w:rsid w:val="00342F04"/>
    <w:rsid w:val="00343CEF"/>
    <w:rsid w:val="003444B7"/>
    <w:rsid w:val="00344694"/>
    <w:rsid w:val="00344A9B"/>
    <w:rsid w:val="00344FA8"/>
    <w:rsid w:val="003467C3"/>
    <w:rsid w:val="003468D7"/>
    <w:rsid w:val="00346ABF"/>
    <w:rsid w:val="00346C4A"/>
    <w:rsid w:val="00346CE6"/>
    <w:rsid w:val="00346CFF"/>
    <w:rsid w:val="00347587"/>
    <w:rsid w:val="00347FB4"/>
    <w:rsid w:val="00350105"/>
    <w:rsid w:val="00350BE0"/>
    <w:rsid w:val="003519DA"/>
    <w:rsid w:val="00351F1C"/>
    <w:rsid w:val="0035231C"/>
    <w:rsid w:val="00352937"/>
    <w:rsid w:val="00352997"/>
    <w:rsid w:val="00353558"/>
    <w:rsid w:val="00353571"/>
    <w:rsid w:val="003535AD"/>
    <w:rsid w:val="0035442F"/>
    <w:rsid w:val="0035544E"/>
    <w:rsid w:val="003554DD"/>
    <w:rsid w:val="00357958"/>
    <w:rsid w:val="00360709"/>
    <w:rsid w:val="00360734"/>
    <w:rsid w:val="00360AE4"/>
    <w:rsid w:val="00360CEC"/>
    <w:rsid w:val="00360E53"/>
    <w:rsid w:val="00360EEA"/>
    <w:rsid w:val="003611EA"/>
    <w:rsid w:val="0036140F"/>
    <w:rsid w:val="00361637"/>
    <w:rsid w:val="00362A69"/>
    <w:rsid w:val="00363219"/>
    <w:rsid w:val="00363296"/>
    <w:rsid w:val="003638FD"/>
    <w:rsid w:val="00363AF5"/>
    <w:rsid w:val="00364B22"/>
    <w:rsid w:val="00364CDF"/>
    <w:rsid w:val="00364EA6"/>
    <w:rsid w:val="00364EB3"/>
    <w:rsid w:val="00364EF4"/>
    <w:rsid w:val="003662D9"/>
    <w:rsid w:val="00366920"/>
    <w:rsid w:val="00367557"/>
    <w:rsid w:val="003678ED"/>
    <w:rsid w:val="00367FFD"/>
    <w:rsid w:val="0037098C"/>
    <w:rsid w:val="00371AF6"/>
    <w:rsid w:val="00371B56"/>
    <w:rsid w:val="00371EAA"/>
    <w:rsid w:val="00371EE4"/>
    <w:rsid w:val="00372125"/>
    <w:rsid w:val="00372322"/>
    <w:rsid w:val="00372B5C"/>
    <w:rsid w:val="00372D10"/>
    <w:rsid w:val="00373F02"/>
    <w:rsid w:val="003742CA"/>
    <w:rsid w:val="003748EB"/>
    <w:rsid w:val="00374EA0"/>
    <w:rsid w:val="0037558F"/>
    <w:rsid w:val="00375994"/>
    <w:rsid w:val="00375B2F"/>
    <w:rsid w:val="00375C9B"/>
    <w:rsid w:val="00375F55"/>
    <w:rsid w:val="003760D1"/>
    <w:rsid w:val="0037643B"/>
    <w:rsid w:val="0037657F"/>
    <w:rsid w:val="0037699A"/>
    <w:rsid w:val="00377217"/>
    <w:rsid w:val="003772C1"/>
    <w:rsid w:val="00377460"/>
    <w:rsid w:val="0037779E"/>
    <w:rsid w:val="00377C7B"/>
    <w:rsid w:val="0038085A"/>
    <w:rsid w:val="00380B7A"/>
    <w:rsid w:val="00380BD9"/>
    <w:rsid w:val="0038110F"/>
    <w:rsid w:val="00381363"/>
    <w:rsid w:val="0038152E"/>
    <w:rsid w:val="003816C2"/>
    <w:rsid w:val="00381837"/>
    <w:rsid w:val="00381D7E"/>
    <w:rsid w:val="00382E5B"/>
    <w:rsid w:val="00382FEF"/>
    <w:rsid w:val="00383258"/>
    <w:rsid w:val="003844C2"/>
    <w:rsid w:val="00384748"/>
    <w:rsid w:val="00384C83"/>
    <w:rsid w:val="003858B6"/>
    <w:rsid w:val="00386724"/>
    <w:rsid w:val="0038680F"/>
    <w:rsid w:val="00386A5F"/>
    <w:rsid w:val="00386D56"/>
    <w:rsid w:val="00387A94"/>
    <w:rsid w:val="00387AFC"/>
    <w:rsid w:val="003902A7"/>
    <w:rsid w:val="00390EA9"/>
    <w:rsid w:val="003911B8"/>
    <w:rsid w:val="00391819"/>
    <w:rsid w:val="00391C54"/>
    <w:rsid w:val="00391E52"/>
    <w:rsid w:val="003920A6"/>
    <w:rsid w:val="00392959"/>
    <w:rsid w:val="003935E1"/>
    <w:rsid w:val="0039392B"/>
    <w:rsid w:val="00395816"/>
    <w:rsid w:val="00395855"/>
    <w:rsid w:val="00396092"/>
    <w:rsid w:val="00396E2B"/>
    <w:rsid w:val="003975F4"/>
    <w:rsid w:val="003A0498"/>
    <w:rsid w:val="003A054E"/>
    <w:rsid w:val="003A146D"/>
    <w:rsid w:val="003A15F8"/>
    <w:rsid w:val="003A2359"/>
    <w:rsid w:val="003A23D2"/>
    <w:rsid w:val="003A2522"/>
    <w:rsid w:val="003A291C"/>
    <w:rsid w:val="003A2B45"/>
    <w:rsid w:val="003A3C8A"/>
    <w:rsid w:val="003A4194"/>
    <w:rsid w:val="003A487B"/>
    <w:rsid w:val="003A4EB6"/>
    <w:rsid w:val="003A5334"/>
    <w:rsid w:val="003A566C"/>
    <w:rsid w:val="003A593B"/>
    <w:rsid w:val="003A63C3"/>
    <w:rsid w:val="003A658A"/>
    <w:rsid w:val="003A69DC"/>
    <w:rsid w:val="003A6FD9"/>
    <w:rsid w:val="003A73D4"/>
    <w:rsid w:val="003A773E"/>
    <w:rsid w:val="003A7781"/>
    <w:rsid w:val="003B0236"/>
    <w:rsid w:val="003B0865"/>
    <w:rsid w:val="003B09D5"/>
    <w:rsid w:val="003B0A32"/>
    <w:rsid w:val="003B0B46"/>
    <w:rsid w:val="003B1232"/>
    <w:rsid w:val="003B1E6C"/>
    <w:rsid w:val="003B3297"/>
    <w:rsid w:val="003B3953"/>
    <w:rsid w:val="003B3B97"/>
    <w:rsid w:val="003B3C58"/>
    <w:rsid w:val="003B4C8C"/>
    <w:rsid w:val="003B4D52"/>
    <w:rsid w:val="003B56E5"/>
    <w:rsid w:val="003B59D7"/>
    <w:rsid w:val="003B5A40"/>
    <w:rsid w:val="003B628C"/>
    <w:rsid w:val="003B774B"/>
    <w:rsid w:val="003B7B40"/>
    <w:rsid w:val="003B7EBE"/>
    <w:rsid w:val="003C0483"/>
    <w:rsid w:val="003C0961"/>
    <w:rsid w:val="003C0C17"/>
    <w:rsid w:val="003C0DB0"/>
    <w:rsid w:val="003C1768"/>
    <w:rsid w:val="003C191A"/>
    <w:rsid w:val="003C1A93"/>
    <w:rsid w:val="003C22E5"/>
    <w:rsid w:val="003C2AFB"/>
    <w:rsid w:val="003C2E70"/>
    <w:rsid w:val="003C3277"/>
    <w:rsid w:val="003C349A"/>
    <w:rsid w:val="003C34BE"/>
    <w:rsid w:val="003C39D1"/>
    <w:rsid w:val="003C3B67"/>
    <w:rsid w:val="003C3D3C"/>
    <w:rsid w:val="003C4600"/>
    <w:rsid w:val="003C4874"/>
    <w:rsid w:val="003C4A9F"/>
    <w:rsid w:val="003C64B2"/>
    <w:rsid w:val="003C6771"/>
    <w:rsid w:val="003C6A67"/>
    <w:rsid w:val="003C6B3F"/>
    <w:rsid w:val="003C6BD4"/>
    <w:rsid w:val="003C7773"/>
    <w:rsid w:val="003D014F"/>
    <w:rsid w:val="003D0215"/>
    <w:rsid w:val="003D062B"/>
    <w:rsid w:val="003D0D39"/>
    <w:rsid w:val="003D0EC4"/>
    <w:rsid w:val="003D1619"/>
    <w:rsid w:val="003D1630"/>
    <w:rsid w:val="003D1CD1"/>
    <w:rsid w:val="003D1EEA"/>
    <w:rsid w:val="003D236F"/>
    <w:rsid w:val="003D23F0"/>
    <w:rsid w:val="003D2736"/>
    <w:rsid w:val="003D28B9"/>
    <w:rsid w:val="003D2D82"/>
    <w:rsid w:val="003D3217"/>
    <w:rsid w:val="003D358F"/>
    <w:rsid w:val="003D3713"/>
    <w:rsid w:val="003D3A06"/>
    <w:rsid w:val="003D44C0"/>
    <w:rsid w:val="003D450D"/>
    <w:rsid w:val="003D53B6"/>
    <w:rsid w:val="003D55CE"/>
    <w:rsid w:val="003D5A13"/>
    <w:rsid w:val="003D5A3E"/>
    <w:rsid w:val="003D5F41"/>
    <w:rsid w:val="003D5F56"/>
    <w:rsid w:val="003D7027"/>
    <w:rsid w:val="003D70B0"/>
    <w:rsid w:val="003D7706"/>
    <w:rsid w:val="003D7D30"/>
    <w:rsid w:val="003E0F6F"/>
    <w:rsid w:val="003E1997"/>
    <w:rsid w:val="003E1BAF"/>
    <w:rsid w:val="003E24DA"/>
    <w:rsid w:val="003E2E48"/>
    <w:rsid w:val="003E3B5B"/>
    <w:rsid w:val="003E3F2C"/>
    <w:rsid w:val="003E40B5"/>
    <w:rsid w:val="003E42B0"/>
    <w:rsid w:val="003E4716"/>
    <w:rsid w:val="003E656C"/>
    <w:rsid w:val="003E6EF5"/>
    <w:rsid w:val="003E728D"/>
    <w:rsid w:val="003E7303"/>
    <w:rsid w:val="003E730D"/>
    <w:rsid w:val="003E77D4"/>
    <w:rsid w:val="003F0132"/>
    <w:rsid w:val="003F02E0"/>
    <w:rsid w:val="003F04E1"/>
    <w:rsid w:val="003F11BB"/>
    <w:rsid w:val="003F148C"/>
    <w:rsid w:val="003F14B4"/>
    <w:rsid w:val="003F250D"/>
    <w:rsid w:val="003F2596"/>
    <w:rsid w:val="003F2A34"/>
    <w:rsid w:val="003F2B30"/>
    <w:rsid w:val="003F2B5E"/>
    <w:rsid w:val="003F31B4"/>
    <w:rsid w:val="003F3384"/>
    <w:rsid w:val="003F3775"/>
    <w:rsid w:val="003F3895"/>
    <w:rsid w:val="003F4180"/>
    <w:rsid w:val="003F45BD"/>
    <w:rsid w:val="003F51AA"/>
    <w:rsid w:val="003F54D0"/>
    <w:rsid w:val="003F60A3"/>
    <w:rsid w:val="003F657F"/>
    <w:rsid w:val="003F69D1"/>
    <w:rsid w:val="003F7E31"/>
    <w:rsid w:val="00400449"/>
    <w:rsid w:val="0040114F"/>
    <w:rsid w:val="004017AC"/>
    <w:rsid w:val="0040180D"/>
    <w:rsid w:val="004025A5"/>
    <w:rsid w:val="0040367B"/>
    <w:rsid w:val="00403C45"/>
    <w:rsid w:val="00405563"/>
    <w:rsid w:val="004056D8"/>
    <w:rsid w:val="00405D8E"/>
    <w:rsid w:val="004060A9"/>
    <w:rsid w:val="004065CC"/>
    <w:rsid w:val="00406E4B"/>
    <w:rsid w:val="00407123"/>
    <w:rsid w:val="00407B13"/>
    <w:rsid w:val="00410173"/>
    <w:rsid w:val="0041052A"/>
    <w:rsid w:val="00410B9E"/>
    <w:rsid w:val="0041190E"/>
    <w:rsid w:val="00411C03"/>
    <w:rsid w:val="00411DC3"/>
    <w:rsid w:val="00411E9C"/>
    <w:rsid w:val="0041225F"/>
    <w:rsid w:val="00412279"/>
    <w:rsid w:val="00412C44"/>
    <w:rsid w:val="004137F7"/>
    <w:rsid w:val="004139D4"/>
    <w:rsid w:val="00414591"/>
    <w:rsid w:val="00414E15"/>
    <w:rsid w:val="0041532E"/>
    <w:rsid w:val="004154FA"/>
    <w:rsid w:val="004158E2"/>
    <w:rsid w:val="00415C24"/>
    <w:rsid w:val="004168B7"/>
    <w:rsid w:val="00416931"/>
    <w:rsid w:val="00416AAC"/>
    <w:rsid w:val="0041704D"/>
    <w:rsid w:val="0041785E"/>
    <w:rsid w:val="0041797F"/>
    <w:rsid w:val="00417B92"/>
    <w:rsid w:val="00417D63"/>
    <w:rsid w:val="00417EFD"/>
    <w:rsid w:val="00417FA0"/>
    <w:rsid w:val="00420960"/>
    <w:rsid w:val="00420BD8"/>
    <w:rsid w:val="00420EDC"/>
    <w:rsid w:val="0042111B"/>
    <w:rsid w:val="0042145A"/>
    <w:rsid w:val="00421899"/>
    <w:rsid w:val="00421C16"/>
    <w:rsid w:val="00421ED6"/>
    <w:rsid w:val="00421F4B"/>
    <w:rsid w:val="00422769"/>
    <w:rsid w:val="004228B3"/>
    <w:rsid w:val="00422C0E"/>
    <w:rsid w:val="00423393"/>
    <w:rsid w:val="004235AE"/>
    <w:rsid w:val="00424FD9"/>
    <w:rsid w:val="00425114"/>
    <w:rsid w:val="00425387"/>
    <w:rsid w:val="00425F25"/>
    <w:rsid w:val="004260FD"/>
    <w:rsid w:val="0042637E"/>
    <w:rsid w:val="00426719"/>
    <w:rsid w:val="00427131"/>
    <w:rsid w:val="00427225"/>
    <w:rsid w:val="004277E3"/>
    <w:rsid w:val="00427A2C"/>
    <w:rsid w:val="004301AA"/>
    <w:rsid w:val="00430408"/>
    <w:rsid w:val="004306C9"/>
    <w:rsid w:val="00430B2E"/>
    <w:rsid w:val="00431108"/>
    <w:rsid w:val="004314A1"/>
    <w:rsid w:val="00431776"/>
    <w:rsid w:val="00431AD0"/>
    <w:rsid w:val="004323A5"/>
    <w:rsid w:val="0043256B"/>
    <w:rsid w:val="00432B05"/>
    <w:rsid w:val="00432B4E"/>
    <w:rsid w:val="004332B8"/>
    <w:rsid w:val="004333D9"/>
    <w:rsid w:val="00433718"/>
    <w:rsid w:val="0043373B"/>
    <w:rsid w:val="00433A89"/>
    <w:rsid w:val="004342F4"/>
    <w:rsid w:val="004344A0"/>
    <w:rsid w:val="00434D61"/>
    <w:rsid w:val="004352DC"/>
    <w:rsid w:val="0043595F"/>
    <w:rsid w:val="00435A44"/>
    <w:rsid w:val="00435D53"/>
    <w:rsid w:val="00435E1D"/>
    <w:rsid w:val="004361C5"/>
    <w:rsid w:val="0043648C"/>
    <w:rsid w:val="00436802"/>
    <w:rsid w:val="0043699F"/>
    <w:rsid w:val="00436C1C"/>
    <w:rsid w:val="00436E32"/>
    <w:rsid w:val="004370F0"/>
    <w:rsid w:val="00437204"/>
    <w:rsid w:val="00440D29"/>
    <w:rsid w:val="00441021"/>
    <w:rsid w:val="00441143"/>
    <w:rsid w:val="00441768"/>
    <w:rsid w:val="00443020"/>
    <w:rsid w:val="00443C37"/>
    <w:rsid w:val="0044462D"/>
    <w:rsid w:val="004452D9"/>
    <w:rsid w:val="00445572"/>
    <w:rsid w:val="00446460"/>
    <w:rsid w:val="004466D6"/>
    <w:rsid w:val="004467A3"/>
    <w:rsid w:val="00446AF3"/>
    <w:rsid w:val="00447CEB"/>
    <w:rsid w:val="00447F96"/>
    <w:rsid w:val="00450050"/>
    <w:rsid w:val="004502FC"/>
    <w:rsid w:val="004505CF"/>
    <w:rsid w:val="004517AA"/>
    <w:rsid w:val="00452CC9"/>
    <w:rsid w:val="004530FA"/>
    <w:rsid w:val="00453128"/>
    <w:rsid w:val="00453719"/>
    <w:rsid w:val="004544D0"/>
    <w:rsid w:val="00454649"/>
    <w:rsid w:val="00454A1A"/>
    <w:rsid w:val="00455782"/>
    <w:rsid w:val="00455A15"/>
    <w:rsid w:val="00455FDC"/>
    <w:rsid w:val="0045626D"/>
    <w:rsid w:val="00456430"/>
    <w:rsid w:val="00456A99"/>
    <w:rsid w:val="00456C6C"/>
    <w:rsid w:val="00456CBF"/>
    <w:rsid w:val="00456D31"/>
    <w:rsid w:val="00456E2F"/>
    <w:rsid w:val="00457068"/>
    <w:rsid w:val="00457557"/>
    <w:rsid w:val="00457635"/>
    <w:rsid w:val="00457909"/>
    <w:rsid w:val="00457ED0"/>
    <w:rsid w:val="00460B36"/>
    <w:rsid w:val="00460EC2"/>
    <w:rsid w:val="004612C4"/>
    <w:rsid w:val="0046190D"/>
    <w:rsid w:val="00462621"/>
    <w:rsid w:val="004651B9"/>
    <w:rsid w:val="00465EB5"/>
    <w:rsid w:val="00465F25"/>
    <w:rsid w:val="00466171"/>
    <w:rsid w:val="00466AF3"/>
    <w:rsid w:val="00467095"/>
    <w:rsid w:val="0046719D"/>
    <w:rsid w:val="00467634"/>
    <w:rsid w:val="004700B5"/>
    <w:rsid w:val="0047030A"/>
    <w:rsid w:val="00470695"/>
    <w:rsid w:val="00470BF0"/>
    <w:rsid w:val="00470E47"/>
    <w:rsid w:val="00471321"/>
    <w:rsid w:val="00473AF9"/>
    <w:rsid w:val="00473C4E"/>
    <w:rsid w:val="00473F75"/>
    <w:rsid w:val="00474326"/>
    <w:rsid w:val="00474D04"/>
    <w:rsid w:val="00474DAB"/>
    <w:rsid w:val="00474E66"/>
    <w:rsid w:val="00474FBC"/>
    <w:rsid w:val="004759ED"/>
    <w:rsid w:val="00475DB8"/>
    <w:rsid w:val="00476FF1"/>
    <w:rsid w:val="0047765D"/>
    <w:rsid w:val="004779BB"/>
    <w:rsid w:val="00480253"/>
    <w:rsid w:val="00480941"/>
    <w:rsid w:val="00480DC3"/>
    <w:rsid w:val="00481218"/>
    <w:rsid w:val="004824BF"/>
    <w:rsid w:val="004836FD"/>
    <w:rsid w:val="00484370"/>
    <w:rsid w:val="00484976"/>
    <w:rsid w:val="00486F32"/>
    <w:rsid w:val="0048742F"/>
    <w:rsid w:val="0049011A"/>
    <w:rsid w:val="00490A6B"/>
    <w:rsid w:val="00490CD1"/>
    <w:rsid w:val="00491DD1"/>
    <w:rsid w:val="004920B7"/>
    <w:rsid w:val="004929A7"/>
    <w:rsid w:val="004931AA"/>
    <w:rsid w:val="00495429"/>
    <w:rsid w:val="004962F5"/>
    <w:rsid w:val="004967FA"/>
    <w:rsid w:val="00496B3F"/>
    <w:rsid w:val="004979AA"/>
    <w:rsid w:val="00497E7E"/>
    <w:rsid w:val="004A00CB"/>
    <w:rsid w:val="004A0796"/>
    <w:rsid w:val="004A154D"/>
    <w:rsid w:val="004A1B6C"/>
    <w:rsid w:val="004A23E4"/>
    <w:rsid w:val="004A3190"/>
    <w:rsid w:val="004A3430"/>
    <w:rsid w:val="004A3B97"/>
    <w:rsid w:val="004A44D4"/>
    <w:rsid w:val="004A472A"/>
    <w:rsid w:val="004A4A2D"/>
    <w:rsid w:val="004A4B44"/>
    <w:rsid w:val="004A4D6A"/>
    <w:rsid w:val="004A51AD"/>
    <w:rsid w:val="004A64E7"/>
    <w:rsid w:val="004A6D6B"/>
    <w:rsid w:val="004A7170"/>
    <w:rsid w:val="004A74F3"/>
    <w:rsid w:val="004A7682"/>
    <w:rsid w:val="004A7736"/>
    <w:rsid w:val="004B0CA3"/>
    <w:rsid w:val="004B0DBD"/>
    <w:rsid w:val="004B0EC0"/>
    <w:rsid w:val="004B1196"/>
    <w:rsid w:val="004B11DF"/>
    <w:rsid w:val="004B1515"/>
    <w:rsid w:val="004B184F"/>
    <w:rsid w:val="004B1B19"/>
    <w:rsid w:val="004B1F0E"/>
    <w:rsid w:val="004B2201"/>
    <w:rsid w:val="004B2A16"/>
    <w:rsid w:val="004B3425"/>
    <w:rsid w:val="004B368A"/>
    <w:rsid w:val="004B372B"/>
    <w:rsid w:val="004B4252"/>
    <w:rsid w:val="004B54F8"/>
    <w:rsid w:val="004B5EDC"/>
    <w:rsid w:val="004B5F65"/>
    <w:rsid w:val="004B6259"/>
    <w:rsid w:val="004B656D"/>
    <w:rsid w:val="004B6909"/>
    <w:rsid w:val="004B6E78"/>
    <w:rsid w:val="004B740D"/>
    <w:rsid w:val="004C0389"/>
    <w:rsid w:val="004C04A9"/>
    <w:rsid w:val="004C0747"/>
    <w:rsid w:val="004C2152"/>
    <w:rsid w:val="004C2D19"/>
    <w:rsid w:val="004C2ECB"/>
    <w:rsid w:val="004C31E1"/>
    <w:rsid w:val="004C386A"/>
    <w:rsid w:val="004C3E11"/>
    <w:rsid w:val="004C3FC9"/>
    <w:rsid w:val="004C4077"/>
    <w:rsid w:val="004C4190"/>
    <w:rsid w:val="004C5ACA"/>
    <w:rsid w:val="004C5BEC"/>
    <w:rsid w:val="004C6645"/>
    <w:rsid w:val="004C664A"/>
    <w:rsid w:val="004C676A"/>
    <w:rsid w:val="004C6C63"/>
    <w:rsid w:val="004C7037"/>
    <w:rsid w:val="004C72DF"/>
    <w:rsid w:val="004C7821"/>
    <w:rsid w:val="004C7C3F"/>
    <w:rsid w:val="004D00AF"/>
    <w:rsid w:val="004D056D"/>
    <w:rsid w:val="004D0679"/>
    <w:rsid w:val="004D0A3E"/>
    <w:rsid w:val="004D10BF"/>
    <w:rsid w:val="004D15E3"/>
    <w:rsid w:val="004D1C72"/>
    <w:rsid w:val="004D1CBA"/>
    <w:rsid w:val="004D221A"/>
    <w:rsid w:val="004D2C1E"/>
    <w:rsid w:val="004D2E0D"/>
    <w:rsid w:val="004D30F6"/>
    <w:rsid w:val="004D3FC0"/>
    <w:rsid w:val="004D4274"/>
    <w:rsid w:val="004D44A6"/>
    <w:rsid w:val="004D4693"/>
    <w:rsid w:val="004D4905"/>
    <w:rsid w:val="004D4B13"/>
    <w:rsid w:val="004D4B5D"/>
    <w:rsid w:val="004D4E91"/>
    <w:rsid w:val="004D513B"/>
    <w:rsid w:val="004D5621"/>
    <w:rsid w:val="004D579A"/>
    <w:rsid w:val="004D58D9"/>
    <w:rsid w:val="004D7B19"/>
    <w:rsid w:val="004D7D87"/>
    <w:rsid w:val="004E01DF"/>
    <w:rsid w:val="004E0906"/>
    <w:rsid w:val="004E0B34"/>
    <w:rsid w:val="004E0EE5"/>
    <w:rsid w:val="004E111C"/>
    <w:rsid w:val="004E174D"/>
    <w:rsid w:val="004E1B28"/>
    <w:rsid w:val="004E1F00"/>
    <w:rsid w:val="004E252C"/>
    <w:rsid w:val="004E315F"/>
    <w:rsid w:val="004E330D"/>
    <w:rsid w:val="004E3767"/>
    <w:rsid w:val="004E37C3"/>
    <w:rsid w:val="004E3809"/>
    <w:rsid w:val="004E455D"/>
    <w:rsid w:val="004E48B7"/>
    <w:rsid w:val="004E568D"/>
    <w:rsid w:val="004E5779"/>
    <w:rsid w:val="004E5DB2"/>
    <w:rsid w:val="004E655A"/>
    <w:rsid w:val="004E6F76"/>
    <w:rsid w:val="004E79C6"/>
    <w:rsid w:val="004E7AEB"/>
    <w:rsid w:val="004E7E8D"/>
    <w:rsid w:val="004F26C1"/>
    <w:rsid w:val="004F271D"/>
    <w:rsid w:val="004F2770"/>
    <w:rsid w:val="004F27B2"/>
    <w:rsid w:val="004F2C8F"/>
    <w:rsid w:val="004F5BD0"/>
    <w:rsid w:val="004F67AC"/>
    <w:rsid w:val="004F6A7D"/>
    <w:rsid w:val="004F6AA2"/>
    <w:rsid w:val="004F72C5"/>
    <w:rsid w:val="004F79E9"/>
    <w:rsid w:val="00500622"/>
    <w:rsid w:val="0050068B"/>
    <w:rsid w:val="00500705"/>
    <w:rsid w:val="00501295"/>
    <w:rsid w:val="00501593"/>
    <w:rsid w:val="00501BD1"/>
    <w:rsid w:val="00502116"/>
    <w:rsid w:val="0050256D"/>
    <w:rsid w:val="005025A7"/>
    <w:rsid w:val="00502C8F"/>
    <w:rsid w:val="005032CE"/>
    <w:rsid w:val="00503FC6"/>
    <w:rsid w:val="00504058"/>
    <w:rsid w:val="0050418E"/>
    <w:rsid w:val="00504D65"/>
    <w:rsid w:val="005051CD"/>
    <w:rsid w:val="005054A9"/>
    <w:rsid w:val="00505548"/>
    <w:rsid w:val="0050593F"/>
    <w:rsid w:val="00505D2C"/>
    <w:rsid w:val="00505F4F"/>
    <w:rsid w:val="005065AA"/>
    <w:rsid w:val="00506916"/>
    <w:rsid w:val="005069F3"/>
    <w:rsid w:val="005077D1"/>
    <w:rsid w:val="00507C43"/>
    <w:rsid w:val="00507E48"/>
    <w:rsid w:val="00510227"/>
    <w:rsid w:val="005107D6"/>
    <w:rsid w:val="00510911"/>
    <w:rsid w:val="0051106C"/>
    <w:rsid w:val="00511ADA"/>
    <w:rsid w:val="005120FC"/>
    <w:rsid w:val="00512858"/>
    <w:rsid w:val="00512D0C"/>
    <w:rsid w:val="005137C6"/>
    <w:rsid w:val="00513DEA"/>
    <w:rsid w:val="00513E10"/>
    <w:rsid w:val="00514230"/>
    <w:rsid w:val="0051452F"/>
    <w:rsid w:val="00515AB6"/>
    <w:rsid w:val="00515BD4"/>
    <w:rsid w:val="0051689D"/>
    <w:rsid w:val="005168F6"/>
    <w:rsid w:val="005169AD"/>
    <w:rsid w:val="005169B7"/>
    <w:rsid w:val="00517211"/>
    <w:rsid w:val="00517505"/>
    <w:rsid w:val="005178AA"/>
    <w:rsid w:val="00520132"/>
    <w:rsid w:val="00520C07"/>
    <w:rsid w:val="00521AF7"/>
    <w:rsid w:val="00522FEC"/>
    <w:rsid w:val="00523258"/>
    <w:rsid w:val="00523EFD"/>
    <w:rsid w:val="005243E1"/>
    <w:rsid w:val="00525020"/>
    <w:rsid w:val="00525843"/>
    <w:rsid w:val="005261A1"/>
    <w:rsid w:val="00527540"/>
    <w:rsid w:val="00527C72"/>
    <w:rsid w:val="0053037C"/>
    <w:rsid w:val="00531407"/>
    <w:rsid w:val="005319C9"/>
    <w:rsid w:val="00531A12"/>
    <w:rsid w:val="00532705"/>
    <w:rsid w:val="0053317C"/>
    <w:rsid w:val="00533923"/>
    <w:rsid w:val="00533995"/>
    <w:rsid w:val="00533CCA"/>
    <w:rsid w:val="00534ABB"/>
    <w:rsid w:val="00535022"/>
    <w:rsid w:val="0053550E"/>
    <w:rsid w:val="00535D1F"/>
    <w:rsid w:val="00535FFC"/>
    <w:rsid w:val="005360E3"/>
    <w:rsid w:val="005362EF"/>
    <w:rsid w:val="0053630D"/>
    <w:rsid w:val="005368D7"/>
    <w:rsid w:val="00536CCD"/>
    <w:rsid w:val="00537508"/>
    <w:rsid w:val="00537AD5"/>
    <w:rsid w:val="00540861"/>
    <w:rsid w:val="00540DFD"/>
    <w:rsid w:val="00541962"/>
    <w:rsid w:val="00541E59"/>
    <w:rsid w:val="00542E5D"/>
    <w:rsid w:val="005432D4"/>
    <w:rsid w:val="00543730"/>
    <w:rsid w:val="0054440F"/>
    <w:rsid w:val="00544549"/>
    <w:rsid w:val="005445E1"/>
    <w:rsid w:val="005446E4"/>
    <w:rsid w:val="00544CF2"/>
    <w:rsid w:val="005451D0"/>
    <w:rsid w:val="00545896"/>
    <w:rsid w:val="0054597D"/>
    <w:rsid w:val="005459CA"/>
    <w:rsid w:val="00545C5F"/>
    <w:rsid w:val="0054667B"/>
    <w:rsid w:val="005473C4"/>
    <w:rsid w:val="005510EE"/>
    <w:rsid w:val="0055179E"/>
    <w:rsid w:val="00551807"/>
    <w:rsid w:val="0055333E"/>
    <w:rsid w:val="0055466B"/>
    <w:rsid w:val="00554838"/>
    <w:rsid w:val="00555AD4"/>
    <w:rsid w:val="00555D07"/>
    <w:rsid w:val="00556331"/>
    <w:rsid w:val="005578C6"/>
    <w:rsid w:val="00560455"/>
    <w:rsid w:val="00562882"/>
    <w:rsid w:val="00563510"/>
    <w:rsid w:val="005643A4"/>
    <w:rsid w:val="005646A7"/>
    <w:rsid w:val="00565A95"/>
    <w:rsid w:val="00565D85"/>
    <w:rsid w:val="00565EC0"/>
    <w:rsid w:val="00566309"/>
    <w:rsid w:val="005664EF"/>
    <w:rsid w:val="005666E6"/>
    <w:rsid w:val="005669C5"/>
    <w:rsid w:val="00566BB8"/>
    <w:rsid w:val="00566C85"/>
    <w:rsid w:val="005677AD"/>
    <w:rsid w:val="005700B6"/>
    <w:rsid w:val="00570663"/>
    <w:rsid w:val="00570AC5"/>
    <w:rsid w:val="005710F7"/>
    <w:rsid w:val="00571516"/>
    <w:rsid w:val="0057171B"/>
    <w:rsid w:val="00571B95"/>
    <w:rsid w:val="00571BB2"/>
    <w:rsid w:val="00571BCD"/>
    <w:rsid w:val="005725E1"/>
    <w:rsid w:val="00572957"/>
    <w:rsid w:val="0057313E"/>
    <w:rsid w:val="005732E6"/>
    <w:rsid w:val="00573EB6"/>
    <w:rsid w:val="00573F1F"/>
    <w:rsid w:val="0057432E"/>
    <w:rsid w:val="005743C0"/>
    <w:rsid w:val="00574625"/>
    <w:rsid w:val="005750ED"/>
    <w:rsid w:val="00575254"/>
    <w:rsid w:val="0057558F"/>
    <w:rsid w:val="00575726"/>
    <w:rsid w:val="005758EC"/>
    <w:rsid w:val="00576A9D"/>
    <w:rsid w:val="00576AD3"/>
    <w:rsid w:val="00576B39"/>
    <w:rsid w:val="00577057"/>
    <w:rsid w:val="00577678"/>
    <w:rsid w:val="00577B81"/>
    <w:rsid w:val="00580544"/>
    <w:rsid w:val="0058080F"/>
    <w:rsid w:val="00581069"/>
    <w:rsid w:val="00581642"/>
    <w:rsid w:val="00581E3D"/>
    <w:rsid w:val="005820A9"/>
    <w:rsid w:val="00582A2D"/>
    <w:rsid w:val="00582F10"/>
    <w:rsid w:val="0058340A"/>
    <w:rsid w:val="005841A6"/>
    <w:rsid w:val="005849D5"/>
    <w:rsid w:val="005854AC"/>
    <w:rsid w:val="00585FA5"/>
    <w:rsid w:val="00586C90"/>
    <w:rsid w:val="005875C5"/>
    <w:rsid w:val="00587B8A"/>
    <w:rsid w:val="00587C43"/>
    <w:rsid w:val="00587FBF"/>
    <w:rsid w:val="0059004A"/>
    <w:rsid w:val="00590672"/>
    <w:rsid w:val="005909B4"/>
    <w:rsid w:val="005909C3"/>
    <w:rsid w:val="00591156"/>
    <w:rsid w:val="005917EB"/>
    <w:rsid w:val="00591C4F"/>
    <w:rsid w:val="00591CBF"/>
    <w:rsid w:val="00592E73"/>
    <w:rsid w:val="005931DB"/>
    <w:rsid w:val="00593497"/>
    <w:rsid w:val="0059429C"/>
    <w:rsid w:val="0059527D"/>
    <w:rsid w:val="00595D80"/>
    <w:rsid w:val="00596E5E"/>
    <w:rsid w:val="005977F8"/>
    <w:rsid w:val="00597E5D"/>
    <w:rsid w:val="005A00E2"/>
    <w:rsid w:val="005A0A3A"/>
    <w:rsid w:val="005A17A7"/>
    <w:rsid w:val="005A1E7A"/>
    <w:rsid w:val="005A2027"/>
    <w:rsid w:val="005A228E"/>
    <w:rsid w:val="005A22E0"/>
    <w:rsid w:val="005A2C45"/>
    <w:rsid w:val="005A2C71"/>
    <w:rsid w:val="005A3984"/>
    <w:rsid w:val="005A4CDF"/>
    <w:rsid w:val="005A533E"/>
    <w:rsid w:val="005A6341"/>
    <w:rsid w:val="005A63FE"/>
    <w:rsid w:val="005A6981"/>
    <w:rsid w:val="005A7067"/>
    <w:rsid w:val="005A7CC6"/>
    <w:rsid w:val="005A7EF7"/>
    <w:rsid w:val="005B1277"/>
    <w:rsid w:val="005B2374"/>
    <w:rsid w:val="005B2473"/>
    <w:rsid w:val="005B2824"/>
    <w:rsid w:val="005B2D2D"/>
    <w:rsid w:val="005B3E51"/>
    <w:rsid w:val="005B46B1"/>
    <w:rsid w:val="005B46DB"/>
    <w:rsid w:val="005B4A7B"/>
    <w:rsid w:val="005B4A83"/>
    <w:rsid w:val="005B4CC2"/>
    <w:rsid w:val="005B4D85"/>
    <w:rsid w:val="005B6EAF"/>
    <w:rsid w:val="005B7F5A"/>
    <w:rsid w:val="005C05B7"/>
    <w:rsid w:val="005C0801"/>
    <w:rsid w:val="005C08BE"/>
    <w:rsid w:val="005C09E1"/>
    <w:rsid w:val="005C12FF"/>
    <w:rsid w:val="005C1D2B"/>
    <w:rsid w:val="005C1F89"/>
    <w:rsid w:val="005C2A4F"/>
    <w:rsid w:val="005C2D6E"/>
    <w:rsid w:val="005C3255"/>
    <w:rsid w:val="005C36C3"/>
    <w:rsid w:val="005C3A67"/>
    <w:rsid w:val="005C3CA7"/>
    <w:rsid w:val="005C3D28"/>
    <w:rsid w:val="005C49C9"/>
    <w:rsid w:val="005C4A25"/>
    <w:rsid w:val="005C4DFE"/>
    <w:rsid w:val="005C56AF"/>
    <w:rsid w:val="005C5D40"/>
    <w:rsid w:val="005C62AD"/>
    <w:rsid w:val="005C683F"/>
    <w:rsid w:val="005C6A19"/>
    <w:rsid w:val="005C7006"/>
    <w:rsid w:val="005C7076"/>
    <w:rsid w:val="005D097B"/>
    <w:rsid w:val="005D0FD2"/>
    <w:rsid w:val="005D104F"/>
    <w:rsid w:val="005D1361"/>
    <w:rsid w:val="005D1551"/>
    <w:rsid w:val="005D1748"/>
    <w:rsid w:val="005D3190"/>
    <w:rsid w:val="005D3263"/>
    <w:rsid w:val="005D3709"/>
    <w:rsid w:val="005D382E"/>
    <w:rsid w:val="005D38FB"/>
    <w:rsid w:val="005D4971"/>
    <w:rsid w:val="005D4EE7"/>
    <w:rsid w:val="005D54A3"/>
    <w:rsid w:val="005D564B"/>
    <w:rsid w:val="005D58C8"/>
    <w:rsid w:val="005D5A33"/>
    <w:rsid w:val="005D5DCA"/>
    <w:rsid w:val="005D5F4A"/>
    <w:rsid w:val="005D6023"/>
    <w:rsid w:val="005D6590"/>
    <w:rsid w:val="005D713C"/>
    <w:rsid w:val="005D7CEB"/>
    <w:rsid w:val="005D7D02"/>
    <w:rsid w:val="005E01F7"/>
    <w:rsid w:val="005E02E7"/>
    <w:rsid w:val="005E04CD"/>
    <w:rsid w:val="005E04D8"/>
    <w:rsid w:val="005E05E6"/>
    <w:rsid w:val="005E0D01"/>
    <w:rsid w:val="005E1649"/>
    <w:rsid w:val="005E1C39"/>
    <w:rsid w:val="005E28EE"/>
    <w:rsid w:val="005E391F"/>
    <w:rsid w:val="005E3B95"/>
    <w:rsid w:val="005E3F55"/>
    <w:rsid w:val="005E5AAD"/>
    <w:rsid w:val="005E63F1"/>
    <w:rsid w:val="005E6801"/>
    <w:rsid w:val="005E6C8F"/>
    <w:rsid w:val="005F08A1"/>
    <w:rsid w:val="005F0C58"/>
    <w:rsid w:val="005F14DB"/>
    <w:rsid w:val="005F1659"/>
    <w:rsid w:val="005F1945"/>
    <w:rsid w:val="005F1B02"/>
    <w:rsid w:val="005F1C4E"/>
    <w:rsid w:val="005F1F3E"/>
    <w:rsid w:val="005F2148"/>
    <w:rsid w:val="005F2679"/>
    <w:rsid w:val="005F2C3E"/>
    <w:rsid w:val="005F2CC2"/>
    <w:rsid w:val="005F2D2D"/>
    <w:rsid w:val="005F2FB4"/>
    <w:rsid w:val="005F32B0"/>
    <w:rsid w:val="005F34B8"/>
    <w:rsid w:val="005F3AA5"/>
    <w:rsid w:val="005F3C78"/>
    <w:rsid w:val="005F406A"/>
    <w:rsid w:val="005F5177"/>
    <w:rsid w:val="005F51F2"/>
    <w:rsid w:val="005F54EE"/>
    <w:rsid w:val="005F57A9"/>
    <w:rsid w:val="005F68E7"/>
    <w:rsid w:val="005F690B"/>
    <w:rsid w:val="005F6D75"/>
    <w:rsid w:val="005F6DC9"/>
    <w:rsid w:val="005F753C"/>
    <w:rsid w:val="005F77A7"/>
    <w:rsid w:val="005F7CC1"/>
    <w:rsid w:val="006001CA"/>
    <w:rsid w:val="00600267"/>
    <w:rsid w:val="0060149D"/>
    <w:rsid w:val="0060150B"/>
    <w:rsid w:val="006016E7"/>
    <w:rsid w:val="00601849"/>
    <w:rsid w:val="00601939"/>
    <w:rsid w:val="006019BD"/>
    <w:rsid w:val="00602ADA"/>
    <w:rsid w:val="00602F30"/>
    <w:rsid w:val="0060403A"/>
    <w:rsid w:val="00604572"/>
    <w:rsid w:val="006046CA"/>
    <w:rsid w:val="00604EB4"/>
    <w:rsid w:val="0060524B"/>
    <w:rsid w:val="0060533C"/>
    <w:rsid w:val="0060593C"/>
    <w:rsid w:val="00605C6B"/>
    <w:rsid w:val="0060638E"/>
    <w:rsid w:val="00607A5A"/>
    <w:rsid w:val="0061009A"/>
    <w:rsid w:val="0061039D"/>
    <w:rsid w:val="006105A2"/>
    <w:rsid w:val="006106F6"/>
    <w:rsid w:val="00610846"/>
    <w:rsid w:val="0061109C"/>
    <w:rsid w:val="0061130B"/>
    <w:rsid w:val="00611499"/>
    <w:rsid w:val="00611693"/>
    <w:rsid w:val="006119C7"/>
    <w:rsid w:val="00612140"/>
    <w:rsid w:val="00612432"/>
    <w:rsid w:val="00612458"/>
    <w:rsid w:val="006127BF"/>
    <w:rsid w:val="00613781"/>
    <w:rsid w:val="006140AE"/>
    <w:rsid w:val="006141F5"/>
    <w:rsid w:val="0061439B"/>
    <w:rsid w:val="006148FF"/>
    <w:rsid w:val="00614B3B"/>
    <w:rsid w:val="00614BAB"/>
    <w:rsid w:val="00614D5A"/>
    <w:rsid w:val="0061525A"/>
    <w:rsid w:val="00615322"/>
    <w:rsid w:val="00615563"/>
    <w:rsid w:val="006158D1"/>
    <w:rsid w:val="0061607C"/>
    <w:rsid w:val="0061705C"/>
    <w:rsid w:val="00617998"/>
    <w:rsid w:val="00620AF5"/>
    <w:rsid w:val="00621578"/>
    <w:rsid w:val="00621954"/>
    <w:rsid w:val="00621B26"/>
    <w:rsid w:val="00621C7D"/>
    <w:rsid w:val="00621DFE"/>
    <w:rsid w:val="00621FB1"/>
    <w:rsid w:val="00622510"/>
    <w:rsid w:val="00622FE0"/>
    <w:rsid w:val="006232C1"/>
    <w:rsid w:val="00623C75"/>
    <w:rsid w:val="00623E37"/>
    <w:rsid w:val="006241D9"/>
    <w:rsid w:val="00624502"/>
    <w:rsid w:val="00625B2D"/>
    <w:rsid w:val="00626D08"/>
    <w:rsid w:val="00627700"/>
    <w:rsid w:val="0063108F"/>
    <w:rsid w:val="0063114E"/>
    <w:rsid w:val="00631706"/>
    <w:rsid w:val="00631AF4"/>
    <w:rsid w:val="00631F99"/>
    <w:rsid w:val="0063450D"/>
    <w:rsid w:val="00634B5A"/>
    <w:rsid w:val="0063560D"/>
    <w:rsid w:val="00635968"/>
    <w:rsid w:val="00635C4A"/>
    <w:rsid w:val="00635C4D"/>
    <w:rsid w:val="00636034"/>
    <w:rsid w:val="00636C77"/>
    <w:rsid w:val="00636F13"/>
    <w:rsid w:val="006375CB"/>
    <w:rsid w:val="00637696"/>
    <w:rsid w:val="00637886"/>
    <w:rsid w:val="00637F40"/>
    <w:rsid w:val="0064019F"/>
    <w:rsid w:val="00640292"/>
    <w:rsid w:val="0064076D"/>
    <w:rsid w:val="00640C16"/>
    <w:rsid w:val="006415FF"/>
    <w:rsid w:val="0064290F"/>
    <w:rsid w:val="00642D51"/>
    <w:rsid w:val="0064364E"/>
    <w:rsid w:val="00643EFF"/>
    <w:rsid w:val="00643F3C"/>
    <w:rsid w:val="006441EB"/>
    <w:rsid w:val="00644E62"/>
    <w:rsid w:val="006453EE"/>
    <w:rsid w:val="0064547A"/>
    <w:rsid w:val="00646069"/>
    <w:rsid w:val="006460EE"/>
    <w:rsid w:val="0064631E"/>
    <w:rsid w:val="006465E6"/>
    <w:rsid w:val="00646C63"/>
    <w:rsid w:val="00647602"/>
    <w:rsid w:val="00647C3E"/>
    <w:rsid w:val="00647DB0"/>
    <w:rsid w:val="00650809"/>
    <w:rsid w:val="006514D9"/>
    <w:rsid w:val="00651AED"/>
    <w:rsid w:val="00651B0E"/>
    <w:rsid w:val="00651B69"/>
    <w:rsid w:val="00652626"/>
    <w:rsid w:val="0065321C"/>
    <w:rsid w:val="0065326B"/>
    <w:rsid w:val="0065363E"/>
    <w:rsid w:val="00654300"/>
    <w:rsid w:val="0065433D"/>
    <w:rsid w:val="00654737"/>
    <w:rsid w:val="00655AA3"/>
    <w:rsid w:val="006562D0"/>
    <w:rsid w:val="00656AB0"/>
    <w:rsid w:val="00656B67"/>
    <w:rsid w:val="006571C0"/>
    <w:rsid w:val="00660C84"/>
    <w:rsid w:val="00660FDF"/>
    <w:rsid w:val="0066298A"/>
    <w:rsid w:val="00663041"/>
    <w:rsid w:val="00663159"/>
    <w:rsid w:val="00663277"/>
    <w:rsid w:val="00663531"/>
    <w:rsid w:val="0066392F"/>
    <w:rsid w:val="00663E2A"/>
    <w:rsid w:val="00665CE3"/>
    <w:rsid w:val="00666892"/>
    <w:rsid w:val="00666ED7"/>
    <w:rsid w:val="0066753A"/>
    <w:rsid w:val="00667830"/>
    <w:rsid w:val="00667AC5"/>
    <w:rsid w:val="0067023D"/>
    <w:rsid w:val="006708AD"/>
    <w:rsid w:val="0067211F"/>
    <w:rsid w:val="0067223E"/>
    <w:rsid w:val="0067349C"/>
    <w:rsid w:val="006734BA"/>
    <w:rsid w:val="0067351C"/>
    <w:rsid w:val="00673791"/>
    <w:rsid w:val="0067383D"/>
    <w:rsid w:val="00673868"/>
    <w:rsid w:val="006739E7"/>
    <w:rsid w:val="00673D21"/>
    <w:rsid w:val="00673D97"/>
    <w:rsid w:val="00674607"/>
    <w:rsid w:val="00674A50"/>
    <w:rsid w:val="00675D49"/>
    <w:rsid w:val="00676A3A"/>
    <w:rsid w:val="0067734A"/>
    <w:rsid w:val="00677A35"/>
    <w:rsid w:val="00677A99"/>
    <w:rsid w:val="00677C84"/>
    <w:rsid w:val="00680935"/>
    <w:rsid w:val="006810FD"/>
    <w:rsid w:val="0068140C"/>
    <w:rsid w:val="006817E2"/>
    <w:rsid w:val="00681BC8"/>
    <w:rsid w:val="006820C6"/>
    <w:rsid w:val="006824DD"/>
    <w:rsid w:val="006825F4"/>
    <w:rsid w:val="0068281C"/>
    <w:rsid w:val="006854A5"/>
    <w:rsid w:val="00685A67"/>
    <w:rsid w:val="00685BCE"/>
    <w:rsid w:val="00685C9A"/>
    <w:rsid w:val="00685ED9"/>
    <w:rsid w:val="0068628D"/>
    <w:rsid w:val="00690978"/>
    <w:rsid w:val="00690A6F"/>
    <w:rsid w:val="0069119F"/>
    <w:rsid w:val="006917BB"/>
    <w:rsid w:val="006919CA"/>
    <w:rsid w:val="006921A3"/>
    <w:rsid w:val="006923CE"/>
    <w:rsid w:val="006927CB"/>
    <w:rsid w:val="00692F99"/>
    <w:rsid w:val="006936DE"/>
    <w:rsid w:val="00693DA7"/>
    <w:rsid w:val="00693FC6"/>
    <w:rsid w:val="0069439D"/>
    <w:rsid w:val="00694B36"/>
    <w:rsid w:val="00694DAD"/>
    <w:rsid w:val="00694E5D"/>
    <w:rsid w:val="0069508B"/>
    <w:rsid w:val="00695D8F"/>
    <w:rsid w:val="006966C6"/>
    <w:rsid w:val="00696E35"/>
    <w:rsid w:val="0069779C"/>
    <w:rsid w:val="00697B84"/>
    <w:rsid w:val="006A019C"/>
    <w:rsid w:val="006A07EE"/>
    <w:rsid w:val="006A0A9C"/>
    <w:rsid w:val="006A0B7C"/>
    <w:rsid w:val="006A116A"/>
    <w:rsid w:val="006A11C3"/>
    <w:rsid w:val="006A1F18"/>
    <w:rsid w:val="006A22E9"/>
    <w:rsid w:val="006A30C6"/>
    <w:rsid w:val="006A3283"/>
    <w:rsid w:val="006A34FD"/>
    <w:rsid w:val="006A4774"/>
    <w:rsid w:val="006A4D81"/>
    <w:rsid w:val="006A648B"/>
    <w:rsid w:val="006A6576"/>
    <w:rsid w:val="006A6971"/>
    <w:rsid w:val="006A6AAD"/>
    <w:rsid w:val="006B0612"/>
    <w:rsid w:val="006B0CD2"/>
    <w:rsid w:val="006B1242"/>
    <w:rsid w:val="006B132A"/>
    <w:rsid w:val="006B1BD7"/>
    <w:rsid w:val="006B217B"/>
    <w:rsid w:val="006B2AD5"/>
    <w:rsid w:val="006B2CFB"/>
    <w:rsid w:val="006B3005"/>
    <w:rsid w:val="006B3A47"/>
    <w:rsid w:val="006B3D35"/>
    <w:rsid w:val="006B48EE"/>
    <w:rsid w:val="006B58EC"/>
    <w:rsid w:val="006B5FB9"/>
    <w:rsid w:val="006B60D2"/>
    <w:rsid w:val="006B632F"/>
    <w:rsid w:val="006B78AA"/>
    <w:rsid w:val="006B7FE9"/>
    <w:rsid w:val="006C0034"/>
    <w:rsid w:val="006C0438"/>
    <w:rsid w:val="006C1389"/>
    <w:rsid w:val="006C17BB"/>
    <w:rsid w:val="006C17DA"/>
    <w:rsid w:val="006C1BBF"/>
    <w:rsid w:val="006C2441"/>
    <w:rsid w:val="006C325A"/>
    <w:rsid w:val="006C3774"/>
    <w:rsid w:val="006C3F04"/>
    <w:rsid w:val="006C40D3"/>
    <w:rsid w:val="006C486D"/>
    <w:rsid w:val="006C4A12"/>
    <w:rsid w:val="006C5849"/>
    <w:rsid w:val="006C647D"/>
    <w:rsid w:val="006C7867"/>
    <w:rsid w:val="006C7B5B"/>
    <w:rsid w:val="006D0B28"/>
    <w:rsid w:val="006D0C35"/>
    <w:rsid w:val="006D0F50"/>
    <w:rsid w:val="006D101F"/>
    <w:rsid w:val="006D169D"/>
    <w:rsid w:val="006D1748"/>
    <w:rsid w:val="006D2A59"/>
    <w:rsid w:val="006D3136"/>
    <w:rsid w:val="006D3312"/>
    <w:rsid w:val="006D3FAE"/>
    <w:rsid w:val="006D409C"/>
    <w:rsid w:val="006D41B2"/>
    <w:rsid w:val="006D482E"/>
    <w:rsid w:val="006D4AD1"/>
    <w:rsid w:val="006D4B4A"/>
    <w:rsid w:val="006D5146"/>
    <w:rsid w:val="006D53AD"/>
    <w:rsid w:val="006D5E55"/>
    <w:rsid w:val="006D6205"/>
    <w:rsid w:val="006D6601"/>
    <w:rsid w:val="006D665C"/>
    <w:rsid w:val="006D748D"/>
    <w:rsid w:val="006D75C3"/>
    <w:rsid w:val="006D7E9E"/>
    <w:rsid w:val="006E02A4"/>
    <w:rsid w:val="006E045A"/>
    <w:rsid w:val="006E122E"/>
    <w:rsid w:val="006E1D88"/>
    <w:rsid w:val="006E2542"/>
    <w:rsid w:val="006E2E48"/>
    <w:rsid w:val="006E3484"/>
    <w:rsid w:val="006E3C26"/>
    <w:rsid w:val="006E4E77"/>
    <w:rsid w:val="006E4FCD"/>
    <w:rsid w:val="006E5DC2"/>
    <w:rsid w:val="006E6317"/>
    <w:rsid w:val="006E6A42"/>
    <w:rsid w:val="006E6C9B"/>
    <w:rsid w:val="006E752B"/>
    <w:rsid w:val="006E7586"/>
    <w:rsid w:val="006E7E75"/>
    <w:rsid w:val="006F050C"/>
    <w:rsid w:val="006F0869"/>
    <w:rsid w:val="006F0FB6"/>
    <w:rsid w:val="006F1B7E"/>
    <w:rsid w:val="006F2D02"/>
    <w:rsid w:val="006F31A3"/>
    <w:rsid w:val="006F3381"/>
    <w:rsid w:val="006F33B1"/>
    <w:rsid w:val="006F3523"/>
    <w:rsid w:val="006F37E7"/>
    <w:rsid w:val="006F3B46"/>
    <w:rsid w:val="006F3C3C"/>
    <w:rsid w:val="006F41AF"/>
    <w:rsid w:val="006F4200"/>
    <w:rsid w:val="006F4D1B"/>
    <w:rsid w:val="006F4E93"/>
    <w:rsid w:val="006F5239"/>
    <w:rsid w:val="006F61C0"/>
    <w:rsid w:val="006F6387"/>
    <w:rsid w:val="006F6E5F"/>
    <w:rsid w:val="006F6FA4"/>
    <w:rsid w:val="006F7077"/>
    <w:rsid w:val="006F76B7"/>
    <w:rsid w:val="006F7E07"/>
    <w:rsid w:val="007004AC"/>
    <w:rsid w:val="00700621"/>
    <w:rsid w:val="00700709"/>
    <w:rsid w:val="00700909"/>
    <w:rsid w:val="00700DBC"/>
    <w:rsid w:val="00701E2B"/>
    <w:rsid w:val="00701F20"/>
    <w:rsid w:val="007020BC"/>
    <w:rsid w:val="00702BAC"/>
    <w:rsid w:val="00702D98"/>
    <w:rsid w:val="00703249"/>
    <w:rsid w:val="007034AE"/>
    <w:rsid w:val="00703687"/>
    <w:rsid w:val="00703B4D"/>
    <w:rsid w:val="0070407F"/>
    <w:rsid w:val="00705868"/>
    <w:rsid w:val="00706171"/>
    <w:rsid w:val="0070651C"/>
    <w:rsid w:val="00706F88"/>
    <w:rsid w:val="00707792"/>
    <w:rsid w:val="007077D0"/>
    <w:rsid w:val="00710DB4"/>
    <w:rsid w:val="00711672"/>
    <w:rsid w:val="0071180D"/>
    <w:rsid w:val="00711A64"/>
    <w:rsid w:val="00712055"/>
    <w:rsid w:val="00712110"/>
    <w:rsid w:val="00712B18"/>
    <w:rsid w:val="00712C24"/>
    <w:rsid w:val="00712E12"/>
    <w:rsid w:val="007130AC"/>
    <w:rsid w:val="0071377F"/>
    <w:rsid w:val="007137E1"/>
    <w:rsid w:val="0071380C"/>
    <w:rsid w:val="00713A23"/>
    <w:rsid w:val="007145F4"/>
    <w:rsid w:val="00714780"/>
    <w:rsid w:val="00714792"/>
    <w:rsid w:val="00715441"/>
    <w:rsid w:val="00715C01"/>
    <w:rsid w:val="00715DAB"/>
    <w:rsid w:val="0071622E"/>
    <w:rsid w:val="007165A7"/>
    <w:rsid w:val="007167CF"/>
    <w:rsid w:val="0071723D"/>
    <w:rsid w:val="00717D8A"/>
    <w:rsid w:val="00717E25"/>
    <w:rsid w:val="0072012B"/>
    <w:rsid w:val="007203D5"/>
    <w:rsid w:val="007210CE"/>
    <w:rsid w:val="0072120E"/>
    <w:rsid w:val="007216E0"/>
    <w:rsid w:val="00721B35"/>
    <w:rsid w:val="00721B9C"/>
    <w:rsid w:val="00721C9E"/>
    <w:rsid w:val="00721F62"/>
    <w:rsid w:val="0072268A"/>
    <w:rsid w:val="007228A0"/>
    <w:rsid w:val="0072302D"/>
    <w:rsid w:val="00723CAB"/>
    <w:rsid w:val="00724D22"/>
    <w:rsid w:val="00725B12"/>
    <w:rsid w:val="00725D71"/>
    <w:rsid w:val="00725E93"/>
    <w:rsid w:val="00725FA7"/>
    <w:rsid w:val="00725FB3"/>
    <w:rsid w:val="007305A0"/>
    <w:rsid w:val="00731243"/>
    <w:rsid w:val="00731308"/>
    <w:rsid w:val="00731B48"/>
    <w:rsid w:val="0073229B"/>
    <w:rsid w:val="00732A78"/>
    <w:rsid w:val="00732CB1"/>
    <w:rsid w:val="00732F94"/>
    <w:rsid w:val="00733BF6"/>
    <w:rsid w:val="00734E39"/>
    <w:rsid w:val="00734F12"/>
    <w:rsid w:val="00735960"/>
    <w:rsid w:val="00736770"/>
    <w:rsid w:val="0073682A"/>
    <w:rsid w:val="00737530"/>
    <w:rsid w:val="0073753C"/>
    <w:rsid w:val="007378F2"/>
    <w:rsid w:val="00737C0B"/>
    <w:rsid w:val="00737FD1"/>
    <w:rsid w:val="0074005D"/>
    <w:rsid w:val="00740341"/>
    <w:rsid w:val="007409AF"/>
    <w:rsid w:val="00740FAE"/>
    <w:rsid w:val="0074119F"/>
    <w:rsid w:val="00741C24"/>
    <w:rsid w:val="00743014"/>
    <w:rsid w:val="007436DB"/>
    <w:rsid w:val="00743CB1"/>
    <w:rsid w:val="007448EC"/>
    <w:rsid w:val="00744A18"/>
    <w:rsid w:val="007455DB"/>
    <w:rsid w:val="0074591C"/>
    <w:rsid w:val="00746442"/>
    <w:rsid w:val="00747B4F"/>
    <w:rsid w:val="00747F69"/>
    <w:rsid w:val="00750381"/>
    <w:rsid w:val="007504AD"/>
    <w:rsid w:val="00750C39"/>
    <w:rsid w:val="00750DFE"/>
    <w:rsid w:val="00751030"/>
    <w:rsid w:val="007514DE"/>
    <w:rsid w:val="00752143"/>
    <w:rsid w:val="00752FCC"/>
    <w:rsid w:val="00753286"/>
    <w:rsid w:val="00753368"/>
    <w:rsid w:val="0075382B"/>
    <w:rsid w:val="00753DF0"/>
    <w:rsid w:val="00753F6C"/>
    <w:rsid w:val="00754279"/>
    <w:rsid w:val="00754EE9"/>
    <w:rsid w:val="0075547F"/>
    <w:rsid w:val="007562DE"/>
    <w:rsid w:val="00756458"/>
    <w:rsid w:val="00756976"/>
    <w:rsid w:val="00757384"/>
    <w:rsid w:val="00757615"/>
    <w:rsid w:val="00757663"/>
    <w:rsid w:val="007600E9"/>
    <w:rsid w:val="007603F6"/>
    <w:rsid w:val="007607AF"/>
    <w:rsid w:val="00760B1E"/>
    <w:rsid w:val="00760D2D"/>
    <w:rsid w:val="0076200F"/>
    <w:rsid w:val="007622F7"/>
    <w:rsid w:val="007629D9"/>
    <w:rsid w:val="00762AD9"/>
    <w:rsid w:val="00763440"/>
    <w:rsid w:val="00764176"/>
    <w:rsid w:val="0076425B"/>
    <w:rsid w:val="00765C03"/>
    <w:rsid w:val="007660C2"/>
    <w:rsid w:val="0076619A"/>
    <w:rsid w:val="00766AC7"/>
    <w:rsid w:val="00766CE8"/>
    <w:rsid w:val="00767425"/>
    <w:rsid w:val="007674EC"/>
    <w:rsid w:val="00767671"/>
    <w:rsid w:val="0076771F"/>
    <w:rsid w:val="00767762"/>
    <w:rsid w:val="007678FA"/>
    <w:rsid w:val="00767EEA"/>
    <w:rsid w:val="00770934"/>
    <w:rsid w:val="00771A04"/>
    <w:rsid w:val="007720DF"/>
    <w:rsid w:val="00772217"/>
    <w:rsid w:val="00772962"/>
    <w:rsid w:val="0077303C"/>
    <w:rsid w:val="00773437"/>
    <w:rsid w:val="00773AF5"/>
    <w:rsid w:val="00774028"/>
    <w:rsid w:val="007740E0"/>
    <w:rsid w:val="00774FB0"/>
    <w:rsid w:val="00775E65"/>
    <w:rsid w:val="007769C4"/>
    <w:rsid w:val="00776EF4"/>
    <w:rsid w:val="007770AB"/>
    <w:rsid w:val="00777242"/>
    <w:rsid w:val="00777E6D"/>
    <w:rsid w:val="0078043A"/>
    <w:rsid w:val="007813FE"/>
    <w:rsid w:val="007814CD"/>
    <w:rsid w:val="0078162F"/>
    <w:rsid w:val="00781DB8"/>
    <w:rsid w:val="00782B15"/>
    <w:rsid w:val="00782B33"/>
    <w:rsid w:val="007830C5"/>
    <w:rsid w:val="00783C58"/>
    <w:rsid w:val="00783D22"/>
    <w:rsid w:val="00784D01"/>
    <w:rsid w:val="00785139"/>
    <w:rsid w:val="0078528C"/>
    <w:rsid w:val="00786925"/>
    <w:rsid w:val="00787589"/>
    <w:rsid w:val="00787688"/>
    <w:rsid w:val="007901BA"/>
    <w:rsid w:val="00790BDE"/>
    <w:rsid w:val="00791B61"/>
    <w:rsid w:val="0079213B"/>
    <w:rsid w:val="00793018"/>
    <w:rsid w:val="007931BA"/>
    <w:rsid w:val="00793699"/>
    <w:rsid w:val="0079394C"/>
    <w:rsid w:val="00793A92"/>
    <w:rsid w:val="00793BAB"/>
    <w:rsid w:val="00794174"/>
    <w:rsid w:val="00794504"/>
    <w:rsid w:val="00794E5B"/>
    <w:rsid w:val="00795087"/>
    <w:rsid w:val="00795BC0"/>
    <w:rsid w:val="00795E66"/>
    <w:rsid w:val="00795F46"/>
    <w:rsid w:val="007963D9"/>
    <w:rsid w:val="007963F4"/>
    <w:rsid w:val="007970EA"/>
    <w:rsid w:val="00797844"/>
    <w:rsid w:val="007A002B"/>
    <w:rsid w:val="007A0753"/>
    <w:rsid w:val="007A1712"/>
    <w:rsid w:val="007A1C7E"/>
    <w:rsid w:val="007A1D54"/>
    <w:rsid w:val="007A2311"/>
    <w:rsid w:val="007A29A5"/>
    <w:rsid w:val="007A2D59"/>
    <w:rsid w:val="007A30F6"/>
    <w:rsid w:val="007A3CE0"/>
    <w:rsid w:val="007A3D4D"/>
    <w:rsid w:val="007A4534"/>
    <w:rsid w:val="007A57D6"/>
    <w:rsid w:val="007A5DFE"/>
    <w:rsid w:val="007A6498"/>
    <w:rsid w:val="007A64D6"/>
    <w:rsid w:val="007A688E"/>
    <w:rsid w:val="007A6DD6"/>
    <w:rsid w:val="007A6E35"/>
    <w:rsid w:val="007A6F20"/>
    <w:rsid w:val="007A7212"/>
    <w:rsid w:val="007A7675"/>
    <w:rsid w:val="007A76A0"/>
    <w:rsid w:val="007A76D8"/>
    <w:rsid w:val="007A7BBD"/>
    <w:rsid w:val="007B0659"/>
    <w:rsid w:val="007B07EB"/>
    <w:rsid w:val="007B0AF0"/>
    <w:rsid w:val="007B0BD2"/>
    <w:rsid w:val="007B1C8B"/>
    <w:rsid w:val="007B2083"/>
    <w:rsid w:val="007B23CE"/>
    <w:rsid w:val="007B2B37"/>
    <w:rsid w:val="007B2B6E"/>
    <w:rsid w:val="007B2D1F"/>
    <w:rsid w:val="007B3679"/>
    <w:rsid w:val="007B37B5"/>
    <w:rsid w:val="007B3EA1"/>
    <w:rsid w:val="007B55F0"/>
    <w:rsid w:val="007B6466"/>
    <w:rsid w:val="007B752E"/>
    <w:rsid w:val="007B77BF"/>
    <w:rsid w:val="007B7A36"/>
    <w:rsid w:val="007B7C46"/>
    <w:rsid w:val="007C0011"/>
    <w:rsid w:val="007C0890"/>
    <w:rsid w:val="007C1376"/>
    <w:rsid w:val="007C1528"/>
    <w:rsid w:val="007C29BD"/>
    <w:rsid w:val="007C2BFB"/>
    <w:rsid w:val="007C2FCC"/>
    <w:rsid w:val="007C33DB"/>
    <w:rsid w:val="007C4354"/>
    <w:rsid w:val="007C4C5A"/>
    <w:rsid w:val="007C5126"/>
    <w:rsid w:val="007C541F"/>
    <w:rsid w:val="007C557A"/>
    <w:rsid w:val="007C5978"/>
    <w:rsid w:val="007C5A0B"/>
    <w:rsid w:val="007C67D0"/>
    <w:rsid w:val="007C71F3"/>
    <w:rsid w:val="007C75F7"/>
    <w:rsid w:val="007C76A0"/>
    <w:rsid w:val="007C7B4B"/>
    <w:rsid w:val="007D075F"/>
    <w:rsid w:val="007D0784"/>
    <w:rsid w:val="007D0924"/>
    <w:rsid w:val="007D120F"/>
    <w:rsid w:val="007D1DCD"/>
    <w:rsid w:val="007D2554"/>
    <w:rsid w:val="007D31E4"/>
    <w:rsid w:val="007D39DB"/>
    <w:rsid w:val="007D3CED"/>
    <w:rsid w:val="007D402F"/>
    <w:rsid w:val="007D47DF"/>
    <w:rsid w:val="007D5C5A"/>
    <w:rsid w:val="007D5DD3"/>
    <w:rsid w:val="007D61E7"/>
    <w:rsid w:val="007D6349"/>
    <w:rsid w:val="007D6D41"/>
    <w:rsid w:val="007D6DE8"/>
    <w:rsid w:val="007D6EBB"/>
    <w:rsid w:val="007D7E1B"/>
    <w:rsid w:val="007E0543"/>
    <w:rsid w:val="007E0AE5"/>
    <w:rsid w:val="007E0DA3"/>
    <w:rsid w:val="007E0E87"/>
    <w:rsid w:val="007E0ECF"/>
    <w:rsid w:val="007E1259"/>
    <w:rsid w:val="007E16F5"/>
    <w:rsid w:val="007E1765"/>
    <w:rsid w:val="007E2026"/>
    <w:rsid w:val="007E20D2"/>
    <w:rsid w:val="007E3D29"/>
    <w:rsid w:val="007E3FC9"/>
    <w:rsid w:val="007E4D70"/>
    <w:rsid w:val="007E5535"/>
    <w:rsid w:val="007E575F"/>
    <w:rsid w:val="007E585B"/>
    <w:rsid w:val="007E5A91"/>
    <w:rsid w:val="007E5C46"/>
    <w:rsid w:val="007E6B30"/>
    <w:rsid w:val="007E7559"/>
    <w:rsid w:val="007E7C40"/>
    <w:rsid w:val="007F0144"/>
    <w:rsid w:val="007F1014"/>
    <w:rsid w:val="007F1597"/>
    <w:rsid w:val="007F1611"/>
    <w:rsid w:val="007F22C1"/>
    <w:rsid w:val="007F2651"/>
    <w:rsid w:val="007F26BB"/>
    <w:rsid w:val="007F311B"/>
    <w:rsid w:val="007F3666"/>
    <w:rsid w:val="007F3DD3"/>
    <w:rsid w:val="007F4949"/>
    <w:rsid w:val="007F4D2C"/>
    <w:rsid w:val="007F4F70"/>
    <w:rsid w:val="007F5C94"/>
    <w:rsid w:val="007F5E13"/>
    <w:rsid w:val="007F6350"/>
    <w:rsid w:val="007F6561"/>
    <w:rsid w:val="007F6867"/>
    <w:rsid w:val="007F796A"/>
    <w:rsid w:val="0080004D"/>
    <w:rsid w:val="00800E82"/>
    <w:rsid w:val="00801326"/>
    <w:rsid w:val="0080198F"/>
    <w:rsid w:val="00801B9A"/>
    <w:rsid w:val="00801E41"/>
    <w:rsid w:val="00801FF4"/>
    <w:rsid w:val="008026A0"/>
    <w:rsid w:val="00802721"/>
    <w:rsid w:val="00803E48"/>
    <w:rsid w:val="00803F44"/>
    <w:rsid w:val="008041C3"/>
    <w:rsid w:val="00804507"/>
    <w:rsid w:val="00804F03"/>
    <w:rsid w:val="00805363"/>
    <w:rsid w:val="00805FB0"/>
    <w:rsid w:val="00806241"/>
    <w:rsid w:val="008062E0"/>
    <w:rsid w:val="0080638F"/>
    <w:rsid w:val="00807772"/>
    <w:rsid w:val="00807848"/>
    <w:rsid w:val="0080793F"/>
    <w:rsid w:val="00807DF3"/>
    <w:rsid w:val="008101CB"/>
    <w:rsid w:val="00810B41"/>
    <w:rsid w:val="00810C20"/>
    <w:rsid w:val="00811ACA"/>
    <w:rsid w:val="00811C65"/>
    <w:rsid w:val="008120D1"/>
    <w:rsid w:val="00812681"/>
    <w:rsid w:val="00812F5C"/>
    <w:rsid w:val="0081321B"/>
    <w:rsid w:val="008135DA"/>
    <w:rsid w:val="00813A0A"/>
    <w:rsid w:val="00813CC0"/>
    <w:rsid w:val="00813CE1"/>
    <w:rsid w:val="008147C1"/>
    <w:rsid w:val="008149EA"/>
    <w:rsid w:val="00814B4A"/>
    <w:rsid w:val="00814D52"/>
    <w:rsid w:val="0081583C"/>
    <w:rsid w:val="00815D7B"/>
    <w:rsid w:val="00816466"/>
    <w:rsid w:val="00816582"/>
    <w:rsid w:val="00816B5F"/>
    <w:rsid w:val="008172BD"/>
    <w:rsid w:val="008174A2"/>
    <w:rsid w:val="00817BD9"/>
    <w:rsid w:val="00820708"/>
    <w:rsid w:val="00821302"/>
    <w:rsid w:val="00821ADF"/>
    <w:rsid w:val="00821CC5"/>
    <w:rsid w:val="0082253C"/>
    <w:rsid w:val="00822725"/>
    <w:rsid w:val="00822A90"/>
    <w:rsid w:val="0082328D"/>
    <w:rsid w:val="0082351E"/>
    <w:rsid w:val="0082395D"/>
    <w:rsid w:val="0082398A"/>
    <w:rsid w:val="0082438A"/>
    <w:rsid w:val="00824944"/>
    <w:rsid w:val="00824D4D"/>
    <w:rsid w:val="008253EC"/>
    <w:rsid w:val="008255D4"/>
    <w:rsid w:val="00826133"/>
    <w:rsid w:val="00826788"/>
    <w:rsid w:val="00826BF5"/>
    <w:rsid w:val="00826CEE"/>
    <w:rsid w:val="00826F5B"/>
    <w:rsid w:val="008276C0"/>
    <w:rsid w:val="00827A4E"/>
    <w:rsid w:val="008300EC"/>
    <w:rsid w:val="00830105"/>
    <w:rsid w:val="008309F3"/>
    <w:rsid w:val="00830B24"/>
    <w:rsid w:val="0083113B"/>
    <w:rsid w:val="0083154C"/>
    <w:rsid w:val="00831581"/>
    <w:rsid w:val="00831739"/>
    <w:rsid w:val="0083193F"/>
    <w:rsid w:val="00831B36"/>
    <w:rsid w:val="00832AB3"/>
    <w:rsid w:val="00833BF7"/>
    <w:rsid w:val="008344EE"/>
    <w:rsid w:val="00834930"/>
    <w:rsid w:val="00834C9D"/>
    <w:rsid w:val="00834CEC"/>
    <w:rsid w:val="00835272"/>
    <w:rsid w:val="008358E4"/>
    <w:rsid w:val="00835FA0"/>
    <w:rsid w:val="008363CD"/>
    <w:rsid w:val="008363D4"/>
    <w:rsid w:val="00837051"/>
    <w:rsid w:val="008372F5"/>
    <w:rsid w:val="00837621"/>
    <w:rsid w:val="00837A8B"/>
    <w:rsid w:val="00837D04"/>
    <w:rsid w:val="00840718"/>
    <w:rsid w:val="0084184D"/>
    <w:rsid w:val="00841E8F"/>
    <w:rsid w:val="0084246D"/>
    <w:rsid w:val="00842DB1"/>
    <w:rsid w:val="0084312C"/>
    <w:rsid w:val="008431C0"/>
    <w:rsid w:val="008431CD"/>
    <w:rsid w:val="008431D0"/>
    <w:rsid w:val="00843E77"/>
    <w:rsid w:val="00843F51"/>
    <w:rsid w:val="00843FEF"/>
    <w:rsid w:val="0084403D"/>
    <w:rsid w:val="0084422E"/>
    <w:rsid w:val="008442CC"/>
    <w:rsid w:val="00844A57"/>
    <w:rsid w:val="00844FA2"/>
    <w:rsid w:val="0084563E"/>
    <w:rsid w:val="008457F6"/>
    <w:rsid w:val="00845D35"/>
    <w:rsid w:val="00845E2A"/>
    <w:rsid w:val="00846597"/>
    <w:rsid w:val="00847A2A"/>
    <w:rsid w:val="00847B0B"/>
    <w:rsid w:val="00847DC4"/>
    <w:rsid w:val="00850765"/>
    <w:rsid w:val="0085087F"/>
    <w:rsid w:val="00851E68"/>
    <w:rsid w:val="00852560"/>
    <w:rsid w:val="00852727"/>
    <w:rsid w:val="00852D06"/>
    <w:rsid w:val="0085341A"/>
    <w:rsid w:val="00853895"/>
    <w:rsid w:val="00853922"/>
    <w:rsid w:val="00853B8F"/>
    <w:rsid w:val="00854DF8"/>
    <w:rsid w:val="00854E7B"/>
    <w:rsid w:val="0085563D"/>
    <w:rsid w:val="00856201"/>
    <w:rsid w:val="008563C6"/>
    <w:rsid w:val="008574C8"/>
    <w:rsid w:val="0086017E"/>
    <w:rsid w:val="00860E0C"/>
    <w:rsid w:val="00862CE9"/>
    <w:rsid w:val="008631A3"/>
    <w:rsid w:val="00863B30"/>
    <w:rsid w:val="00863EAC"/>
    <w:rsid w:val="00863FF7"/>
    <w:rsid w:val="008650C0"/>
    <w:rsid w:val="00866181"/>
    <w:rsid w:val="00866183"/>
    <w:rsid w:val="00866850"/>
    <w:rsid w:val="00866A51"/>
    <w:rsid w:val="00866B39"/>
    <w:rsid w:val="008675D3"/>
    <w:rsid w:val="00867A7F"/>
    <w:rsid w:val="00867BA0"/>
    <w:rsid w:val="00867CB9"/>
    <w:rsid w:val="00870304"/>
    <w:rsid w:val="008707D7"/>
    <w:rsid w:val="00870B7F"/>
    <w:rsid w:val="008715C0"/>
    <w:rsid w:val="00871873"/>
    <w:rsid w:val="008720F2"/>
    <w:rsid w:val="00872E70"/>
    <w:rsid w:val="00873022"/>
    <w:rsid w:val="008731CF"/>
    <w:rsid w:val="00873255"/>
    <w:rsid w:val="00873F31"/>
    <w:rsid w:val="00874B72"/>
    <w:rsid w:val="00875003"/>
    <w:rsid w:val="00875163"/>
    <w:rsid w:val="00875AC6"/>
    <w:rsid w:val="0087629F"/>
    <w:rsid w:val="0087655C"/>
    <w:rsid w:val="0087695D"/>
    <w:rsid w:val="00876B4B"/>
    <w:rsid w:val="00876FFE"/>
    <w:rsid w:val="008800CB"/>
    <w:rsid w:val="00880642"/>
    <w:rsid w:val="00881142"/>
    <w:rsid w:val="00881C83"/>
    <w:rsid w:val="00882B33"/>
    <w:rsid w:val="00882DD4"/>
    <w:rsid w:val="00882DFA"/>
    <w:rsid w:val="0088450D"/>
    <w:rsid w:val="008846AD"/>
    <w:rsid w:val="00884710"/>
    <w:rsid w:val="00884D56"/>
    <w:rsid w:val="00884F65"/>
    <w:rsid w:val="00885975"/>
    <w:rsid w:val="00886085"/>
    <w:rsid w:val="008861B1"/>
    <w:rsid w:val="00886D28"/>
    <w:rsid w:val="00887489"/>
    <w:rsid w:val="00887CA0"/>
    <w:rsid w:val="00890477"/>
    <w:rsid w:val="008904A6"/>
    <w:rsid w:val="00890E02"/>
    <w:rsid w:val="00891750"/>
    <w:rsid w:val="008917A2"/>
    <w:rsid w:val="00892A7D"/>
    <w:rsid w:val="00892D77"/>
    <w:rsid w:val="00892E25"/>
    <w:rsid w:val="00893447"/>
    <w:rsid w:val="00893828"/>
    <w:rsid w:val="00893869"/>
    <w:rsid w:val="00893968"/>
    <w:rsid w:val="00893F0A"/>
    <w:rsid w:val="0089440E"/>
    <w:rsid w:val="008954F9"/>
    <w:rsid w:val="0089555B"/>
    <w:rsid w:val="00895B9E"/>
    <w:rsid w:val="00896B16"/>
    <w:rsid w:val="00896C3B"/>
    <w:rsid w:val="008972E0"/>
    <w:rsid w:val="0089776B"/>
    <w:rsid w:val="008A0331"/>
    <w:rsid w:val="008A0383"/>
    <w:rsid w:val="008A055A"/>
    <w:rsid w:val="008A0611"/>
    <w:rsid w:val="008A06E9"/>
    <w:rsid w:val="008A114B"/>
    <w:rsid w:val="008A1323"/>
    <w:rsid w:val="008A1478"/>
    <w:rsid w:val="008A1483"/>
    <w:rsid w:val="008A14A3"/>
    <w:rsid w:val="008A1D1B"/>
    <w:rsid w:val="008A1D1D"/>
    <w:rsid w:val="008A1D2F"/>
    <w:rsid w:val="008A20D6"/>
    <w:rsid w:val="008A3172"/>
    <w:rsid w:val="008A3667"/>
    <w:rsid w:val="008A3D3E"/>
    <w:rsid w:val="008A4AFD"/>
    <w:rsid w:val="008A55E3"/>
    <w:rsid w:val="008A5727"/>
    <w:rsid w:val="008A5772"/>
    <w:rsid w:val="008A670C"/>
    <w:rsid w:val="008A763D"/>
    <w:rsid w:val="008A77A5"/>
    <w:rsid w:val="008A7936"/>
    <w:rsid w:val="008B0295"/>
    <w:rsid w:val="008B029F"/>
    <w:rsid w:val="008B1212"/>
    <w:rsid w:val="008B1AA8"/>
    <w:rsid w:val="008B1C67"/>
    <w:rsid w:val="008B2156"/>
    <w:rsid w:val="008B2263"/>
    <w:rsid w:val="008B25CD"/>
    <w:rsid w:val="008B2804"/>
    <w:rsid w:val="008B2EB0"/>
    <w:rsid w:val="008B2F5E"/>
    <w:rsid w:val="008B3159"/>
    <w:rsid w:val="008B3789"/>
    <w:rsid w:val="008B42D1"/>
    <w:rsid w:val="008B49F5"/>
    <w:rsid w:val="008B54B2"/>
    <w:rsid w:val="008B5628"/>
    <w:rsid w:val="008B5BCB"/>
    <w:rsid w:val="008B5FDB"/>
    <w:rsid w:val="008B649E"/>
    <w:rsid w:val="008B6656"/>
    <w:rsid w:val="008B6766"/>
    <w:rsid w:val="008B714C"/>
    <w:rsid w:val="008B779D"/>
    <w:rsid w:val="008C0555"/>
    <w:rsid w:val="008C1565"/>
    <w:rsid w:val="008C1D29"/>
    <w:rsid w:val="008C2051"/>
    <w:rsid w:val="008C2BAF"/>
    <w:rsid w:val="008C4229"/>
    <w:rsid w:val="008C46F9"/>
    <w:rsid w:val="008C542E"/>
    <w:rsid w:val="008C55CD"/>
    <w:rsid w:val="008C5A8C"/>
    <w:rsid w:val="008C5BDA"/>
    <w:rsid w:val="008C5EA8"/>
    <w:rsid w:val="008C61CE"/>
    <w:rsid w:val="008C629C"/>
    <w:rsid w:val="008C6AB6"/>
    <w:rsid w:val="008C6D4D"/>
    <w:rsid w:val="008C7EC0"/>
    <w:rsid w:val="008D04D9"/>
    <w:rsid w:val="008D1163"/>
    <w:rsid w:val="008D1179"/>
    <w:rsid w:val="008D1F52"/>
    <w:rsid w:val="008D29D0"/>
    <w:rsid w:val="008D3744"/>
    <w:rsid w:val="008D3B52"/>
    <w:rsid w:val="008D49FD"/>
    <w:rsid w:val="008D4DC1"/>
    <w:rsid w:val="008D59F5"/>
    <w:rsid w:val="008D5DE0"/>
    <w:rsid w:val="008D644B"/>
    <w:rsid w:val="008D6E87"/>
    <w:rsid w:val="008D72CC"/>
    <w:rsid w:val="008D785D"/>
    <w:rsid w:val="008D786A"/>
    <w:rsid w:val="008D7B28"/>
    <w:rsid w:val="008D7BF6"/>
    <w:rsid w:val="008D7E89"/>
    <w:rsid w:val="008E1111"/>
    <w:rsid w:val="008E11F4"/>
    <w:rsid w:val="008E1334"/>
    <w:rsid w:val="008E13D3"/>
    <w:rsid w:val="008E15F9"/>
    <w:rsid w:val="008E1EEB"/>
    <w:rsid w:val="008E2E77"/>
    <w:rsid w:val="008E3506"/>
    <w:rsid w:val="008E37E7"/>
    <w:rsid w:val="008E3C43"/>
    <w:rsid w:val="008E4296"/>
    <w:rsid w:val="008E4A73"/>
    <w:rsid w:val="008E56BE"/>
    <w:rsid w:val="008E5D5C"/>
    <w:rsid w:val="008E5FB8"/>
    <w:rsid w:val="008E6141"/>
    <w:rsid w:val="008E6458"/>
    <w:rsid w:val="008E675B"/>
    <w:rsid w:val="008E6ACA"/>
    <w:rsid w:val="008E7042"/>
    <w:rsid w:val="008E743B"/>
    <w:rsid w:val="008E7CEA"/>
    <w:rsid w:val="008E7D54"/>
    <w:rsid w:val="008E7F41"/>
    <w:rsid w:val="008F069A"/>
    <w:rsid w:val="008F087F"/>
    <w:rsid w:val="008F0BDD"/>
    <w:rsid w:val="008F0FF3"/>
    <w:rsid w:val="008F101F"/>
    <w:rsid w:val="008F16A3"/>
    <w:rsid w:val="008F17B8"/>
    <w:rsid w:val="008F210F"/>
    <w:rsid w:val="008F258A"/>
    <w:rsid w:val="008F26F3"/>
    <w:rsid w:val="008F2CE1"/>
    <w:rsid w:val="008F3B77"/>
    <w:rsid w:val="008F42F3"/>
    <w:rsid w:val="008F4E8C"/>
    <w:rsid w:val="008F51DC"/>
    <w:rsid w:val="008F568A"/>
    <w:rsid w:val="008F5A2B"/>
    <w:rsid w:val="008F5C52"/>
    <w:rsid w:val="008F5D9D"/>
    <w:rsid w:val="008F605B"/>
    <w:rsid w:val="008F63A9"/>
    <w:rsid w:val="008F65F2"/>
    <w:rsid w:val="008F6FD1"/>
    <w:rsid w:val="009001B7"/>
    <w:rsid w:val="00900778"/>
    <w:rsid w:val="00900905"/>
    <w:rsid w:val="00900A12"/>
    <w:rsid w:val="0090103B"/>
    <w:rsid w:val="00901905"/>
    <w:rsid w:val="00902412"/>
    <w:rsid w:val="00902F30"/>
    <w:rsid w:val="00904139"/>
    <w:rsid w:val="009044B7"/>
    <w:rsid w:val="0090462D"/>
    <w:rsid w:val="00904BD3"/>
    <w:rsid w:val="00904CA7"/>
    <w:rsid w:val="00904F74"/>
    <w:rsid w:val="009056A3"/>
    <w:rsid w:val="009057C3"/>
    <w:rsid w:val="00906222"/>
    <w:rsid w:val="00906548"/>
    <w:rsid w:val="0090655C"/>
    <w:rsid w:val="00906B85"/>
    <w:rsid w:val="00906E40"/>
    <w:rsid w:val="00906F4C"/>
    <w:rsid w:val="00907D2E"/>
    <w:rsid w:val="00910C2A"/>
    <w:rsid w:val="009116C7"/>
    <w:rsid w:val="00911DF8"/>
    <w:rsid w:val="00912510"/>
    <w:rsid w:val="009126E5"/>
    <w:rsid w:val="00913445"/>
    <w:rsid w:val="0091388B"/>
    <w:rsid w:val="0091521B"/>
    <w:rsid w:val="009152D8"/>
    <w:rsid w:val="00915309"/>
    <w:rsid w:val="00915D17"/>
    <w:rsid w:val="00915E42"/>
    <w:rsid w:val="009160A2"/>
    <w:rsid w:val="009160FD"/>
    <w:rsid w:val="0091651B"/>
    <w:rsid w:val="009167AC"/>
    <w:rsid w:val="0091749F"/>
    <w:rsid w:val="00917CA6"/>
    <w:rsid w:val="009203AC"/>
    <w:rsid w:val="00920484"/>
    <w:rsid w:val="00920ADB"/>
    <w:rsid w:val="009211E9"/>
    <w:rsid w:val="00921523"/>
    <w:rsid w:val="00922712"/>
    <w:rsid w:val="00923411"/>
    <w:rsid w:val="00923DF8"/>
    <w:rsid w:val="00924036"/>
    <w:rsid w:val="00924852"/>
    <w:rsid w:val="00924F2E"/>
    <w:rsid w:val="00925206"/>
    <w:rsid w:val="009253C0"/>
    <w:rsid w:val="00925CEC"/>
    <w:rsid w:val="009264B0"/>
    <w:rsid w:val="00926773"/>
    <w:rsid w:val="0092682F"/>
    <w:rsid w:val="00926940"/>
    <w:rsid w:val="00926998"/>
    <w:rsid w:val="00926FC2"/>
    <w:rsid w:val="0092766E"/>
    <w:rsid w:val="00927FF2"/>
    <w:rsid w:val="009300C3"/>
    <w:rsid w:val="00931160"/>
    <w:rsid w:val="009316AC"/>
    <w:rsid w:val="009316BF"/>
    <w:rsid w:val="00931CA2"/>
    <w:rsid w:val="00931D69"/>
    <w:rsid w:val="009323A5"/>
    <w:rsid w:val="00932E6E"/>
    <w:rsid w:val="009330AF"/>
    <w:rsid w:val="009335D0"/>
    <w:rsid w:val="00933A57"/>
    <w:rsid w:val="00933DDD"/>
    <w:rsid w:val="0093465A"/>
    <w:rsid w:val="00934896"/>
    <w:rsid w:val="00935D1A"/>
    <w:rsid w:val="00936000"/>
    <w:rsid w:val="00936297"/>
    <w:rsid w:val="0093633F"/>
    <w:rsid w:val="009363BB"/>
    <w:rsid w:val="00936AA6"/>
    <w:rsid w:val="00936E09"/>
    <w:rsid w:val="009379D3"/>
    <w:rsid w:val="00937A41"/>
    <w:rsid w:val="00937D8A"/>
    <w:rsid w:val="0094041B"/>
    <w:rsid w:val="00940F6F"/>
    <w:rsid w:val="00942BC6"/>
    <w:rsid w:val="00942D8A"/>
    <w:rsid w:val="00942F7E"/>
    <w:rsid w:val="00943121"/>
    <w:rsid w:val="009434E5"/>
    <w:rsid w:val="009437B4"/>
    <w:rsid w:val="0094397E"/>
    <w:rsid w:val="00943C5B"/>
    <w:rsid w:val="0094473A"/>
    <w:rsid w:val="0094475B"/>
    <w:rsid w:val="00944B4F"/>
    <w:rsid w:val="00945BD6"/>
    <w:rsid w:val="00945E3B"/>
    <w:rsid w:val="00946134"/>
    <w:rsid w:val="00946984"/>
    <w:rsid w:val="00947393"/>
    <w:rsid w:val="009501BC"/>
    <w:rsid w:val="00950603"/>
    <w:rsid w:val="00951E9C"/>
    <w:rsid w:val="00952014"/>
    <w:rsid w:val="00952040"/>
    <w:rsid w:val="0095229F"/>
    <w:rsid w:val="00952495"/>
    <w:rsid w:val="00952B82"/>
    <w:rsid w:val="0095367D"/>
    <w:rsid w:val="009536DA"/>
    <w:rsid w:val="00953C4E"/>
    <w:rsid w:val="0095400D"/>
    <w:rsid w:val="00954207"/>
    <w:rsid w:val="009552D0"/>
    <w:rsid w:val="00955547"/>
    <w:rsid w:val="009557D0"/>
    <w:rsid w:val="00955EA4"/>
    <w:rsid w:val="00956A07"/>
    <w:rsid w:val="00956CEB"/>
    <w:rsid w:val="00956D05"/>
    <w:rsid w:val="00957407"/>
    <w:rsid w:val="00957648"/>
    <w:rsid w:val="009608AA"/>
    <w:rsid w:val="00960A75"/>
    <w:rsid w:val="00961819"/>
    <w:rsid w:val="00961A2E"/>
    <w:rsid w:val="00962982"/>
    <w:rsid w:val="00962C52"/>
    <w:rsid w:val="009631D4"/>
    <w:rsid w:val="0096330A"/>
    <w:rsid w:val="00963848"/>
    <w:rsid w:val="00963E6F"/>
    <w:rsid w:val="00964953"/>
    <w:rsid w:val="00965135"/>
    <w:rsid w:val="00965A90"/>
    <w:rsid w:val="00965E42"/>
    <w:rsid w:val="0096623F"/>
    <w:rsid w:val="00966487"/>
    <w:rsid w:val="009665F0"/>
    <w:rsid w:val="0096712C"/>
    <w:rsid w:val="00967889"/>
    <w:rsid w:val="009679EE"/>
    <w:rsid w:val="00967A99"/>
    <w:rsid w:val="00967B07"/>
    <w:rsid w:val="00967FBA"/>
    <w:rsid w:val="00970726"/>
    <w:rsid w:val="00970966"/>
    <w:rsid w:val="00970B44"/>
    <w:rsid w:val="00970E2D"/>
    <w:rsid w:val="0097170F"/>
    <w:rsid w:val="00971A77"/>
    <w:rsid w:val="00971DB7"/>
    <w:rsid w:val="00973F1A"/>
    <w:rsid w:val="00974FA0"/>
    <w:rsid w:val="009751F8"/>
    <w:rsid w:val="009753C4"/>
    <w:rsid w:val="00975958"/>
    <w:rsid w:val="00975A02"/>
    <w:rsid w:val="00975A10"/>
    <w:rsid w:val="00975AFA"/>
    <w:rsid w:val="00977008"/>
    <w:rsid w:val="00977307"/>
    <w:rsid w:val="00977606"/>
    <w:rsid w:val="00977B29"/>
    <w:rsid w:val="00977BC6"/>
    <w:rsid w:val="00980289"/>
    <w:rsid w:val="00980D3D"/>
    <w:rsid w:val="009810AD"/>
    <w:rsid w:val="0098148D"/>
    <w:rsid w:val="00981782"/>
    <w:rsid w:val="00981820"/>
    <w:rsid w:val="00981936"/>
    <w:rsid w:val="00981961"/>
    <w:rsid w:val="009819AF"/>
    <w:rsid w:val="009821E1"/>
    <w:rsid w:val="009825FB"/>
    <w:rsid w:val="0098268A"/>
    <w:rsid w:val="00982BD1"/>
    <w:rsid w:val="00982D8C"/>
    <w:rsid w:val="0098312E"/>
    <w:rsid w:val="00983662"/>
    <w:rsid w:val="009836C2"/>
    <w:rsid w:val="00983A39"/>
    <w:rsid w:val="00983BB4"/>
    <w:rsid w:val="00984449"/>
    <w:rsid w:val="00984473"/>
    <w:rsid w:val="00984724"/>
    <w:rsid w:val="00984B49"/>
    <w:rsid w:val="00985074"/>
    <w:rsid w:val="00985107"/>
    <w:rsid w:val="0098564B"/>
    <w:rsid w:val="00986361"/>
    <w:rsid w:val="00986645"/>
    <w:rsid w:val="00986DBD"/>
    <w:rsid w:val="00986FA5"/>
    <w:rsid w:val="009876CA"/>
    <w:rsid w:val="009877E0"/>
    <w:rsid w:val="00987CCC"/>
    <w:rsid w:val="00990EE4"/>
    <w:rsid w:val="00991378"/>
    <w:rsid w:val="00991F9F"/>
    <w:rsid w:val="0099316C"/>
    <w:rsid w:val="009935A9"/>
    <w:rsid w:val="00993BFC"/>
    <w:rsid w:val="00994764"/>
    <w:rsid w:val="00994FEC"/>
    <w:rsid w:val="0099579B"/>
    <w:rsid w:val="00995802"/>
    <w:rsid w:val="00995C71"/>
    <w:rsid w:val="009966AE"/>
    <w:rsid w:val="00996F07"/>
    <w:rsid w:val="00997769"/>
    <w:rsid w:val="009A060C"/>
    <w:rsid w:val="009A071F"/>
    <w:rsid w:val="009A085A"/>
    <w:rsid w:val="009A0891"/>
    <w:rsid w:val="009A121F"/>
    <w:rsid w:val="009A1ADD"/>
    <w:rsid w:val="009A20D8"/>
    <w:rsid w:val="009A2C8D"/>
    <w:rsid w:val="009A2F34"/>
    <w:rsid w:val="009A3358"/>
    <w:rsid w:val="009A4003"/>
    <w:rsid w:val="009A4117"/>
    <w:rsid w:val="009A4392"/>
    <w:rsid w:val="009A4509"/>
    <w:rsid w:val="009A4697"/>
    <w:rsid w:val="009A5338"/>
    <w:rsid w:val="009A58DE"/>
    <w:rsid w:val="009A5A10"/>
    <w:rsid w:val="009A72FD"/>
    <w:rsid w:val="009B053D"/>
    <w:rsid w:val="009B068C"/>
    <w:rsid w:val="009B0B9A"/>
    <w:rsid w:val="009B215D"/>
    <w:rsid w:val="009B319C"/>
    <w:rsid w:val="009B3F39"/>
    <w:rsid w:val="009B4935"/>
    <w:rsid w:val="009B49C6"/>
    <w:rsid w:val="009B5160"/>
    <w:rsid w:val="009B563A"/>
    <w:rsid w:val="009B5CA7"/>
    <w:rsid w:val="009B689D"/>
    <w:rsid w:val="009C012C"/>
    <w:rsid w:val="009C0DDA"/>
    <w:rsid w:val="009C100B"/>
    <w:rsid w:val="009C1AE6"/>
    <w:rsid w:val="009C1BF4"/>
    <w:rsid w:val="009C208A"/>
    <w:rsid w:val="009C21B1"/>
    <w:rsid w:val="009C2795"/>
    <w:rsid w:val="009C2B66"/>
    <w:rsid w:val="009C3924"/>
    <w:rsid w:val="009C4B45"/>
    <w:rsid w:val="009C5103"/>
    <w:rsid w:val="009C5DE0"/>
    <w:rsid w:val="009C64F9"/>
    <w:rsid w:val="009C656D"/>
    <w:rsid w:val="009C753D"/>
    <w:rsid w:val="009C7D43"/>
    <w:rsid w:val="009D037C"/>
    <w:rsid w:val="009D0CBC"/>
    <w:rsid w:val="009D2116"/>
    <w:rsid w:val="009D230D"/>
    <w:rsid w:val="009D2473"/>
    <w:rsid w:val="009D251D"/>
    <w:rsid w:val="009D2BC9"/>
    <w:rsid w:val="009D341D"/>
    <w:rsid w:val="009D349E"/>
    <w:rsid w:val="009D34B0"/>
    <w:rsid w:val="009D38A6"/>
    <w:rsid w:val="009D3D06"/>
    <w:rsid w:val="009D4B59"/>
    <w:rsid w:val="009D4D33"/>
    <w:rsid w:val="009D7FC9"/>
    <w:rsid w:val="009E02AC"/>
    <w:rsid w:val="009E069E"/>
    <w:rsid w:val="009E14C7"/>
    <w:rsid w:val="009E1E8A"/>
    <w:rsid w:val="009E2682"/>
    <w:rsid w:val="009E2AAC"/>
    <w:rsid w:val="009E2E3F"/>
    <w:rsid w:val="009E31E2"/>
    <w:rsid w:val="009E3C7A"/>
    <w:rsid w:val="009E3CE2"/>
    <w:rsid w:val="009E3F97"/>
    <w:rsid w:val="009E466B"/>
    <w:rsid w:val="009E4824"/>
    <w:rsid w:val="009E4D94"/>
    <w:rsid w:val="009E5127"/>
    <w:rsid w:val="009E5235"/>
    <w:rsid w:val="009E651C"/>
    <w:rsid w:val="009E6647"/>
    <w:rsid w:val="009E6A9D"/>
    <w:rsid w:val="009E6C8F"/>
    <w:rsid w:val="009E776F"/>
    <w:rsid w:val="009F0979"/>
    <w:rsid w:val="009F1E84"/>
    <w:rsid w:val="009F23BA"/>
    <w:rsid w:val="009F24C8"/>
    <w:rsid w:val="009F2A4E"/>
    <w:rsid w:val="009F4973"/>
    <w:rsid w:val="009F5218"/>
    <w:rsid w:val="009F600D"/>
    <w:rsid w:val="009F6747"/>
    <w:rsid w:val="009F68FB"/>
    <w:rsid w:val="009F6B12"/>
    <w:rsid w:val="009F6C31"/>
    <w:rsid w:val="009F7AE7"/>
    <w:rsid w:val="00A003C6"/>
    <w:rsid w:val="00A0115E"/>
    <w:rsid w:val="00A02C5C"/>
    <w:rsid w:val="00A03121"/>
    <w:rsid w:val="00A03638"/>
    <w:rsid w:val="00A0385B"/>
    <w:rsid w:val="00A03B5C"/>
    <w:rsid w:val="00A03DE9"/>
    <w:rsid w:val="00A04B48"/>
    <w:rsid w:val="00A05071"/>
    <w:rsid w:val="00A0521B"/>
    <w:rsid w:val="00A05553"/>
    <w:rsid w:val="00A05745"/>
    <w:rsid w:val="00A06103"/>
    <w:rsid w:val="00A06C66"/>
    <w:rsid w:val="00A072DE"/>
    <w:rsid w:val="00A07960"/>
    <w:rsid w:val="00A079C9"/>
    <w:rsid w:val="00A07C12"/>
    <w:rsid w:val="00A07EAA"/>
    <w:rsid w:val="00A10121"/>
    <w:rsid w:val="00A10201"/>
    <w:rsid w:val="00A104B1"/>
    <w:rsid w:val="00A1084B"/>
    <w:rsid w:val="00A10C37"/>
    <w:rsid w:val="00A10CF3"/>
    <w:rsid w:val="00A10EBE"/>
    <w:rsid w:val="00A11131"/>
    <w:rsid w:val="00A11A34"/>
    <w:rsid w:val="00A1256B"/>
    <w:rsid w:val="00A127B9"/>
    <w:rsid w:val="00A12F87"/>
    <w:rsid w:val="00A13CC1"/>
    <w:rsid w:val="00A146E8"/>
    <w:rsid w:val="00A14868"/>
    <w:rsid w:val="00A14F2F"/>
    <w:rsid w:val="00A157BB"/>
    <w:rsid w:val="00A15941"/>
    <w:rsid w:val="00A15AE1"/>
    <w:rsid w:val="00A16474"/>
    <w:rsid w:val="00A165C5"/>
    <w:rsid w:val="00A16C56"/>
    <w:rsid w:val="00A16DF9"/>
    <w:rsid w:val="00A16F9C"/>
    <w:rsid w:val="00A1747C"/>
    <w:rsid w:val="00A179E6"/>
    <w:rsid w:val="00A20348"/>
    <w:rsid w:val="00A20BDE"/>
    <w:rsid w:val="00A21F19"/>
    <w:rsid w:val="00A23783"/>
    <w:rsid w:val="00A25273"/>
    <w:rsid w:val="00A258DA"/>
    <w:rsid w:val="00A25948"/>
    <w:rsid w:val="00A26A96"/>
    <w:rsid w:val="00A26D0D"/>
    <w:rsid w:val="00A26FDD"/>
    <w:rsid w:val="00A2755D"/>
    <w:rsid w:val="00A277A2"/>
    <w:rsid w:val="00A308D3"/>
    <w:rsid w:val="00A309D0"/>
    <w:rsid w:val="00A30AE3"/>
    <w:rsid w:val="00A30ECD"/>
    <w:rsid w:val="00A31778"/>
    <w:rsid w:val="00A31FAC"/>
    <w:rsid w:val="00A32CD7"/>
    <w:rsid w:val="00A32F98"/>
    <w:rsid w:val="00A332F5"/>
    <w:rsid w:val="00A33B91"/>
    <w:rsid w:val="00A33DDF"/>
    <w:rsid w:val="00A3428F"/>
    <w:rsid w:val="00A34468"/>
    <w:rsid w:val="00A34A7F"/>
    <w:rsid w:val="00A34D6D"/>
    <w:rsid w:val="00A35D82"/>
    <w:rsid w:val="00A361EA"/>
    <w:rsid w:val="00A3673B"/>
    <w:rsid w:val="00A36B3B"/>
    <w:rsid w:val="00A36EBC"/>
    <w:rsid w:val="00A3700F"/>
    <w:rsid w:val="00A374A1"/>
    <w:rsid w:val="00A37A63"/>
    <w:rsid w:val="00A40BAD"/>
    <w:rsid w:val="00A40C53"/>
    <w:rsid w:val="00A40D37"/>
    <w:rsid w:val="00A414F1"/>
    <w:rsid w:val="00A41CD0"/>
    <w:rsid w:val="00A420BC"/>
    <w:rsid w:val="00A4310E"/>
    <w:rsid w:val="00A43412"/>
    <w:rsid w:val="00A44231"/>
    <w:rsid w:val="00A44412"/>
    <w:rsid w:val="00A44516"/>
    <w:rsid w:val="00A44524"/>
    <w:rsid w:val="00A44BB3"/>
    <w:rsid w:val="00A44C07"/>
    <w:rsid w:val="00A4503F"/>
    <w:rsid w:val="00A45233"/>
    <w:rsid w:val="00A4544F"/>
    <w:rsid w:val="00A46A46"/>
    <w:rsid w:val="00A46C1C"/>
    <w:rsid w:val="00A46E58"/>
    <w:rsid w:val="00A475E4"/>
    <w:rsid w:val="00A47AD6"/>
    <w:rsid w:val="00A47CE3"/>
    <w:rsid w:val="00A47EC2"/>
    <w:rsid w:val="00A47FD9"/>
    <w:rsid w:val="00A50A0C"/>
    <w:rsid w:val="00A50E25"/>
    <w:rsid w:val="00A51254"/>
    <w:rsid w:val="00A51346"/>
    <w:rsid w:val="00A51B1A"/>
    <w:rsid w:val="00A51DF7"/>
    <w:rsid w:val="00A5214D"/>
    <w:rsid w:val="00A52227"/>
    <w:rsid w:val="00A526CB"/>
    <w:rsid w:val="00A532D9"/>
    <w:rsid w:val="00A532FF"/>
    <w:rsid w:val="00A53418"/>
    <w:rsid w:val="00A535C9"/>
    <w:rsid w:val="00A53E9B"/>
    <w:rsid w:val="00A5419F"/>
    <w:rsid w:val="00A55254"/>
    <w:rsid w:val="00A5534D"/>
    <w:rsid w:val="00A5598D"/>
    <w:rsid w:val="00A5639E"/>
    <w:rsid w:val="00A56ECA"/>
    <w:rsid w:val="00A56EDA"/>
    <w:rsid w:val="00A5709C"/>
    <w:rsid w:val="00A57851"/>
    <w:rsid w:val="00A57E8A"/>
    <w:rsid w:val="00A609F1"/>
    <w:rsid w:val="00A60A7D"/>
    <w:rsid w:val="00A60C01"/>
    <w:rsid w:val="00A616DA"/>
    <w:rsid w:val="00A61BF4"/>
    <w:rsid w:val="00A629E2"/>
    <w:rsid w:val="00A62CA3"/>
    <w:rsid w:val="00A62E63"/>
    <w:rsid w:val="00A62FC7"/>
    <w:rsid w:val="00A633B7"/>
    <w:rsid w:val="00A63658"/>
    <w:rsid w:val="00A63890"/>
    <w:rsid w:val="00A63DA9"/>
    <w:rsid w:val="00A641B1"/>
    <w:rsid w:val="00A64AD4"/>
    <w:rsid w:val="00A64B79"/>
    <w:rsid w:val="00A6559F"/>
    <w:rsid w:val="00A6564F"/>
    <w:rsid w:val="00A656B4"/>
    <w:rsid w:val="00A659D1"/>
    <w:rsid w:val="00A65E02"/>
    <w:rsid w:val="00A662AA"/>
    <w:rsid w:val="00A667E3"/>
    <w:rsid w:val="00A66B6C"/>
    <w:rsid w:val="00A674B7"/>
    <w:rsid w:val="00A675B6"/>
    <w:rsid w:val="00A67602"/>
    <w:rsid w:val="00A701A8"/>
    <w:rsid w:val="00A705B3"/>
    <w:rsid w:val="00A70ECE"/>
    <w:rsid w:val="00A71222"/>
    <w:rsid w:val="00A713A3"/>
    <w:rsid w:val="00A7192A"/>
    <w:rsid w:val="00A7217C"/>
    <w:rsid w:val="00A721E2"/>
    <w:rsid w:val="00A72227"/>
    <w:rsid w:val="00A72798"/>
    <w:rsid w:val="00A72BF5"/>
    <w:rsid w:val="00A72DC6"/>
    <w:rsid w:val="00A739B9"/>
    <w:rsid w:val="00A74FAF"/>
    <w:rsid w:val="00A7538C"/>
    <w:rsid w:val="00A755F5"/>
    <w:rsid w:val="00A7570E"/>
    <w:rsid w:val="00A75C80"/>
    <w:rsid w:val="00A76D42"/>
    <w:rsid w:val="00A77536"/>
    <w:rsid w:val="00A77C87"/>
    <w:rsid w:val="00A77D37"/>
    <w:rsid w:val="00A77F52"/>
    <w:rsid w:val="00A8009E"/>
    <w:rsid w:val="00A80221"/>
    <w:rsid w:val="00A802B1"/>
    <w:rsid w:val="00A80A44"/>
    <w:rsid w:val="00A80B20"/>
    <w:rsid w:val="00A810EE"/>
    <w:rsid w:val="00A81564"/>
    <w:rsid w:val="00A8187B"/>
    <w:rsid w:val="00A81B87"/>
    <w:rsid w:val="00A81DB8"/>
    <w:rsid w:val="00A829F6"/>
    <w:rsid w:val="00A82DD7"/>
    <w:rsid w:val="00A82FAE"/>
    <w:rsid w:val="00A8324E"/>
    <w:rsid w:val="00A833D1"/>
    <w:rsid w:val="00A83400"/>
    <w:rsid w:val="00A83583"/>
    <w:rsid w:val="00A839E8"/>
    <w:rsid w:val="00A83B06"/>
    <w:rsid w:val="00A83BBE"/>
    <w:rsid w:val="00A83BFB"/>
    <w:rsid w:val="00A841BD"/>
    <w:rsid w:val="00A843F3"/>
    <w:rsid w:val="00A845F8"/>
    <w:rsid w:val="00A848F3"/>
    <w:rsid w:val="00A84E25"/>
    <w:rsid w:val="00A85706"/>
    <w:rsid w:val="00A8580B"/>
    <w:rsid w:val="00A85C60"/>
    <w:rsid w:val="00A8670C"/>
    <w:rsid w:val="00A86F25"/>
    <w:rsid w:val="00A86F80"/>
    <w:rsid w:val="00A87543"/>
    <w:rsid w:val="00A87941"/>
    <w:rsid w:val="00A87FBB"/>
    <w:rsid w:val="00A905DD"/>
    <w:rsid w:val="00A916CD"/>
    <w:rsid w:val="00A91DA0"/>
    <w:rsid w:val="00A91DB0"/>
    <w:rsid w:val="00A92089"/>
    <w:rsid w:val="00A928A9"/>
    <w:rsid w:val="00A92BB4"/>
    <w:rsid w:val="00A930D5"/>
    <w:rsid w:val="00A93AFB"/>
    <w:rsid w:val="00A9467C"/>
    <w:rsid w:val="00A94692"/>
    <w:rsid w:val="00A947F9"/>
    <w:rsid w:val="00A947FD"/>
    <w:rsid w:val="00A95069"/>
    <w:rsid w:val="00A954C4"/>
    <w:rsid w:val="00A95B29"/>
    <w:rsid w:val="00A96B1F"/>
    <w:rsid w:val="00A96E21"/>
    <w:rsid w:val="00A97365"/>
    <w:rsid w:val="00A97641"/>
    <w:rsid w:val="00AA0006"/>
    <w:rsid w:val="00AA0E6A"/>
    <w:rsid w:val="00AA1026"/>
    <w:rsid w:val="00AA195E"/>
    <w:rsid w:val="00AA30FD"/>
    <w:rsid w:val="00AA3589"/>
    <w:rsid w:val="00AA41A9"/>
    <w:rsid w:val="00AA45CC"/>
    <w:rsid w:val="00AA4981"/>
    <w:rsid w:val="00AA4FF6"/>
    <w:rsid w:val="00AA5137"/>
    <w:rsid w:val="00AA5F82"/>
    <w:rsid w:val="00AA61FB"/>
    <w:rsid w:val="00AA71B8"/>
    <w:rsid w:val="00AA75F2"/>
    <w:rsid w:val="00AA79A0"/>
    <w:rsid w:val="00AB0B25"/>
    <w:rsid w:val="00AB0FAE"/>
    <w:rsid w:val="00AB1416"/>
    <w:rsid w:val="00AB1912"/>
    <w:rsid w:val="00AB29AF"/>
    <w:rsid w:val="00AB36F1"/>
    <w:rsid w:val="00AB40AE"/>
    <w:rsid w:val="00AB49C0"/>
    <w:rsid w:val="00AB4C68"/>
    <w:rsid w:val="00AB531B"/>
    <w:rsid w:val="00AB56CF"/>
    <w:rsid w:val="00AB5991"/>
    <w:rsid w:val="00AB606B"/>
    <w:rsid w:val="00AB6655"/>
    <w:rsid w:val="00AB77DB"/>
    <w:rsid w:val="00AB77F5"/>
    <w:rsid w:val="00AB7851"/>
    <w:rsid w:val="00AC0665"/>
    <w:rsid w:val="00AC09D1"/>
    <w:rsid w:val="00AC216D"/>
    <w:rsid w:val="00AC228A"/>
    <w:rsid w:val="00AC2949"/>
    <w:rsid w:val="00AC3404"/>
    <w:rsid w:val="00AC3436"/>
    <w:rsid w:val="00AC347D"/>
    <w:rsid w:val="00AC3D6F"/>
    <w:rsid w:val="00AC40DD"/>
    <w:rsid w:val="00AC4314"/>
    <w:rsid w:val="00AC577C"/>
    <w:rsid w:val="00AC57D5"/>
    <w:rsid w:val="00AC596D"/>
    <w:rsid w:val="00AC5C6E"/>
    <w:rsid w:val="00AC5CC0"/>
    <w:rsid w:val="00AC5EE6"/>
    <w:rsid w:val="00AC6221"/>
    <w:rsid w:val="00AC63E7"/>
    <w:rsid w:val="00AC67F3"/>
    <w:rsid w:val="00AC6B4B"/>
    <w:rsid w:val="00AC6F1B"/>
    <w:rsid w:val="00AC7255"/>
    <w:rsid w:val="00AC742E"/>
    <w:rsid w:val="00AC7F14"/>
    <w:rsid w:val="00AD06C1"/>
    <w:rsid w:val="00AD17BF"/>
    <w:rsid w:val="00AD285C"/>
    <w:rsid w:val="00AD32EB"/>
    <w:rsid w:val="00AD34C4"/>
    <w:rsid w:val="00AD3F57"/>
    <w:rsid w:val="00AD4E32"/>
    <w:rsid w:val="00AD4F83"/>
    <w:rsid w:val="00AD54CD"/>
    <w:rsid w:val="00AD54FE"/>
    <w:rsid w:val="00AD6009"/>
    <w:rsid w:val="00AD60F6"/>
    <w:rsid w:val="00AD6526"/>
    <w:rsid w:val="00AD6B3D"/>
    <w:rsid w:val="00AD7304"/>
    <w:rsid w:val="00AD7547"/>
    <w:rsid w:val="00AD76A4"/>
    <w:rsid w:val="00AD7E9F"/>
    <w:rsid w:val="00AE0460"/>
    <w:rsid w:val="00AE154A"/>
    <w:rsid w:val="00AE226E"/>
    <w:rsid w:val="00AE251D"/>
    <w:rsid w:val="00AE2885"/>
    <w:rsid w:val="00AE3119"/>
    <w:rsid w:val="00AE3608"/>
    <w:rsid w:val="00AE3973"/>
    <w:rsid w:val="00AE4218"/>
    <w:rsid w:val="00AE4292"/>
    <w:rsid w:val="00AE4328"/>
    <w:rsid w:val="00AE437F"/>
    <w:rsid w:val="00AE461C"/>
    <w:rsid w:val="00AE4A3B"/>
    <w:rsid w:val="00AE4A67"/>
    <w:rsid w:val="00AE5335"/>
    <w:rsid w:val="00AE5CA0"/>
    <w:rsid w:val="00AE6036"/>
    <w:rsid w:val="00AE63C5"/>
    <w:rsid w:val="00AE68F0"/>
    <w:rsid w:val="00AE6FCB"/>
    <w:rsid w:val="00AE7221"/>
    <w:rsid w:val="00AE737C"/>
    <w:rsid w:val="00AE7729"/>
    <w:rsid w:val="00AE7F7C"/>
    <w:rsid w:val="00AF0884"/>
    <w:rsid w:val="00AF0CCB"/>
    <w:rsid w:val="00AF2BAC"/>
    <w:rsid w:val="00AF2F22"/>
    <w:rsid w:val="00AF2FB5"/>
    <w:rsid w:val="00AF3164"/>
    <w:rsid w:val="00AF335E"/>
    <w:rsid w:val="00AF4003"/>
    <w:rsid w:val="00AF522D"/>
    <w:rsid w:val="00AF52C6"/>
    <w:rsid w:val="00AF54FA"/>
    <w:rsid w:val="00AF5C75"/>
    <w:rsid w:val="00AF5CFA"/>
    <w:rsid w:val="00AF5E90"/>
    <w:rsid w:val="00AF6699"/>
    <w:rsid w:val="00AF794A"/>
    <w:rsid w:val="00AF7B53"/>
    <w:rsid w:val="00AF7E33"/>
    <w:rsid w:val="00B004A8"/>
    <w:rsid w:val="00B00711"/>
    <w:rsid w:val="00B00C87"/>
    <w:rsid w:val="00B0102C"/>
    <w:rsid w:val="00B0156E"/>
    <w:rsid w:val="00B01A7C"/>
    <w:rsid w:val="00B02646"/>
    <w:rsid w:val="00B02B22"/>
    <w:rsid w:val="00B02F73"/>
    <w:rsid w:val="00B032B9"/>
    <w:rsid w:val="00B032E1"/>
    <w:rsid w:val="00B03E58"/>
    <w:rsid w:val="00B03F62"/>
    <w:rsid w:val="00B0454F"/>
    <w:rsid w:val="00B046FE"/>
    <w:rsid w:val="00B04940"/>
    <w:rsid w:val="00B05E17"/>
    <w:rsid w:val="00B06847"/>
    <w:rsid w:val="00B06868"/>
    <w:rsid w:val="00B06AE7"/>
    <w:rsid w:val="00B06E3E"/>
    <w:rsid w:val="00B06EBF"/>
    <w:rsid w:val="00B070BC"/>
    <w:rsid w:val="00B0729B"/>
    <w:rsid w:val="00B07642"/>
    <w:rsid w:val="00B07817"/>
    <w:rsid w:val="00B07A16"/>
    <w:rsid w:val="00B07B82"/>
    <w:rsid w:val="00B1035C"/>
    <w:rsid w:val="00B10517"/>
    <w:rsid w:val="00B10F47"/>
    <w:rsid w:val="00B1246C"/>
    <w:rsid w:val="00B12768"/>
    <w:rsid w:val="00B12800"/>
    <w:rsid w:val="00B13512"/>
    <w:rsid w:val="00B137CB"/>
    <w:rsid w:val="00B13A9B"/>
    <w:rsid w:val="00B13D24"/>
    <w:rsid w:val="00B1460E"/>
    <w:rsid w:val="00B14685"/>
    <w:rsid w:val="00B14AE6"/>
    <w:rsid w:val="00B14E68"/>
    <w:rsid w:val="00B15045"/>
    <w:rsid w:val="00B154FE"/>
    <w:rsid w:val="00B15694"/>
    <w:rsid w:val="00B15D8E"/>
    <w:rsid w:val="00B16E78"/>
    <w:rsid w:val="00B16FDC"/>
    <w:rsid w:val="00B17202"/>
    <w:rsid w:val="00B175AD"/>
    <w:rsid w:val="00B1791C"/>
    <w:rsid w:val="00B201CF"/>
    <w:rsid w:val="00B201FE"/>
    <w:rsid w:val="00B204EC"/>
    <w:rsid w:val="00B20A16"/>
    <w:rsid w:val="00B21061"/>
    <w:rsid w:val="00B227E3"/>
    <w:rsid w:val="00B230EE"/>
    <w:rsid w:val="00B233BF"/>
    <w:rsid w:val="00B23565"/>
    <w:rsid w:val="00B23822"/>
    <w:rsid w:val="00B24E3C"/>
    <w:rsid w:val="00B25433"/>
    <w:rsid w:val="00B256AF"/>
    <w:rsid w:val="00B25841"/>
    <w:rsid w:val="00B26295"/>
    <w:rsid w:val="00B2657A"/>
    <w:rsid w:val="00B26E80"/>
    <w:rsid w:val="00B270F5"/>
    <w:rsid w:val="00B313CF"/>
    <w:rsid w:val="00B313D2"/>
    <w:rsid w:val="00B314FD"/>
    <w:rsid w:val="00B32406"/>
    <w:rsid w:val="00B324D6"/>
    <w:rsid w:val="00B32508"/>
    <w:rsid w:val="00B33400"/>
    <w:rsid w:val="00B33601"/>
    <w:rsid w:val="00B33C2D"/>
    <w:rsid w:val="00B340BC"/>
    <w:rsid w:val="00B34C5D"/>
    <w:rsid w:val="00B3535A"/>
    <w:rsid w:val="00B35784"/>
    <w:rsid w:val="00B35818"/>
    <w:rsid w:val="00B35C00"/>
    <w:rsid w:val="00B364E2"/>
    <w:rsid w:val="00B36BE8"/>
    <w:rsid w:val="00B36FDE"/>
    <w:rsid w:val="00B371D7"/>
    <w:rsid w:val="00B376D9"/>
    <w:rsid w:val="00B4045B"/>
    <w:rsid w:val="00B40C77"/>
    <w:rsid w:val="00B40E59"/>
    <w:rsid w:val="00B41E8E"/>
    <w:rsid w:val="00B41E9F"/>
    <w:rsid w:val="00B4317F"/>
    <w:rsid w:val="00B432A8"/>
    <w:rsid w:val="00B439D6"/>
    <w:rsid w:val="00B439E8"/>
    <w:rsid w:val="00B44A60"/>
    <w:rsid w:val="00B44EBB"/>
    <w:rsid w:val="00B45939"/>
    <w:rsid w:val="00B4639D"/>
    <w:rsid w:val="00B469F1"/>
    <w:rsid w:val="00B47072"/>
    <w:rsid w:val="00B47303"/>
    <w:rsid w:val="00B47BA1"/>
    <w:rsid w:val="00B47DA6"/>
    <w:rsid w:val="00B501EA"/>
    <w:rsid w:val="00B505D1"/>
    <w:rsid w:val="00B509F9"/>
    <w:rsid w:val="00B516BE"/>
    <w:rsid w:val="00B518FD"/>
    <w:rsid w:val="00B5256F"/>
    <w:rsid w:val="00B527ED"/>
    <w:rsid w:val="00B541D2"/>
    <w:rsid w:val="00B5481D"/>
    <w:rsid w:val="00B55024"/>
    <w:rsid w:val="00B55BA7"/>
    <w:rsid w:val="00B56535"/>
    <w:rsid w:val="00B56987"/>
    <w:rsid w:val="00B569AC"/>
    <w:rsid w:val="00B56B27"/>
    <w:rsid w:val="00B5705D"/>
    <w:rsid w:val="00B57405"/>
    <w:rsid w:val="00B576A3"/>
    <w:rsid w:val="00B57B65"/>
    <w:rsid w:val="00B60139"/>
    <w:rsid w:val="00B6067E"/>
    <w:rsid w:val="00B60B91"/>
    <w:rsid w:val="00B60D87"/>
    <w:rsid w:val="00B615D5"/>
    <w:rsid w:val="00B617E0"/>
    <w:rsid w:val="00B61811"/>
    <w:rsid w:val="00B6192E"/>
    <w:rsid w:val="00B61BD9"/>
    <w:rsid w:val="00B61C7A"/>
    <w:rsid w:val="00B61EFD"/>
    <w:rsid w:val="00B63D67"/>
    <w:rsid w:val="00B63DB7"/>
    <w:rsid w:val="00B64017"/>
    <w:rsid w:val="00B64450"/>
    <w:rsid w:val="00B64536"/>
    <w:rsid w:val="00B66632"/>
    <w:rsid w:val="00B66BC2"/>
    <w:rsid w:val="00B66FC8"/>
    <w:rsid w:val="00B67003"/>
    <w:rsid w:val="00B673E8"/>
    <w:rsid w:val="00B677F1"/>
    <w:rsid w:val="00B67BE1"/>
    <w:rsid w:val="00B7038D"/>
    <w:rsid w:val="00B70918"/>
    <w:rsid w:val="00B712C7"/>
    <w:rsid w:val="00B71372"/>
    <w:rsid w:val="00B71F37"/>
    <w:rsid w:val="00B72676"/>
    <w:rsid w:val="00B7300F"/>
    <w:rsid w:val="00B7385A"/>
    <w:rsid w:val="00B745F8"/>
    <w:rsid w:val="00B748CF"/>
    <w:rsid w:val="00B748F3"/>
    <w:rsid w:val="00B749CD"/>
    <w:rsid w:val="00B7552F"/>
    <w:rsid w:val="00B7578A"/>
    <w:rsid w:val="00B75A72"/>
    <w:rsid w:val="00B75C9B"/>
    <w:rsid w:val="00B75F93"/>
    <w:rsid w:val="00B76355"/>
    <w:rsid w:val="00B76573"/>
    <w:rsid w:val="00B765F9"/>
    <w:rsid w:val="00B766B2"/>
    <w:rsid w:val="00B766B8"/>
    <w:rsid w:val="00B7683D"/>
    <w:rsid w:val="00B770FB"/>
    <w:rsid w:val="00B772AB"/>
    <w:rsid w:val="00B7763C"/>
    <w:rsid w:val="00B77C87"/>
    <w:rsid w:val="00B8063A"/>
    <w:rsid w:val="00B80FFA"/>
    <w:rsid w:val="00B8295C"/>
    <w:rsid w:val="00B835AD"/>
    <w:rsid w:val="00B83868"/>
    <w:rsid w:val="00B83F75"/>
    <w:rsid w:val="00B847E2"/>
    <w:rsid w:val="00B84B2C"/>
    <w:rsid w:val="00B85A3D"/>
    <w:rsid w:val="00B86AA9"/>
    <w:rsid w:val="00B87045"/>
    <w:rsid w:val="00B871BA"/>
    <w:rsid w:val="00B877E3"/>
    <w:rsid w:val="00B90654"/>
    <w:rsid w:val="00B906C2"/>
    <w:rsid w:val="00B909C0"/>
    <w:rsid w:val="00B91260"/>
    <w:rsid w:val="00B91620"/>
    <w:rsid w:val="00B91A99"/>
    <w:rsid w:val="00B920D0"/>
    <w:rsid w:val="00B9235B"/>
    <w:rsid w:val="00B937EA"/>
    <w:rsid w:val="00B944B2"/>
    <w:rsid w:val="00B94F7C"/>
    <w:rsid w:val="00B9514D"/>
    <w:rsid w:val="00B954DF"/>
    <w:rsid w:val="00B95953"/>
    <w:rsid w:val="00B95E94"/>
    <w:rsid w:val="00B96163"/>
    <w:rsid w:val="00B96657"/>
    <w:rsid w:val="00B966E0"/>
    <w:rsid w:val="00BA016C"/>
    <w:rsid w:val="00BA0B95"/>
    <w:rsid w:val="00BA215A"/>
    <w:rsid w:val="00BA3820"/>
    <w:rsid w:val="00BA4769"/>
    <w:rsid w:val="00BA4A54"/>
    <w:rsid w:val="00BA5497"/>
    <w:rsid w:val="00BA5830"/>
    <w:rsid w:val="00BA5F9B"/>
    <w:rsid w:val="00BB0466"/>
    <w:rsid w:val="00BB1358"/>
    <w:rsid w:val="00BB1D98"/>
    <w:rsid w:val="00BB1FBC"/>
    <w:rsid w:val="00BB1FD0"/>
    <w:rsid w:val="00BB24BF"/>
    <w:rsid w:val="00BB26C0"/>
    <w:rsid w:val="00BB3038"/>
    <w:rsid w:val="00BB322F"/>
    <w:rsid w:val="00BB35D7"/>
    <w:rsid w:val="00BB35E9"/>
    <w:rsid w:val="00BB3ECB"/>
    <w:rsid w:val="00BB4FFC"/>
    <w:rsid w:val="00BB5CFC"/>
    <w:rsid w:val="00BB5E77"/>
    <w:rsid w:val="00BB661A"/>
    <w:rsid w:val="00BB70E6"/>
    <w:rsid w:val="00BB729D"/>
    <w:rsid w:val="00BB7747"/>
    <w:rsid w:val="00BB7A5C"/>
    <w:rsid w:val="00BB7EEE"/>
    <w:rsid w:val="00BB7FA7"/>
    <w:rsid w:val="00BC01BB"/>
    <w:rsid w:val="00BC1702"/>
    <w:rsid w:val="00BC17A6"/>
    <w:rsid w:val="00BC19CE"/>
    <w:rsid w:val="00BC1DA6"/>
    <w:rsid w:val="00BC236A"/>
    <w:rsid w:val="00BC2FB0"/>
    <w:rsid w:val="00BC35F5"/>
    <w:rsid w:val="00BC40D0"/>
    <w:rsid w:val="00BC4155"/>
    <w:rsid w:val="00BC4E24"/>
    <w:rsid w:val="00BC571F"/>
    <w:rsid w:val="00BC60F7"/>
    <w:rsid w:val="00BC6225"/>
    <w:rsid w:val="00BC703E"/>
    <w:rsid w:val="00BC79F0"/>
    <w:rsid w:val="00BD042F"/>
    <w:rsid w:val="00BD07E9"/>
    <w:rsid w:val="00BD0CDF"/>
    <w:rsid w:val="00BD14F4"/>
    <w:rsid w:val="00BD1F5E"/>
    <w:rsid w:val="00BD2556"/>
    <w:rsid w:val="00BD31C9"/>
    <w:rsid w:val="00BD380F"/>
    <w:rsid w:val="00BD389B"/>
    <w:rsid w:val="00BD4008"/>
    <w:rsid w:val="00BD480F"/>
    <w:rsid w:val="00BD500B"/>
    <w:rsid w:val="00BD551A"/>
    <w:rsid w:val="00BD56B9"/>
    <w:rsid w:val="00BD5BFA"/>
    <w:rsid w:val="00BD5D6B"/>
    <w:rsid w:val="00BD6112"/>
    <w:rsid w:val="00BD6ACB"/>
    <w:rsid w:val="00BD6BE9"/>
    <w:rsid w:val="00BD710A"/>
    <w:rsid w:val="00BD7C2E"/>
    <w:rsid w:val="00BE07E7"/>
    <w:rsid w:val="00BE1644"/>
    <w:rsid w:val="00BE1CEE"/>
    <w:rsid w:val="00BE21B3"/>
    <w:rsid w:val="00BE277A"/>
    <w:rsid w:val="00BE3CAA"/>
    <w:rsid w:val="00BE3F29"/>
    <w:rsid w:val="00BE4608"/>
    <w:rsid w:val="00BE48EB"/>
    <w:rsid w:val="00BE4BC9"/>
    <w:rsid w:val="00BE5507"/>
    <w:rsid w:val="00BE63CB"/>
    <w:rsid w:val="00BE6642"/>
    <w:rsid w:val="00BE66E1"/>
    <w:rsid w:val="00BE6FE6"/>
    <w:rsid w:val="00BE702B"/>
    <w:rsid w:val="00BE7175"/>
    <w:rsid w:val="00BE7510"/>
    <w:rsid w:val="00BE7813"/>
    <w:rsid w:val="00BE7A9E"/>
    <w:rsid w:val="00BE7F39"/>
    <w:rsid w:val="00BF00DE"/>
    <w:rsid w:val="00BF0172"/>
    <w:rsid w:val="00BF09EE"/>
    <w:rsid w:val="00BF0B8A"/>
    <w:rsid w:val="00BF0E6A"/>
    <w:rsid w:val="00BF1152"/>
    <w:rsid w:val="00BF1626"/>
    <w:rsid w:val="00BF177D"/>
    <w:rsid w:val="00BF1F66"/>
    <w:rsid w:val="00BF23F4"/>
    <w:rsid w:val="00BF26C4"/>
    <w:rsid w:val="00BF273A"/>
    <w:rsid w:val="00BF2981"/>
    <w:rsid w:val="00BF2F7D"/>
    <w:rsid w:val="00BF3C07"/>
    <w:rsid w:val="00BF4287"/>
    <w:rsid w:val="00BF4399"/>
    <w:rsid w:val="00BF43E7"/>
    <w:rsid w:val="00BF4AC7"/>
    <w:rsid w:val="00BF4F6E"/>
    <w:rsid w:val="00BF5465"/>
    <w:rsid w:val="00BF575E"/>
    <w:rsid w:val="00BF5CCD"/>
    <w:rsid w:val="00BF646F"/>
    <w:rsid w:val="00BF70C2"/>
    <w:rsid w:val="00BF7962"/>
    <w:rsid w:val="00C0058A"/>
    <w:rsid w:val="00C02445"/>
    <w:rsid w:val="00C0417F"/>
    <w:rsid w:val="00C0428F"/>
    <w:rsid w:val="00C0466A"/>
    <w:rsid w:val="00C04694"/>
    <w:rsid w:val="00C047EB"/>
    <w:rsid w:val="00C04AEF"/>
    <w:rsid w:val="00C04D9B"/>
    <w:rsid w:val="00C04E49"/>
    <w:rsid w:val="00C056B7"/>
    <w:rsid w:val="00C0584D"/>
    <w:rsid w:val="00C05AF3"/>
    <w:rsid w:val="00C05FFE"/>
    <w:rsid w:val="00C070DA"/>
    <w:rsid w:val="00C077E0"/>
    <w:rsid w:val="00C078BC"/>
    <w:rsid w:val="00C10342"/>
    <w:rsid w:val="00C108D7"/>
    <w:rsid w:val="00C11343"/>
    <w:rsid w:val="00C11974"/>
    <w:rsid w:val="00C11D94"/>
    <w:rsid w:val="00C12295"/>
    <w:rsid w:val="00C12461"/>
    <w:rsid w:val="00C126BE"/>
    <w:rsid w:val="00C127A7"/>
    <w:rsid w:val="00C12B32"/>
    <w:rsid w:val="00C12BB5"/>
    <w:rsid w:val="00C12BCA"/>
    <w:rsid w:val="00C1359C"/>
    <w:rsid w:val="00C137F1"/>
    <w:rsid w:val="00C144F2"/>
    <w:rsid w:val="00C14594"/>
    <w:rsid w:val="00C14C5B"/>
    <w:rsid w:val="00C14E07"/>
    <w:rsid w:val="00C14E0A"/>
    <w:rsid w:val="00C14FF7"/>
    <w:rsid w:val="00C151C6"/>
    <w:rsid w:val="00C158EF"/>
    <w:rsid w:val="00C1599C"/>
    <w:rsid w:val="00C15DB6"/>
    <w:rsid w:val="00C16297"/>
    <w:rsid w:val="00C16703"/>
    <w:rsid w:val="00C16A18"/>
    <w:rsid w:val="00C16F7C"/>
    <w:rsid w:val="00C1747D"/>
    <w:rsid w:val="00C17D48"/>
    <w:rsid w:val="00C17E85"/>
    <w:rsid w:val="00C20947"/>
    <w:rsid w:val="00C20B7C"/>
    <w:rsid w:val="00C20D3C"/>
    <w:rsid w:val="00C20E12"/>
    <w:rsid w:val="00C2136A"/>
    <w:rsid w:val="00C2217D"/>
    <w:rsid w:val="00C226B9"/>
    <w:rsid w:val="00C238A3"/>
    <w:rsid w:val="00C23A1C"/>
    <w:rsid w:val="00C2487D"/>
    <w:rsid w:val="00C24A3E"/>
    <w:rsid w:val="00C25C28"/>
    <w:rsid w:val="00C269C5"/>
    <w:rsid w:val="00C26FE0"/>
    <w:rsid w:val="00C27854"/>
    <w:rsid w:val="00C27DBB"/>
    <w:rsid w:val="00C27EE3"/>
    <w:rsid w:val="00C30A82"/>
    <w:rsid w:val="00C30B41"/>
    <w:rsid w:val="00C31514"/>
    <w:rsid w:val="00C31AC6"/>
    <w:rsid w:val="00C32079"/>
    <w:rsid w:val="00C3212A"/>
    <w:rsid w:val="00C32D08"/>
    <w:rsid w:val="00C33091"/>
    <w:rsid w:val="00C33357"/>
    <w:rsid w:val="00C333F8"/>
    <w:rsid w:val="00C34D4C"/>
    <w:rsid w:val="00C3517C"/>
    <w:rsid w:val="00C35634"/>
    <w:rsid w:val="00C35C27"/>
    <w:rsid w:val="00C36564"/>
    <w:rsid w:val="00C367BA"/>
    <w:rsid w:val="00C36931"/>
    <w:rsid w:val="00C36978"/>
    <w:rsid w:val="00C36F1D"/>
    <w:rsid w:val="00C36F6B"/>
    <w:rsid w:val="00C37016"/>
    <w:rsid w:val="00C37A8B"/>
    <w:rsid w:val="00C401E7"/>
    <w:rsid w:val="00C40511"/>
    <w:rsid w:val="00C4066C"/>
    <w:rsid w:val="00C40698"/>
    <w:rsid w:val="00C4085A"/>
    <w:rsid w:val="00C41E18"/>
    <w:rsid w:val="00C42831"/>
    <w:rsid w:val="00C43228"/>
    <w:rsid w:val="00C43780"/>
    <w:rsid w:val="00C43847"/>
    <w:rsid w:val="00C4388F"/>
    <w:rsid w:val="00C438E3"/>
    <w:rsid w:val="00C44C18"/>
    <w:rsid w:val="00C44EA0"/>
    <w:rsid w:val="00C451C0"/>
    <w:rsid w:val="00C45915"/>
    <w:rsid w:val="00C4597C"/>
    <w:rsid w:val="00C45C31"/>
    <w:rsid w:val="00C46295"/>
    <w:rsid w:val="00C46892"/>
    <w:rsid w:val="00C46A11"/>
    <w:rsid w:val="00C46E6B"/>
    <w:rsid w:val="00C47875"/>
    <w:rsid w:val="00C47F2B"/>
    <w:rsid w:val="00C5019A"/>
    <w:rsid w:val="00C50461"/>
    <w:rsid w:val="00C50A3C"/>
    <w:rsid w:val="00C51071"/>
    <w:rsid w:val="00C514E4"/>
    <w:rsid w:val="00C5187E"/>
    <w:rsid w:val="00C51947"/>
    <w:rsid w:val="00C51B3E"/>
    <w:rsid w:val="00C51D04"/>
    <w:rsid w:val="00C528C7"/>
    <w:rsid w:val="00C5299C"/>
    <w:rsid w:val="00C5328F"/>
    <w:rsid w:val="00C533BA"/>
    <w:rsid w:val="00C537C7"/>
    <w:rsid w:val="00C537E3"/>
    <w:rsid w:val="00C54197"/>
    <w:rsid w:val="00C545D9"/>
    <w:rsid w:val="00C54BB8"/>
    <w:rsid w:val="00C55280"/>
    <w:rsid w:val="00C55422"/>
    <w:rsid w:val="00C5586A"/>
    <w:rsid w:val="00C55B7D"/>
    <w:rsid w:val="00C56BF5"/>
    <w:rsid w:val="00C57461"/>
    <w:rsid w:val="00C57548"/>
    <w:rsid w:val="00C575D7"/>
    <w:rsid w:val="00C5760D"/>
    <w:rsid w:val="00C60310"/>
    <w:rsid w:val="00C60759"/>
    <w:rsid w:val="00C60820"/>
    <w:rsid w:val="00C60839"/>
    <w:rsid w:val="00C6120B"/>
    <w:rsid w:val="00C6159A"/>
    <w:rsid w:val="00C61860"/>
    <w:rsid w:val="00C61A22"/>
    <w:rsid w:val="00C61B6D"/>
    <w:rsid w:val="00C61BED"/>
    <w:rsid w:val="00C62161"/>
    <w:rsid w:val="00C62C8B"/>
    <w:rsid w:val="00C62E29"/>
    <w:rsid w:val="00C63235"/>
    <w:rsid w:val="00C63E9C"/>
    <w:rsid w:val="00C63FAE"/>
    <w:rsid w:val="00C64413"/>
    <w:rsid w:val="00C6606D"/>
    <w:rsid w:val="00C67C79"/>
    <w:rsid w:val="00C70606"/>
    <w:rsid w:val="00C70C4A"/>
    <w:rsid w:val="00C7178A"/>
    <w:rsid w:val="00C7274E"/>
    <w:rsid w:val="00C72C34"/>
    <w:rsid w:val="00C72C83"/>
    <w:rsid w:val="00C72F6D"/>
    <w:rsid w:val="00C73042"/>
    <w:rsid w:val="00C73157"/>
    <w:rsid w:val="00C740DF"/>
    <w:rsid w:val="00C742D6"/>
    <w:rsid w:val="00C7460F"/>
    <w:rsid w:val="00C752D8"/>
    <w:rsid w:val="00C7540A"/>
    <w:rsid w:val="00C758FE"/>
    <w:rsid w:val="00C76237"/>
    <w:rsid w:val="00C76904"/>
    <w:rsid w:val="00C76B27"/>
    <w:rsid w:val="00C76B75"/>
    <w:rsid w:val="00C77C00"/>
    <w:rsid w:val="00C80C50"/>
    <w:rsid w:val="00C82343"/>
    <w:rsid w:val="00C82F10"/>
    <w:rsid w:val="00C832A9"/>
    <w:rsid w:val="00C83337"/>
    <w:rsid w:val="00C83F22"/>
    <w:rsid w:val="00C84CAB"/>
    <w:rsid w:val="00C8519F"/>
    <w:rsid w:val="00C858BB"/>
    <w:rsid w:val="00C86092"/>
    <w:rsid w:val="00C8630F"/>
    <w:rsid w:val="00C86416"/>
    <w:rsid w:val="00C86922"/>
    <w:rsid w:val="00C86C2B"/>
    <w:rsid w:val="00C878F8"/>
    <w:rsid w:val="00C87C98"/>
    <w:rsid w:val="00C905A0"/>
    <w:rsid w:val="00C913DB"/>
    <w:rsid w:val="00C918EB"/>
    <w:rsid w:val="00C92E70"/>
    <w:rsid w:val="00C9388B"/>
    <w:rsid w:val="00C947A2"/>
    <w:rsid w:val="00C94CC7"/>
    <w:rsid w:val="00C94EF3"/>
    <w:rsid w:val="00C951D9"/>
    <w:rsid w:val="00C95B48"/>
    <w:rsid w:val="00C960C9"/>
    <w:rsid w:val="00C9617E"/>
    <w:rsid w:val="00C965CC"/>
    <w:rsid w:val="00C96915"/>
    <w:rsid w:val="00C9704E"/>
    <w:rsid w:val="00C97558"/>
    <w:rsid w:val="00C97CD8"/>
    <w:rsid w:val="00CA0197"/>
    <w:rsid w:val="00CA074C"/>
    <w:rsid w:val="00CA16E7"/>
    <w:rsid w:val="00CA1FF0"/>
    <w:rsid w:val="00CA2873"/>
    <w:rsid w:val="00CA31E5"/>
    <w:rsid w:val="00CA3409"/>
    <w:rsid w:val="00CA35AA"/>
    <w:rsid w:val="00CA3905"/>
    <w:rsid w:val="00CA3A77"/>
    <w:rsid w:val="00CA4105"/>
    <w:rsid w:val="00CA47D4"/>
    <w:rsid w:val="00CA4E24"/>
    <w:rsid w:val="00CA4EA6"/>
    <w:rsid w:val="00CA511D"/>
    <w:rsid w:val="00CA5FE5"/>
    <w:rsid w:val="00CA6FC6"/>
    <w:rsid w:val="00CA7025"/>
    <w:rsid w:val="00CA73DC"/>
    <w:rsid w:val="00CA75DE"/>
    <w:rsid w:val="00CA79CA"/>
    <w:rsid w:val="00CA7AD6"/>
    <w:rsid w:val="00CA7F67"/>
    <w:rsid w:val="00CB0A5A"/>
    <w:rsid w:val="00CB0B78"/>
    <w:rsid w:val="00CB0F22"/>
    <w:rsid w:val="00CB1518"/>
    <w:rsid w:val="00CB1F80"/>
    <w:rsid w:val="00CB2B78"/>
    <w:rsid w:val="00CB2C2F"/>
    <w:rsid w:val="00CB2C8D"/>
    <w:rsid w:val="00CB33F7"/>
    <w:rsid w:val="00CB3AFB"/>
    <w:rsid w:val="00CB3CDD"/>
    <w:rsid w:val="00CB46D6"/>
    <w:rsid w:val="00CB4AB9"/>
    <w:rsid w:val="00CB535C"/>
    <w:rsid w:val="00CB544C"/>
    <w:rsid w:val="00CB583F"/>
    <w:rsid w:val="00CB66BA"/>
    <w:rsid w:val="00CB68D4"/>
    <w:rsid w:val="00CB6921"/>
    <w:rsid w:val="00CB6A13"/>
    <w:rsid w:val="00CB6B84"/>
    <w:rsid w:val="00CB6F71"/>
    <w:rsid w:val="00CB776E"/>
    <w:rsid w:val="00CC02A2"/>
    <w:rsid w:val="00CC049E"/>
    <w:rsid w:val="00CC090F"/>
    <w:rsid w:val="00CC0B85"/>
    <w:rsid w:val="00CC12C0"/>
    <w:rsid w:val="00CC16E3"/>
    <w:rsid w:val="00CC216D"/>
    <w:rsid w:val="00CC2489"/>
    <w:rsid w:val="00CC2C09"/>
    <w:rsid w:val="00CC2EA3"/>
    <w:rsid w:val="00CC3688"/>
    <w:rsid w:val="00CC3902"/>
    <w:rsid w:val="00CC3C48"/>
    <w:rsid w:val="00CC3F3A"/>
    <w:rsid w:val="00CC3FFA"/>
    <w:rsid w:val="00CC5593"/>
    <w:rsid w:val="00CC5773"/>
    <w:rsid w:val="00CC5D3A"/>
    <w:rsid w:val="00CC6759"/>
    <w:rsid w:val="00CC6781"/>
    <w:rsid w:val="00CC6D46"/>
    <w:rsid w:val="00CC6F75"/>
    <w:rsid w:val="00CC7628"/>
    <w:rsid w:val="00CC7F78"/>
    <w:rsid w:val="00CC7F7F"/>
    <w:rsid w:val="00CD02E6"/>
    <w:rsid w:val="00CD070A"/>
    <w:rsid w:val="00CD0BBB"/>
    <w:rsid w:val="00CD13B8"/>
    <w:rsid w:val="00CD1FDA"/>
    <w:rsid w:val="00CD2572"/>
    <w:rsid w:val="00CD270C"/>
    <w:rsid w:val="00CD2724"/>
    <w:rsid w:val="00CD30D8"/>
    <w:rsid w:val="00CD3129"/>
    <w:rsid w:val="00CD327E"/>
    <w:rsid w:val="00CD35DD"/>
    <w:rsid w:val="00CD3776"/>
    <w:rsid w:val="00CD3DD5"/>
    <w:rsid w:val="00CD4236"/>
    <w:rsid w:val="00CD46C4"/>
    <w:rsid w:val="00CD47E9"/>
    <w:rsid w:val="00CD4B56"/>
    <w:rsid w:val="00CD4BF6"/>
    <w:rsid w:val="00CD53D1"/>
    <w:rsid w:val="00CD553E"/>
    <w:rsid w:val="00CD5B79"/>
    <w:rsid w:val="00CD5D17"/>
    <w:rsid w:val="00CD5F1E"/>
    <w:rsid w:val="00CD65B4"/>
    <w:rsid w:val="00CD666D"/>
    <w:rsid w:val="00CD79CE"/>
    <w:rsid w:val="00CD7A6B"/>
    <w:rsid w:val="00CE10B0"/>
    <w:rsid w:val="00CE1166"/>
    <w:rsid w:val="00CE1401"/>
    <w:rsid w:val="00CE151B"/>
    <w:rsid w:val="00CE2FED"/>
    <w:rsid w:val="00CE3DBE"/>
    <w:rsid w:val="00CE4DA0"/>
    <w:rsid w:val="00CE53E7"/>
    <w:rsid w:val="00CE547C"/>
    <w:rsid w:val="00CE5AE4"/>
    <w:rsid w:val="00CE5BE7"/>
    <w:rsid w:val="00CE621C"/>
    <w:rsid w:val="00CE63E0"/>
    <w:rsid w:val="00CE696A"/>
    <w:rsid w:val="00CE794E"/>
    <w:rsid w:val="00CE7B94"/>
    <w:rsid w:val="00CF049C"/>
    <w:rsid w:val="00CF0CB1"/>
    <w:rsid w:val="00CF107D"/>
    <w:rsid w:val="00CF1D64"/>
    <w:rsid w:val="00CF212F"/>
    <w:rsid w:val="00CF219F"/>
    <w:rsid w:val="00CF2BA4"/>
    <w:rsid w:val="00CF2C88"/>
    <w:rsid w:val="00CF2D78"/>
    <w:rsid w:val="00CF30D4"/>
    <w:rsid w:val="00CF39FE"/>
    <w:rsid w:val="00CF3C55"/>
    <w:rsid w:val="00CF44A0"/>
    <w:rsid w:val="00CF4512"/>
    <w:rsid w:val="00CF4519"/>
    <w:rsid w:val="00CF4D9E"/>
    <w:rsid w:val="00CF65B9"/>
    <w:rsid w:val="00CF771F"/>
    <w:rsid w:val="00CF7839"/>
    <w:rsid w:val="00CF7A69"/>
    <w:rsid w:val="00CF7BA5"/>
    <w:rsid w:val="00CF7FA5"/>
    <w:rsid w:val="00D0025E"/>
    <w:rsid w:val="00D00707"/>
    <w:rsid w:val="00D0082B"/>
    <w:rsid w:val="00D00ED8"/>
    <w:rsid w:val="00D01D81"/>
    <w:rsid w:val="00D01DCE"/>
    <w:rsid w:val="00D023CB"/>
    <w:rsid w:val="00D023ED"/>
    <w:rsid w:val="00D02540"/>
    <w:rsid w:val="00D02910"/>
    <w:rsid w:val="00D02A00"/>
    <w:rsid w:val="00D02ED7"/>
    <w:rsid w:val="00D03047"/>
    <w:rsid w:val="00D030DE"/>
    <w:rsid w:val="00D03923"/>
    <w:rsid w:val="00D03AB5"/>
    <w:rsid w:val="00D04360"/>
    <w:rsid w:val="00D04C34"/>
    <w:rsid w:val="00D04CDB"/>
    <w:rsid w:val="00D0557F"/>
    <w:rsid w:val="00D0678C"/>
    <w:rsid w:val="00D06A2D"/>
    <w:rsid w:val="00D06F96"/>
    <w:rsid w:val="00D07331"/>
    <w:rsid w:val="00D07365"/>
    <w:rsid w:val="00D07973"/>
    <w:rsid w:val="00D07EEB"/>
    <w:rsid w:val="00D07F55"/>
    <w:rsid w:val="00D07FD3"/>
    <w:rsid w:val="00D1035E"/>
    <w:rsid w:val="00D10360"/>
    <w:rsid w:val="00D10707"/>
    <w:rsid w:val="00D120A2"/>
    <w:rsid w:val="00D1273C"/>
    <w:rsid w:val="00D12AE9"/>
    <w:rsid w:val="00D12EF9"/>
    <w:rsid w:val="00D131BE"/>
    <w:rsid w:val="00D13580"/>
    <w:rsid w:val="00D139D0"/>
    <w:rsid w:val="00D13F28"/>
    <w:rsid w:val="00D1403C"/>
    <w:rsid w:val="00D14615"/>
    <w:rsid w:val="00D152AF"/>
    <w:rsid w:val="00D1584A"/>
    <w:rsid w:val="00D16B67"/>
    <w:rsid w:val="00D16E66"/>
    <w:rsid w:val="00D170B2"/>
    <w:rsid w:val="00D172CA"/>
    <w:rsid w:val="00D17916"/>
    <w:rsid w:val="00D17AD9"/>
    <w:rsid w:val="00D17C20"/>
    <w:rsid w:val="00D20551"/>
    <w:rsid w:val="00D20668"/>
    <w:rsid w:val="00D20744"/>
    <w:rsid w:val="00D20B52"/>
    <w:rsid w:val="00D20E04"/>
    <w:rsid w:val="00D211F9"/>
    <w:rsid w:val="00D21D00"/>
    <w:rsid w:val="00D22329"/>
    <w:rsid w:val="00D22F0E"/>
    <w:rsid w:val="00D2376D"/>
    <w:rsid w:val="00D2426D"/>
    <w:rsid w:val="00D243A3"/>
    <w:rsid w:val="00D249F9"/>
    <w:rsid w:val="00D24F05"/>
    <w:rsid w:val="00D25463"/>
    <w:rsid w:val="00D25B4D"/>
    <w:rsid w:val="00D25FDA"/>
    <w:rsid w:val="00D260DF"/>
    <w:rsid w:val="00D2720F"/>
    <w:rsid w:val="00D27AB4"/>
    <w:rsid w:val="00D304CE"/>
    <w:rsid w:val="00D30827"/>
    <w:rsid w:val="00D30CC5"/>
    <w:rsid w:val="00D30D52"/>
    <w:rsid w:val="00D3158F"/>
    <w:rsid w:val="00D318AE"/>
    <w:rsid w:val="00D31D41"/>
    <w:rsid w:val="00D321A4"/>
    <w:rsid w:val="00D32539"/>
    <w:rsid w:val="00D3275A"/>
    <w:rsid w:val="00D3320D"/>
    <w:rsid w:val="00D3338A"/>
    <w:rsid w:val="00D336C4"/>
    <w:rsid w:val="00D33C43"/>
    <w:rsid w:val="00D33CA8"/>
    <w:rsid w:val="00D344C3"/>
    <w:rsid w:val="00D345A0"/>
    <w:rsid w:val="00D34A83"/>
    <w:rsid w:val="00D34EE7"/>
    <w:rsid w:val="00D34F42"/>
    <w:rsid w:val="00D357C9"/>
    <w:rsid w:val="00D36263"/>
    <w:rsid w:val="00D36671"/>
    <w:rsid w:val="00D370FC"/>
    <w:rsid w:val="00D37925"/>
    <w:rsid w:val="00D37F2E"/>
    <w:rsid w:val="00D40476"/>
    <w:rsid w:val="00D410E7"/>
    <w:rsid w:val="00D41173"/>
    <w:rsid w:val="00D41F0B"/>
    <w:rsid w:val="00D42556"/>
    <w:rsid w:val="00D42729"/>
    <w:rsid w:val="00D42BBD"/>
    <w:rsid w:val="00D42C14"/>
    <w:rsid w:val="00D42CD1"/>
    <w:rsid w:val="00D45F1B"/>
    <w:rsid w:val="00D45F37"/>
    <w:rsid w:val="00D45FB2"/>
    <w:rsid w:val="00D46543"/>
    <w:rsid w:val="00D465A1"/>
    <w:rsid w:val="00D47007"/>
    <w:rsid w:val="00D4748A"/>
    <w:rsid w:val="00D479FE"/>
    <w:rsid w:val="00D47D1B"/>
    <w:rsid w:val="00D5171F"/>
    <w:rsid w:val="00D5190F"/>
    <w:rsid w:val="00D51EAE"/>
    <w:rsid w:val="00D52216"/>
    <w:rsid w:val="00D52406"/>
    <w:rsid w:val="00D52B58"/>
    <w:rsid w:val="00D52C24"/>
    <w:rsid w:val="00D53CA2"/>
    <w:rsid w:val="00D54BD1"/>
    <w:rsid w:val="00D54D2E"/>
    <w:rsid w:val="00D54E24"/>
    <w:rsid w:val="00D55BF2"/>
    <w:rsid w:val="00D55DF8"/>
    <w:rsid w:val="00D563B0"/>
    <w:rsid w:val="00D57119"/>
    <w:rsid w:val="00D57158"/>
    <w:rsid w:val="00D577C0"/>
    <w:rsid w:val="00D60D73"/>
    <w:rsid w:val="00D60E62"/>
    <w:rsid w:val="00D611EE"/>
    <w:rsid w:val="00D612B8"/>
    <w:rsid w:val="00D61CA7"/>
    <w:rsid w:val="00D62434"/>
    <w:rsid w:val="00D6262C"/>
    <w:rsid w:val="00D639B8"/>
    <w:rsid w:val="00D64091"/>
    <w:rsid w:val="00D642D0"/>
    <w:rsid w:val="00D64B8F"/>
    <w:rsid w:val="00D652C4"/>
    <w:rsid w:val="00D658FA"/>
    <w:rsid w:val="00D65B09"/>
    <w:rsid w:val="00D65C52"/>
    <w:rsid w:val="00D65D94"/>
    <w:rsid w:val="00D66330"/>
    <w:rsid w:val="00D663F0"/>
    <w:rsid w:val="00D666B5"/>
    <w:rsid w:val="00D66910"/>
    <w:rsid w:val="00D669E7"/>
    <w:rsid w:val="00D66A19"/>
    <w:rsid w:val="00D66D70"/>
    <w:rsid w:val="00D7070E"/>
    <w:rsid w:val="00D70FA5"/>
    <w:rsid w:val="00D71829"/>
    <w:rsid w:val="00D72AFB"/>
    <w:rsid w:val="00D72B97"/>
    <w:rsid w:val="00D72E69"/>
    <w:rsid w:val="00D7419D"/>
    <w:rsid w:val="00D745E3"/>
    <w:rsid w:val="00D7492D"/>
    <w:rsid w:val="00D74BE8"/>
    <w:rsid w:val="00D75131"/>
    <w:rsid w:val="00D75FF8"/>
    <w:rsid w:val="00D7637A"/>
    <w:rsid w:val="00D765A1"/>
    <w:rsid w:val="00D76F9C"/>
    <w:rsid w:val="00D773D0"/>
    <w:rsid w:val="00D77A75"/>
    <w:rsid w:val="00D80559"/>
    <w:rsid w:val="00D80B33"/>
    <w:rsid w:val="00D8177C"/>
    <w:rsid w:val="00D818C0"/>
    <w:rsid w:val="00D81E3F"/>
    <w:rsid w:val="00D81FC3"/>
    <w:rsid w:val="00D8209B"/>
    <w:rsid w:val="00D82710"/>
    <w:rsid w:val="00D82A90"/>
    <w:rsid w:val="00D82BA5"/>
    <w:rsid w:val="00D82D14"/>
    <w:rsid w:val="00D830A5"/>
    <w:rsid w:val="00D831F0"/>
    <w:rsid w:val="00D84038"/>
    <w:rsid w:val="00D86057"/>
    <w:rsid w:val="00D86328"/>
    <w:rsid w:val="00D86357"/>
    <w:rsid w:val="00D864A6"/>
    <w:rsid w:val="00D86F5E"/>
    <w:rsid w:val="00D86F80"/>
    <w:rsid w:val="00D87003"/>
    <w:rsid w:val="00D87914"/>
    <w:rsid w:val="00D90105"/>
    <w:rsid w:val="00D91906"/>
    <w:rsid w:val="00D91B6E"/>
    <w:rsid w:val="00D92B90"/>
    <w:rsid w:val="00D93168"/>
    <w:rsid w:val="00D934B5"/>
    <w:rsid w:val="00D93B96"/>
    <w:rsid w:val="00D93EFD"/>
    <w:rsid w:val="00D940DC"/>
    <w:rsid w:val="00D94A40"/>
    <w:rsid w:val="00D95014"/>
    <w:rsid w:val="00D95538"/>
    <w:rsid w:val="00D9553C"/>
    <w:rsid w:val="00D95FBB"/>
    <w:rsid w:val="00D9623E"/>
    <w:rsid w:val="00D964FB"/>
    <w:rsid w:val="00D968E2"/>
    <w:rsid w:val="00D9703E"/>
    <w:rsid w:val="00D9745B"/>
    <w:rsid w:val="00D97AA8"/>
    <w:rsid w:val="00DA004E"/>
    <w:rsid w:val="00DA02DA"/>
    <w:rsid w:val="00DA0F4F"/>
    <w:rsid w:val="00DA1DA1"/>
    <w:rsid w:val="00DA1DF8"/>
    <w:rsid w:val="00DA2309"/>
    <w:rsid w:val="00DA2D48"/>
    <w:rsid w:val="00DA2E40"/>
    <w:rsid w:val="00DA3597"/>
    <w:rsid w:val="00DA3B84"/>
    <w:rsid w:val="00DA3EE1"/>
    <w:rsid w:val="00DA4660"/>
    <w:rsid w:val="00DA46C8"/>
    <w:rsid w:val="00DA4876"/>
    <w:rsid w:val="00DA4CA0"/>
    <w:rsid w:val="00DA4D0A"/>
    <w:rsid w:val="00DA4D62"/>
    <w:rsid w:val="00DA4F24"/>
    <w:rsid w:val="00DA5796"/>
    <w:rsid w:val="00DA5FA7"/>
    <w:rsid w:val="00DA632A"/>
    <w:rsid w:val="00DA64DD"/>
    <w:rsid w:val="00DA700A"/>
    <w:rsid w:val="00DA73A0"/>
    <w:rsid w:val="00DB0A09"/>
    <w:rsid w:val="00DB0AFC"/>
    <w:rsid w:val="00DB24AE"/>
    <w:rsid w:val="00DB2BAB"/>
    <w:rsid w:val="00DB2D49"/>
    <w:rsid w:val="00DB2FA5"/>
    <w:rsid w:val="00DB3014"/>
    <w:rsid w:val="00DB363E"/>
    <w:rsid w:val="00DB393A"/>
    <w:rsid w:val="00DB424F"/>
    <w:rsid w:val="00DB452F"/>
    <w:rsid w:val="00DB4A2D"/>
    <w:rsid w:val="00DB4C80"/>
    <w:rsid w:val="00DB50A4"/>
    <w:rsid w:val="00DB5493"/>
    <w:rsid w:val="00DB5A22"/>
    <w:rsid w:val="00DB5BF4"/>
    <w:rsid w:val="00DB61A6"/>
    <w:rsid w:val="00DB6549"/>
    <w:rsid w:val="00DB65C8"/>
    <w:rsid w:val="00DB670A"/>
    <w:rsid w:val="00DB6AD5"/>
    <w:rsid w:val="00DB7137"/>
    <w:rsid w:val="00DB72D1"/>
    <w:rsid w:val="00DB79EA"/>
    <w:rsid w:val="00DB7BC7"/>
    <w:rsid w:val="00DC0004"/>
    <w:rsid w:val="00DC01C0"/>
    <w:rsid w:val="00DC0F82"/>
    <w:rsid w:val="00DC21F0"/>
    <w:rsid w:val="00DC253B"/>
    <w:rsid w:val="00DC29ED"/>
    <w:rsid w:val="00DC3A51"/>
    <w:rsid w:val="00DC3EEE"/>
    <w:rsid w:val="00DC4053"/>
    <w:rsid w:val="00DC48AB"/>
    <w:rsid w:val="00DC4CBD"/>
    <w:rsid w:val="00DC4E2B"/>
    <w:rsid w:val="00DC50F6"/>
    <w:rsid w:val="00DC6593"/>
    <w:rsid w:val="00DC6B74"/>
    <w:rsid w:val="00DC6E39"/>
    <w:rsid w:val="00DC6EAD"/>
    <w:rsid w:val="00DC710A"/>
    <w:rsid w:val="00DC7C93"/>
    <w:rsid w:val="00DC7DCE"/>
    <w:rsid w:val="00DD04A1"/>
    <w:rsid w:val="00DD0DC9"/>
    <w:rsid w:val="00DD0F67"/>
    <w:rsid w:val="00DD12B2"/>
    <w:rsid w:val="00DD13A1"/>
    <w:rsid w:val="00DD1588"/>
    <w:rsid w:val="00DD1798"/>
    <w:rsid w:val="00DD25A2"/>
    <w:rsid w:val="00DD447E"/>
    <w:rsid w:val="00DD449E"/>
    <w:rsid w:val="00DD458E"/>
    <w:rsid w:val="00DD48EE"/>
    <w:rsid w:val="00DD4DCB"/>
    <w:rsid w:val="00DD4E43"/>
    <w:rsid w:val="00DD53B3"/>
    <w:rsid w:val="00DD53FF"/>
    <w:rsid w:val="00DD6A55"/>
    <w:rsid w:val="00DD744A"/>
    <w:rsid w:val="00DE0A0D"/>
    <w:rsid w:val="00DE0BC6"/>
    <w:rsid w:val="00DE13E9"/>
    <w:rsid w:val="00DE1510"/>
    <w:rsid w:val="00DE30EA"/>
    <w:rsid w:val="00DE3DF8"/>
    <w:rsid w:val="00DE4071"/>
    <w:rsid w:val="00DE40E8"/>
    <w:rsid w:val="00DE452E"/>
    <w:rsid w:val="00DE46A1"/>
    <w:rsid w:val="00DE4A0A"/>
    <w:rsid w:val="00DE4A6C"/>
    <w:rsid w:val="00DE4D7C"/>
    <w:rsid w:val="00DE5022"/>
    <w:rsid w:val="00DE5666"/>
    <w:rsid w:val="00DE6869"/>
    <w:rsid w:val="00DE68FF"/>
    <w:rsid w:val="00DE6A3E"/>
    <w:rsid w:val="00DE6C81"/>
    <w:rsid w:val="00DE6D80"/>
    <w:rsid w:val="00DE7B48"/>
    <w:rsid w:val="00DE7BFA"/>
    <w:rsid w:val="00DE7D9B"/>
    <w:rsid w:val="00DE7E5E"/>
    <w:rsid w:val="00DF0343"/>
    <w:rsid w:val="00DF0605"/>
    <w:rsid w:val="00DF0B12"/>
    <w:rsid w:val="00DF1859"/>
    <w:rsid w:val="00DF19A4"/>
    <w:rsid w:val="00DF2155"/>
    <w:rsid w:val="00DF2D43"/>
    <w:rsid w:val="00DF2EB1"/>
    <w:rsid w:val="00DF32AE"/>
    <w:rsid w:val="00DF3FD5"/>
    <w:rsid w:val="00DF433B"/>
    <w:rsid w:val="00DF4BD1"/>
    <w:rsid w:val="00DF4D2C"/>
    <w:rsid w:val="00DF4EF0"/>
    <w:rsid w:val="00DF628A"/>
    <w:rsid w:val="00DF73BB"/>
    <w:rsid w:val="00DF746F"/>
    <w:rsid w:val="00DF7935"/>
    <w:rsid w:val="00DF7A0A"/>
    <w:rsid w:val="00DF7AD0"/>
    <w:rsid w:val="00DF7AF7"/>
    <w:rsid w:val="00DF7B4A"/>
    <w:rsid w:val="00DF7E1D"/>
    <w:rsid w:val="00E00374"/>
    <w:rsid w:val="00E0055F"/>
    <w:rsid w:val="00E005F0"/>
    <w:rsid w:val="00E0094D"/>
    <w:rsid w:val="00E00F8C"/>
    <w:rsid w:val="00E01E2D"/>
    <w:rsid w:val="00E01E32"/>
    <w:rsid w:val="00E01EFE"/>
    <w:rsid w:val="00E021AF"/>
    <w:rsid w:val="00E02725"/>
    <w:rsid w:val="00E02956"/>
    <w:rsid w:val="00E02B8F"/>
    <w:rsid w:val="00E02D10"/>
    <w:rsid w:val="00E02D7B"/>
    <w:rsid w:val="00E038E6"/>
    <w:rsid w:val="00E03CB2"/>
    <w:rsid w:val="00E03EE3"/>
    <w:rsid w:val="00E04445"/>
    <w:rsid w:val="00E047BF"/>
    <w:rsid w:val="00E04BD7"/>
    <w:rsid w:val="00E0513E"/>
    <w:rsid w:val="00E05F6C"/>
    <w:rsid w:val="00E062E7"/>
    <w:rsid w:val="00E07D67"/>
    <w:rsid w:val="00E10614"/>
    <w:rsid w:val="00E10A4A"/>
    <w:rsid w:val="00E10D24"/>
    <w:rsid w:val="00E10D3B"/>
    <w:rsid w:val="00E11358"/>
    <w:rsid w:val="00E11792"/>
    <w:rsid w:val="00E120E3"/>
    <w:rsid w:val="00E12161"/>
    <w:rsid w:val="00E12191"/>
    <w:rsid w:val="00E1249F"/>
    <w:rsid w:val="00E12611"/>
    <w:rsid w:val="00E1332C"/>
    <w:rsid w:val="00E134E7"/>
    <w:rsid w:val="00E1358B"/>
    <w:rsid w:val="00E135F2"/>
    <w:rsid w:val="00E135F4"/>
    <w:rsid w:val="00E13A90"/>
    <w:rsid w:val="00E15394"/>
    <w:rsid w:val="00E156F0"/>
    <w:rsid w:val="00E160EF"/>
    <w:rsid w:val="00E16265"/>
    <w:rsid w:val="00E1725D"/>
    <w:rsid w:val="00E20C91"/>
    <w:rsid w:val="00E2118D"/>
    <w:rsid w:val="00E21295"/>
    <w:rsid w:val="00E21CAB"/>
    <w:rsid w:val="00E23A15"/>
    <w:rsid w:val="00E23EB2"/>
    <w:rsid w:val="00E23F49"/>
    <w:rsid w:val="00E2407A"/>
    <w:rsid w:val="00E24C4D"/>
    <w:rsid w:val="00E254DC"/>
    <w:rsid w:val="00E25513"/>
    <w:rsid w:val="00E25EF7"/>
    <w:rsid w:val="00E262C8"/>
    <w:rsid w:val="00E26740"/>
    <w:rsid w:val="00E26955"/>
    <w:rsid w:val="00E27824"/>
    <w:rsid w:val="00E27DE4"/>
    <w:rsid w:val="00E307C9"/>
    <w:rsid w:val="00E311AB"/>
    <w:rsid w:val="00E32042"/>
    <w:rsid w:val="00E326EB"/>
    <w:rsid w:val="00E329E3"/>
    <w:rsid w:val="00E329E5"/>
    <w:rsid w:val="00E32D9D"/>
    <w:rsid w:val="00E3362E"/>
    <w:rsid w:val="00E336C0"/>
    <w:rsid w:val="00E33826"/>
    <w:rsid w:val="00E347F7"/>
    <w:rsid w:val="00E34A3E"/>
    <w:rsid w:val="00E350EB"/>
    <w:rsid w:val="00E35228"/>
    <w:rsid w:val="00E355AC"/>
    <w:rsid w:val="00E35B09"/>
    <w:rsid w:val="00E362F3"/>
    <w:rsid w:val="00E364D2"/>
    <w:rsid w:val="00E36683"/>
    <w:rsid w:val="00E36A31"/>
    <w:rsid w:val="00E36D45"/>
    <w:rsid w:val="00E36F07"/>
    <w:rsid w:val="00E371CB"/>
    <w:rsid w:val="00E37661"/>
    <w:rsid w:val="00E37690"/>
    <w:rsid w:val="00E37A1F"/>
    <w:rsid w:val="00E37C25"/>
    <w:rsid w:val="00E40271"/>
    <w:rsid w:val="00E40C33"/>
    <w:rsid w:val="00E40DB1"/>
    <w:rsid w:val="00E40DC6"/>
    <w:rsid w:val="00E40DF6"/>
    <w:rsid w:val="00E4137A"/>
    <w:rsid w:val="00E41904"/>
    <w:rsid w:val="00E41B8B"/>
    <w:rsid w:val="00E428C6"/>
    <w:rsid w:val="00E42BA2"/>
    <w:rsid w:val="00E42C1C"/>
    <w:rsid w:val="00E42F3E"/>
    <w:rsid w:val="00E4302C"/>
    <w:rsid w:val="00E434C6"/>
    <w:rsid w:val="00E435A4"/>
    <w:rsid w:val="00E43FD2"/>
    <w:rsid w:val="00E440D6"/>
    <w:rsid w:val="00E442CB"/>
    <w:rsid w:val="00E4472C"/>
    <w:rsid w:val="00E449F3"/>
    <w:rsid w:val="00E44B27"/>
    <w:rsid w:val="00E44DFA"/>
    <w:rsid w:val="00E45878"/>
    <w:rsid w:val="00E45EC0"/>
    <w:rsid w:val="00E46565"/>
    <w:rsid w:val="00E46C1B"/>
    <w:rsid w:val="00E46CB5"/>
    <w:rsid w:val="00E46D24"/>
    <w:rsid w:val="00E46E56"/>
    <w:rsid w:val="00E46FA0"/>
    <w:rsid w:val="00E47B5C"/>
    <w:rsid w:val="00E50094"/>
    <w:rsid w:val="00E50345"/>
    <w:rsid w:val="00E50543"/>
    <w:rsid w:val="00E50594"/>
    <w:rsid w:val="00E50773"/>
    <w:rsid w:val="00E510B3"/>
    <w:rsid w:val="00E5135D"/>
    <w:rsid w:val="00E51502"/>
    <w:rsid w:val="00E515DB"/>
    <w:rsid w:val="00E5190E"/>
    <w:rsid w:val="00E51D61"/>
    <w:rsid w:val="00E51FFF"/>
    <w:rsid w:val="00E5208D"/>
    <w:rsid w:val="00E5243F"/>
    <w:rsid w:val="00E5324D"/>
    <w:rsid w:val="00E541AB"/>
    <w:rsid w:val="00E548CC"/>
    <w:rsid w:val="00E55007"/>
    <w:rsid w:val="00E55354"/>
    <w:rsid w:val="00E5580F"/>
    <w:rsid w:val="00E55BF7"/>
    <w:rsid w:val="00E55C55"/>
    <w:rsid w:val="00E55D27"/>
    <w:rsid w:val="00E55F0A"/>
    <w:rsid w:val="00E563D2"/>
    <w:rsid w:val="00E5652F"/>
    <w:rsid w:val="00E56958"/>
    <w:rsid w:val="00E56D53"/>
    <w:rsid w:val="00E56E49"/>
    <w:rsid w:val="00E579A8"/>
    <w:rsid w:val="00E57F05"/>
    <w:rsid w:val="00E6043D"/>
    <w:rsid w:val="00E611A9"/>
    <w:rsid w:val="00E612EC"/>
    <w:rsid w:val="00E61346"/>
    <w:rsid w:val="00E614FE"/>
    <w:rsid w:val="00E6289B"/>
    <w:rsid w:val="00E62C84"/>
    <w:rsid w:val="00E634E8"/>
    <w:rsid w:val="00E63713"/>
    <w:rsid w:val="00E63C35"/>
    <w:rsid w:val="00E640F9"/>
    <w:rsid w:val="00E64AC0"/>
    <w:rsid w:val="00E64EF9"/>
    <w:rsid w:val="00E669DA"/>
    <w:rsid w:val="00E66D5B"/>
    <w:rsid w:val="00E66D5D"/>
    <w:rsid w:val="00E67C05"/>
    <w:rsid w:val="00E67CA9"/>
    <w:rsid w:val="00E70CAF"/>
    <w:rsid w:val="00E710F5"/>
    <w:rsid w:val="00E7112E"/>
    <w:rsid w:val="00E715F6"/>
    <w:rsid w:val="00E724B0"/>
    <w:rsid w:val="00E726A0"/>
    <w:rsid w:val="00E73448"/>
    <w:rsid w:val="00E734FE"/>
    <w:rsid w:val="00E7356C"/>
    <w:rsid w:val="00E73DEB"/>
    <w:rsid w:val="00E741AC"/>
    <w:rsid w:val="00E74489"/>
    <w:rsid w:val="00E74AEF"/>
    <w:rsid w:val="00E74F3A"/>
    <w:rsid w:val="00E759B1"/>
    <w:rsid w:val="00E75ACA"/>
    <w:rsid w:val="00E7623B"/>
    <w:rsid w:val="00E76986"/>
    <w:rsid w:val="00E76AAD"/>
    <w:rsid w:val="00E7768C"/>
    <w:rsid w:val="00E77AAA"/>
    <w:rsid w:val="00E77EE3"/>
    <w:rsid w:val="00E806B7"/>
    <w:rsid w:val="00E80DC6"/>
    <w:rsid w:val="00E80EF0"/>
    <w:rsid w:val="00E815E2"/>
    <w:rsid w:val="00E820E3"/>
    <w:rsid w:val="00E82280"/>
    <w:rsid w:val="00E82D1D"/>
    <w:rsid w:val="00E82D85"/>
    <w:rsid w:val="00E83053"/>
    <w:rsid w:val="00E834CC"/>
    <w:rsid w:val="00E83545"/>
    <w:rsid w:val="00E83DD8"/>
    <w:rsid w:val="00E8458B"/>
    <w:rsid w:val="00E85752"/>
    <w:rsid w:val="00E85A11"/>
    <w:rsid w:val="00E865AF"/>
    <w:rsid w:val="00E86687"/>
    <w:rsid w:val="00E86F8D"/>
    <w:rsid w:val="00E86FDA"/>
    <w:rsid w:val="00E87FBB"/>
    <w:rsid w:val="00E87FE5"/>
    <w:rsid w:val="00E901C5"/>
    <w:rsid w:val="00E90DA0"/>
    <w:rsid w:val="00E913DA"/>
    <w:rsid w:val="00E915E1"/>
    <w:rsid w:val="00E916BF"/>
    <w:rsid w:val="00E91916"/>
    <w:rsid w:val="00E91DA7"/>
    <w:rsid w:val="00E926C5"/>
    <w:rsid w:val="00E926CF"/>
    <w:rsid w:val="00E92775"/>
    <w:rsid w:val="00E92CF7"/>
    <w:rsid w:val="00E93284"/>
    <w:rsid w:val="00E93896"/>
    <w:rsid w:val="00E94132"/>
    <w:rsid w:val="00E944A9"/>
    <w:rsid w:val="00E95112"/>
    <w:rsid w:val="00E9559C"/>
    <w:rsid w:val="00E955FB"/>
    <w:rsid w:val="00E9581A"/>
    <w:rsid w:val="00E95AD9"/>
    <w:rsid w:val="00E95BED"/>
    <w:rsid w:val="00E95E7C"/>
    <w:rsid w:val="00E96D60"/>
    <w:rsid w:val="00E97A95"/>
    <w:rsid w:val="00E97B06"/>
    <w:rsid w:val="00E97C8F"/>
    <w:rsid w:val="00EA014C"/>
    <w:rsid w:val="00EA0EBC"/>
    <w:rsid w:val="00EA0ECD"/>
    <w:rsid w:val="00EA170A"/>
    <w:rsid w:val="00EA182C"/>
    <w:rsid w:val="00EA25E2"/>
    <w:rsid w:val="00EA29AC"/>
    <w:rsid w:val="00EA30D2"/>
    <w:rsid w:val="00EA32B2"/>
    <w:rsid w:val="00EA4F26"/>
    <w:rsid w:val="00EA4F47"/>
    <w:rsid w:val="00EA5056"/>
    <w:rsid w:val="00EA5AC0"/>
    <w:rsid w:val="00EA60AC"/>
    <w:rsid w:val="00EA6AE9"/>
    <w:rsid w:val="00EA7D7C"/>
    <w:rsid w:val="00EA7EE8"/>
    <w:rsid w:val="00EB004B"/>
    <w:rsid w:val="00EB0925"/>
    <w:rsid w:val="00EB0AE5"/>
    <w:rsid w:val="00EB12EC"/>
    <w:rsid w:val="00EB181B"/>
    <w:rsid w:val="00EB1A55"/>
    <w:rsid w:val="00EB1A95"/>
    <w:rsid w:val="00EB1BC7"/>
    <w:rsid w:val="00EB2043"/>
    <w:rsid w:val="00EB21FC"/>
    <w:rsid w:val="00EB2398"/>
    <w:rsid w:val="00EB279B"/>
    <w:rsid w:val="00EB298F"/>
    <w:rsid w:val="00EB2DBB"/>
    <w:rsid w:val="00EB2FFA"/>
    <w:rsid w:val="00EB32A8"/>
    <w:rsid w:val="00EB3432"/>
    <w:rsid w:val="00EB3EFA"/>
    <w:rsid w:val="00EB4504"/>
    <w:rsid w:val="00EB4A35"/>
    <w:rsid w:val="00EB5B5F"/>
    <w:rsid w:val="00EB5ED4"/>
    <w:rsid w:val="00EB5FCA"/>
    <w:rsid w:val="00EB6997"/>
    <w:rsid w:val="00EB6E66"/>
    <w:rsid w:val="00EB70D6"/>
    <w:rsid w:val="00EB7A0D"/>
    <w:rsid w:val="00EC05AC"/>
    <w:rsid w:val="00EC13F4"/>
    <w:rsid w:val="00EC1789"/>
    <w:rsid w:val="00EC18B4"/>
    <w:rsid w:val="00EC1C2D"/>
    <w:rsid w:val="00EC1E83"/>
    <w:rsid w:val="00EC1F64"/>
    <w:rsid w:val="00EC203E"/>
    <w:rsid w:val="00EC23D3"/>
    <w:rsid w:val="00EC2D04"/>
    <w:rsid w:val="00EC2F82"/>
    <w:rsid w:val="00EC35E0"/>
    <w:rsid w:val="00EC40C6"/>
    <w:rsid w:val="00EC4942"/>
    <w:rsid w:val="00EC4A39"/>
    <w:rsid w:val="00EC4E2F"/>
    <w:rsid w:val="00EC6714"/>
    <w:rsid w:val="00EC6B93"/>
    <w:rsid w:val="00ED1093"/>
    <w:rsid w:val="00ED15BE"/>
    <w:rsid w:val="00ED2BBA"/>
    <w:rsid w:val="00ED441B"/>
    <w:rsid w:val="00ED4832"/>
    <w:rsid w:val="00ED5ED1"/>
    <w:rsid w:val="00ED646F"/>
    <w:rsid w:val="00ED6534"/>
    <w:rsid w:val="00ED68F0"/>
    <w:rsid w:val="00ED798C"/>
    <w:rsid w:val="00ED7FD3"/>
    <w:rsid w:val="00EE0408"/>
    <w:rsid w:val="00EE0430"/>
    <w:rsid w:val="00EE053D"/>
    <w:rsid w:val="00EE0BE8"/>
    <w:rsid w:val="00EE129B"/>
    <w:rsid w:val="00EE2B28"/>
    <w:rsid w:val="00EE397D"/>
    <w:rsid w:val="00EE3E24"/>
    <w:rsid w:val="00EE403E"/>
    <w:rsid w:val="00EE4232"/>
    <w:rsid w:val="00EE44F3"/>
    <w:rsid w:val="00EE46CB"/>
    <w:rsid w:val="00EE54C6"/>
    <w:rsid w:val="00EE5732"/>
    <w:rsid w:val="00EE5890"/>
    <w:rsid w:val="00EE6599"/>
    <w:rsid w:val="00EE75EF"/>
    <w:rsid w:val="00EF0159"/>
    <w:rsid w:val="00EF04AE"/>
    <w:rsid w:val="00EF0613"/>
    <w:rsid w:val="00EF071E"/>
    <w:rsid w:val="00EF160B"/>
    <w:rsid w:val="00EF17E3"/>
    <w:rsid w:val="00EF18B1"/>
    <w:rsid w:val="00EF193B"/>
    <w:rsid w:val="00EF2822"/>
    <w:rsid w:val="00EF2DE8"/>
    <w:rsid w:val="00EF3D6A"/>
    <w:rsid w:val="00EF3FA1"/>
    <w:rsid w:val="00EF4241"/>
    <w:rsid w:val="00EF458D"/>
    <w:rsid w:val="00EF4741"/>
    <w:rsid w:val="00EF4A29"/>
    <w:rsid w:val="00EF4B35"/>
    <w:rsid w:val="00EF6249"/>
    <w:rsid w:val="00EF680E"/>
    <w:rsid w:val="00EF6BEB"/>
    <w:rsid w:val="00EF6EFC"/>
    <w:rsid w:val="00EF78B0"/>
    <w:rsid w:val="00F001B4"/>
    <w:rsid w:val="00F00535"/>
    <w:rsid w:val="00F006B9"/>
    <w:rsid w:val="00F00AB6"/>
    <w:rsid w:val="00F01055"/>
    <w:rsid w:val="00F01C28"/>
    <w:rsid w:val="00F02025"/>
    <w:rsid w:val="00F0325C"/>
    <w:rsid w:val="00F03614"/>
    <w:rsid w:val="00F05B12"/>
    <w:rsid w:val="00F05BD2"/>
    <w:rsid w:val="00F05D24"/>
    <w:rsid w:val="00F06116"/>
    <w:rsid w:val="00F06DFD"/>
    <w:rsid w:val="00F07520"/>
    <w:rsid w:val="00F07AA3"/>
    <w:rsid w:val="00F11568"/>
    <w:rsid w:val="00F11DA8"/>
    <w:rsid w:val="00F11FD3"/>
    <w:rsid w:val="00F12524"/>
    <w:rsid w:val="00F12843"/>
    <w:rsid w:val="00F12FCF"/>
    <w:rsid w:val="00F13485"/>
    <w:rsid w:val="00F138F0"/>
    <w:rsid w:val="00F13A61"/>
    <w:rsid w:val="00F13AE6"/>
    <w:rsid w:val="00F14089"/>
    <w:rsid w:val="00F142F3"/>
    <w:rsid w:val="00F143DD"/>
    <w:rsid w:val="00F15716"/>
    <w:rsid w:val="00F15851"/>
    <w:rsid w:val="00F15DCC"/>
    <w:rsid w:val="00F16774"/>
    <w:rsid w:val="00F16D12"/>
    <w:rsid w:val="00F174AC"/>
    <w:rsid w:val="00F17A0C"/>
    <w:rsid w:val="00F203B0"/>
    <w:rsid w:val="00F20A97"/>
    <w:rsid w:val="00F213DC"/>
    <w:rsid w:val="00F21457"/>
    <w:rsid w:val="00F21E55"/>
    <w:rsid w:val="00F21F80"/>
    <w:rsid w:val="00F227F8"/>
    <w:rsid w:val="00F23516"/>
    <w:rsid w:val="00F24024"/>
    <w:rsid w:val="00F24557"/>
    <w:rsid w:val="00F2476A"/>
    <w:rsid w:val="00F24A26"/>
    <w:rsid w:val="00F24E6C"/>
    <w:rsid w:val="00F255CB"/>
    <w:rsid w:val="00F25ECD"/>
    <w:rsid w:val="00F266CA"/>
    <w:rsid w:val="00F26F1F"/>
    <w:rsid w:val="00F27280"/>
    <w:rsid w:val="00F305A3"/>
    <w:rsid w:val="00F30F96"/>
    <w:rsid w:val="00F314A9"/>
    <w:rsid w:val="00F314CE"/>
    <w:rsid w:val="00F31686"/>
    <w:rsid w:val="00F31D3F"/>
    <w:rsid w:val="00F32261"/>
    <w:rsid w:val="00F32298"/>
    <w:rsid w:val="00F32FF3"/>
    <w:rsid w:val="00F33C7A"/>
    <w:rsid w:val="00F351FE"/>
    <w:rsid w:val="00F352F9"/>
    <w:rsid w:val="00F369C9"/>
    <w:rsid w:val="00F36E22"/>
    <w:rsid w:val="00F37077"/>
    <w:rsid w:val="00F3726E"/>
    <w:rsid w:val="00F3737D"/>
    <w:rsid w:val="00F40070"/>
    <w:rsid w:val="00F40287"/>
    <w:rsid w:val="00F40447"/>
    <w:rsid w:val="00F4073D"/>
    <w:rsid w:val="00F4089D"/>
    <w:rsid w:val="00F41A99"/>
    <w:rsid w:val="00F41C12"/>
    <w:rsid w:val="00F41E4A"/>
    <w:rsid w:val="00F4207A"/>
    <w:rsid w:val="00F42285"/>
    <w:rsid w:val="00F423D4"/>
    <w:rsid w:val="00F42413"/>
    <w:rsid w:val="00F42A94"/>
    <w:rsid w:val="00F430DB"/>
    <w:rsid w:val="00F43938"/>
    <w:rsid w:val="00F43A33"/>
    <w:rsid w:val="00F441B6"/>
    <w:rsid w:val="00F44EB1"/>
    <w:rsid w:val="00F45202"/>
    <w:rsid w:val="00F45445"/>
    <w:rsid w:val="00F459E7"/>
    <w:rsid w:val="00F45B0C"/>
    <w:rsid w:val="00F461E7"/>
    <w:rsid w:val="00F46FE9"/>
    <w:rsid w:val="00F47ABB"/>
    <w:rsid w:val="00F47B84"/>
    <w:rsid w:val="00F47B97"/>
    <w:rsid w:val="00F5048E"/>
    <w:rsid w:val="00F50931"/>
    <w:rsid w:val="00F511EB"/>
    <w:rsid w:val="00F512E7"/>
    <w:rsid w:val="00F519EF"/>
    <w:rsid w:val="00F51D1F"/>
    <w:rsid w:val="00F51F80"/>
    <w:rsid w:val="00F53627"/>
    <w:rsid w:val="00F53867"/>
    <w:rsid w:val="00F539FC"/>
    <w:rsid w:val="00F53A57"/>
    <w:rsid w:val="00F5402C"/>
    <w:rsid w:val="00F5426C"/>
    <w:rsid w:val="00F54BB5"/>
    <w:rsid w:val="00F54DA5"/>
    <w:rsid w:val="00F55EF9"/>
    <w:rsid w:val="00F568C9"/>
    <w:rsid w:val="00F56A2C"/>
    <w:rsid w:val="00F56F43"/>
    <w:rsid w:val="00F57016"/>
    <w:rsid w:val="00F5720F"/>
    <w:rsid w:val="00F60419"/>
    <w:rsid w:val="00F60FCD"/>
    <w:rsid w:val="00F610C1"/>
    <w:rsid w:val="00F615F4"/>
    <w:rsid w:val="00F62652"/>
    <w:rsid w:val="00F629E7"/>
    <w:rsid w:val="00F62D5F"/>
    <w:rsid w:val="00F634B4"/>
    <w:rsid w:val="00F63E82"/>
    <w:rsid w:val="00F6471D"/>
    <w:rsid w:val="00F64C8B"/>
    <w:rsid w:val="00F6508E"/>
    <w:rsid w:val="00F65E00"/>
    <w:rsid w:val="00F66202"/>
    <w:rsid w:val="00F66405"/>
    <w:rsid w:val="00F668D2"/>
    <w:rsid w:val="00F66A35"/>
    <w:rsid w:val="00F66CC5"/>
    <w:rsid w:val="00F66F1E"/>
    <w:rsid w:val="00F66FD6"/>
    <w:rsid w:val="00F6709B"/>
    <w:rsid w:val="00F67563"/>
    <w:rsid w:val="00F6762B"/>
    <w:rsid w:val="00F67FA8"/>
    <w:rsid w:val="00F7097D"/>
    <w:rsid w:val="00F71581"/>
    <w:rsid w:val="00F72A50"/>
    <w:rsid w:val="00F73064"/>
    <w:rsid w:val="00F731BF"/>
    <w:rsid w:val="00F73A25"/>
    <w:rsid w:val="00F73AF1"/>
    <w:rsid w:val="00F73F89"/>
    <w:rsid w:val="00F74C34"/>
    <w:rsid w:val="00F74E1A"/>
    <w:rsid w:val="00F74E94"/>
    <w:rsid w:val="00F751D3"/>
    <w:rsid w:val="00F75460"/>
    <w:rsid w:val="00F75C75"/>
    <w:rsid w:val="00F75CCF"/>
    <w:rsid w:val="00F76014"/>
    <w:rsid w:val="00F7641F"/>
    <w:rsid w:val="00F76973"/>
    <w:rsid w:val="00F7712B"/>
    <w:rsid w:val="00F7716A"/>
    <w:rsid w:val="00F77419"/>
    <w:rsid w:val="00F77445"/>
    <w:rsid w:val="00F7765C"/>
    <w:rsid w:val="00F778DC"/>
    <w:rsid w:val="00F779FE"/>
    <w:rsid w:val="00F77DBF"/>
    <w:rsid w:val="00F77E3B"/>
    <w:rsid w:val="00F803BE"/>
    <w:rsid w:val="00F80614"/>
    <w:rsid w:val="00F80663"/>
    <w:rsid w:val="00F80BC9"/>
    <w:rsid w:val="00F80BEF"/>
    <w:rsid w:val="00F80F78"/>
    <w:rsid w:val="00F8141B"/>
    <w:rsid w:val="00F815EA"/>
    <w:rsid w:val="00F81E93"/>
    <w:rsid w:val="00F8223F"/>
    <w:rsid w:val="00F83213"/>
    <w:rsid w:val="00F84230"/>
    <w:rsid w:val="00F85CB0"/>
    <w:rsid w:val="00F8651D"/>
    <w:rsid w:val="00F865BE"/>
    <w:rsid w:val="00F8670A"/>
    <w:rsid w:val="00F8690F"/>
    <w:rsid w:val="00F86C5D"/>
    <w:rsid w:val="00F86E3F"/>
    <w:rsid w:val="00F86FB7"/>
    <w:rsid w:val="00F8705A"/>
    <w:rsid w:val="00F87AEE"/>
    <w:rsid w:val="00F87DEF"/>
    <w:rsid w:val="00F87E40"/>
    <w:rsid w:val="00F90056"/>
    <w:rsid w:val="00F90108"/>
    <w:rsid w:val="00F91057"/>
    <w:rsid w:val="00F9169A"/>
    <w:rsid w:val="00F91CE1"/>
    <w:rsid w:val="00F92602"/>
    <w:rsid w:val="00F92665"/>
    <w:rsid w:val="00F92D75"/>
    <w:rsid w:val="00F93572"/>
    <w:rsid w:val="00F93802"/>
    <w:rsid w:val="00F9414A"/>
    <w:rsid w:val="00F94587"/>
    <w:rsid w:val="00F94942"/>
    <w:rsid w:val="00F94BC5"/>
    <w:rsid w:val="00F95485"/>
    <w:rsid w:val="00F95631"/>
    <w:rsid w:val="00F95753"/>
    <w:rsid w:val="00F9586C"/>
    <w:rsid w:val="00F961A6"/>
    <w:rsid w:val="00F9691E"/>
    <w:rsid w:val="00F97C84"/>
    <w:rsid w:val="00FA035C"/>
    <w:rsid w:val="00FA07D7"/>
    <w:rsid w:val="00FA0BDC"/>
    <w:rsid w:val="00FA0DE8"/>
    <w:rsid w:val="00FA0FD7"/>
    <w:rsid w:val="00FA150A"/>
    <w:rsid w:val="00FA1E56"/>
    <w:rsid w:val="00FA26BF"/>
    <w:rsid w:val="00FA319A"/>
    <w:rsid w:val="00FA320A"/>
    <w:rsid w:val="00FA36AB"/>
    <w:rsid w:val="00FA38D8"/>
    <w:rsid w:val="00FA42E7"/>
    <w:rsid w:val="00FA4542"/>
    <w:rsid w:val="00FA454A"/>
    <w:rsid w:val="00FA4883"/>
    <w:rsid w:val="00FA52DE"/>
    <w:rsid w:val="00FA5B85"/>
    <w:rsid w:val="00FA6DDE"/>
    <w:rsid w:val="00FA74DB"/>
    <w:rsid w:val="00FA7F81"/>
    <w:rsid w:val="00FB013A"/>
    <w:rsid w:val="00FB0215"/>
    <w:rsid w:val="00FB0630"/>
    <w:rsid w:val="00FB07DB"/>
    <w:rsid w:val="00FB0829"/>
    <w:rsid w:val="00FB09E0"/>
    <w:rsid w:val="00FB1BD2"/>
    <w:rsid w:val="00FB1F7E"/>
    <w:rsid w:val="00FB214B"/>
    <w:rsid w:val="00FB24AA"/>
    <w:rsid w:val="00FB28BA"/>
    <w:rsid w:val="00FB3B9C"/>
    <w:rsid w:val="00FB404D"/>
    <w:rsid w:val="00FB46DE"/>
    <w:rsid w:val="00FB4A0C"/>
    <w:rsid w:val="00FB5277"/>
    <w:rsid w:val="00FB5476"/>
    <w:rsid w:val="00FB68E8"/>
    <w:rsid w:val="00FB6D9D"/>
    <w:rsid w:val="00FC0344"/>
    <w:rsid w:val="00FC051D"/>
    <w:rsid w:val="00FC150B"/>
    <w:rsid w:val="00FC2BB6"/>
    <w:rsid w:val="00FC2D9E"/>
    <w:rsid w:val="00FC302D"/>
    <w:rsid w:val="00FC3306"/>
    <w:rsid w:val="00FC4201"/>
    <w:rsid w:val="00FC494E"/>
    <w:rsid w:val="00FC4A80"/>
    <w:rsid w:val="00FC5284"/>
    <w:rsid w:val="00FC5292"/>
    <w:rsid w:val="00FC6BDD"/>
    <w:rsid w:val="00FC6F37"/>
    <w:rsid w:val="00FC7102"/>
    <w:rsid w:val="00FC720B"/>
    <w:rsid w:val="00FC7689"/>
    <w:rsid w:val="00FC7A7D"/>
    <w:rsid w:val="00FC7E11"/>
    <w:rsid w:val="00FD0237"/>
    <w:rsid w:val="00FD04F1"/>
    <w:rsid w:val="00FD05CF"/>
    <w:rsid w:val="00FD0993"/>
    <w:rsid w:val="00FD0E26"/>
    <w:rsid w:val="00FD0F73"/>
    <w:rsid w:val="00FD11F2"/>
    <w:rsid w:val="00FD140B"/>
    <w:rsid w:val="00FD2005"/>
    <w:rsid w:val="00FD2805"/>
    <w:rsid w:val="00FD646A"/>
    <w:rsid w:val="00FD6B5E"/>
    <w:rsid w:val="00FD6F64"/>
    <w:rsid w:val="00FD7650"/>
    <w:rsid w:val="00FD7BE5"/>
    <w:rsid w:val="00FE0294"/>
    <w:rsid w:val="00FE0DE8"/>
    <w:rsid w:val="00FE101E"/>
    <w:rsid w:val="00FE1042"/>
    <w:rsid w:val="00FE189A"/>
    <w:rsid w:val="00FE22A8"/>
    <w:rsid w:val="00FE22DC"/>
    <w:rsid w:val="00FE255C"/>
    <w:rsid w:val="00FE3234"/>
    <w:rsid w:val="00FE3A2D"/>
    <w:rsid w:val="00FE3A7C"/>
    <w:rsid w:val="00FE4291"/>
    <w:rsid w:val="00FE446F"/>
    <w:rsid w:val="00FE4513"/>
    <w:rsid w:val="00FE4902"/>
    <w:rsid w:val="00FE511D"/>
    <w:rsid w:val="00FE55E6"/>
    <w:rsid w:val="00FE6099"/>
    <w:rsid w:val="00FE61EF"/>
    <w:rsid w:val="00FE675B"/>
    <w:rsid w:val="00FE69A8"/>
    <w:rsid w:val="00FE6C14"/>
    <w:rsid w:val="00FF03ED"/>
    <w:rsid w:val="00FF03FC"/>
    <w:rsid w:val="00FF0BA8"/>
    <w:rsid w:val="00FF0DF4"/>
    <w:rsid w:val="00FF0FF8"/>
    <w:rsid w:val="00FF1D1A"/>
    <w:rsid w:val="00FF20F9"/>
    <w:rsid w:val="00FF25A7"/>
    <w:rsid w:val="00FF279F"/>
    <w:rsid w:val="00FF27C5"/>
    <w:rsid w:val="00FF29C4"/>
    <w:rsid w:val="00FF2FFE"/>
    <w:rsid w:val="00FF3813"/>
    <w:rsid w:val="00FF38D0"/>
    <w:rsid w:val="00FF39CE"/>
    <w:rsid w:val="00FF3EC5"/>
    <w:rsid w:val="00FF43CC"/>
    <w:rsid w:val="00FF53EB"/>
    <w:rsid w:val="00FF55CA"/>
    <w:rsid w:val="00FF5B65"/>
    <w:rsid w:val="00FF5C7B"/>
    <w:rsid w:val="00FF5E69"/>
    <w:rsid w:val="010A1A45"/>
    <w:rsid w:val="01681627"/>
    <w:rsid w:val="01B802CC"/>
    <w:rsid w:val="02300959"/>
    <w:rsid w:val="02467E3A"/>
    <w:rsid w:val="02A471CA"/>
    <w:rsid w:val="02AA0806"/>
    <w:rsid w:val="03183D5B"/>
    <w:rsid w:val="04396999"/>
    <w:rsid w:val="047905B1"/>
    <w:rsid w:val="0495200C"/>
    <w:rsid w:val="04CC7824"/>
    <w:rsid w:val="04D761E0"/>
    <w:rsid w:val="04EB1E66"/>
    <w:rsid w:val="050B0290"/>
    <w:rsid w:val="050E3F58"/>
    <w:rsid w:val="0529632C"/>
    <w:rsid w:val="052C3179"/>
    <w:rsid w:val="05DB3659"/>
    <w:rsid w:val="06297459"/>
    <w:rsid w:val="063076F2"/>
    <w:rsid w:val="067019B2"/>
    <w:rsid w:val="069B710A"/>
    <w:rsid w:val="06D36E5C"/>
    <w:rsid w:val="06FD04F8"/>
    <w:rsid w:val="070453D6"/>
    <w:rsid w:val="07306612"/>
    <w:rsid w:val="0732622A"/>
    <w:rsid w:val="07815809"/>
    <w:rsid w:val="07A7572D"/>
    <w:rsid w:val="07D04383"/>
    <w:rsid w:val="084F6F27"/>
    <w:rsid w:val="09381672"/>
    <w:rsid w:val="096206A2"/>
    <w:rsid w:val="09B34675"/>
    <w:rsid w:val="09CA5C9C"/>
    <w:rsid w:val="09D43F25"/>
    <w:rsid w:val="0A345029"/>
    <w:rsid w:val="0AA51E1B"/>
    <w:rsid w:val="0BA34DEC"/>
    <w:rsid w:val="0BE22849"/>
    <w:rsid w:val="0C1819E0"/>
    <w:rsid w:val="0C3048EF"/>
    <w:rsid w:val="0C492F4D"/>
    <w:rsid w:val="0C5A0326"/>
    <w:rsid w:val="0C8D0326"/>
    <w:rsid w:val="0C994C14"/>
    <w:rsid w:val="0CEE0D68"/>
    <w:rsid w:val="0CFB767D"/>
    <w:rsid w:val="0D2070E4"/>
    <w:rsid w:val="0D2C5047"/>
    <w:rsid w:val="0D584CFA"/>
    <w:rsid w:val="0D814F98"/>
    <w:rsid w:val="0D8A22FC"/>
    <w:rsid w:val="0E153F0B"/>
    <w:rsid w:val="0E4D0D11"/>
    <w:rsid w:val="0E4E3A2F"/>
    <w:rsid w:val="0E6A0111"/>
    <w:rsid w:val="0E8E19EA"/>
    <w:rsid w:val="0E9B253B"/>
    <w:rsid w:val="0EEA4396"/>
    <w:rsid w:val="0F492922"/>
    <w:rsid w:val="0F8E2072"/>
    <w:rsid w:val="0FEA23C4"/>
    <w:rsid w:val="10162203"/>
    <w:rsid w:val="1052668E"/>
    <w:rsid w:val="10CF6C69"/>
    <w:rsid w:val="10DD6EDB"/>
    <w:rsid w:val="116E3106"/>
    <w:rsid w:val="12027EF7"/>
    <w:rsid w:val="12155C5E"/>
    <w:rsid w:val="1217264B"/>
    <w:rsid w:val="12383D46"/>
    <w:rsid w:val="12553698"/>
    <w:rsid w:val="127B2652"/>
    <w:rsid w:val="12B952B2"/>
    <w:rsid w:val="130125E0"/>
    <w:rsid w:val="13647F6A"/>
    <w:rsid w:val="1365128C"/>
    <w:rsid w:val="13BA5346"/>
    <w:rsid w:val="13C82F8F"/>
    <w:rsid w:val="13E43777"/>
    <w:rsid w:val="1412439F"/>
    <w:rsid w:val="1437227D"/>
    <w:rsid w:val="14380D1C"/>
    <w:rsid w:val="156B22B5"/>
    <w:rsid w:val="157D077F"/>
    <w:rsid w:val="15A91DBB"/>
    <w:rsid w:val="15DE5A10"/>
    <w:rsid w:val="15E71897"/>
    <w:rsid w:val="15FB081A"/>
    <w:rsid w:val="15FF2869"/>
    <w:rsid w:val="1613309D"/>
    <w:rsid w:val="16525D58"/>
    <w:rsid w:val="166B3D8D"/>
    <w:rsid w:val="171116AA"/>
    <w:rsid w:val="174F6A50"/>
    <w:rsid w:val="17A9292C"/>
    <w:rsid w:val="17B60D70"/>
    <w:rsid w:val="17F03822"/>
    <w:rsid w:val="180C6968"/>
    <w:rsid w:val="181B52FF"/>
    <w:rsid w:val="18430967"/>
    <w:rsid w:val="189E08D9"/>
    <w:rsid w:val="18FE116D"/>
    <w:rsid w:val="19130909"/>
    <w:rsid w:val="192D2CF2"/>
    <w:rsid w:val="194E659C"/>
    <w:rsid w:val="19550F36"/>
    <w:rsid w:val="195738AA"/>
    <w:rsid w:val="19C11104"/>
    <w:rsid w:val="1A18186E"/>
    <w:rsid w:val="1A6C7CC4"/>
    <w:rsid w:val="1A6E2EBE"/>
    <w:rsid w:val="1A8D5E1D"/>
    <w:rsid w:val="1B2034AC"/>
    <w:rsid w:val="1B4144A4"/>
    <w:rsid w:val="1B4D46E7"/>
    <w:rsid w:val="1B532D87"/>
    <w:rsid w:val="1BA250A6"/>
    <w:rsid w:val="1C2E0D4A"/>
    <w:rsid w:val="1C614C2F"/>
    <w:rsid w:val="1C78398B"/>
    <w:rsid w:val="1C8D05AE"/>
    <w:rsid w:val="1C9F7885"/>
    <w:rsid w:val="1D1D1870"/>
    <w:rsid w:val="1D287976"/>
    <w:rsid w:val="1D752A0C"/>
    <w:rsid w:val="1DBF583B"/>
    <w:rsid w:val="1DC9684D"/>
    <w:rsid w:val="1F531DDA"/>
    <w:rsid w:val="1F6C4F75"/>
    <w:rsid w:val="1FA9596A"/>
    <w:rsid w:val="1FB16A1D"/>
    <w:rsid w:val="200351FC"/>
    <w:rsid w:val="200A33BB"/>
    <w:rsid w:val="200F4500"/>
    <w:rsid w:val="200F4785"/>
    <w:rsid w:val="20AB6381"/>
    <w:rsid w:val="20ED646E"/>
    <w:rsid w:val="213F461D"/>
    <w:rsid w:val="21761737"/>
    <w:rsid w:val="219D76F0"/>
    <w:rsid w:val="21A650D8"/>
    <w:rsid w:val="21AD5C80"/>
    <w:rsid w:val="224178FA"/>
    <w:rsid w:val="229C536C"/>
    <w:rsid w:val="22BF1EB4"/>
    <w:rsid w:val="22E42A06"/>
    <w:rsid w:val="23AC6383"/>
    <w:rsid w:val="23C50DFE"/>
    <w:rsid w:val="240622F9"/>
    <w:rsid w:val="24B108F5"/>
    <w:rsid w:val="25503C13"/>
    <w:rsid w:val="25C816F4"/>
    <w:rsid w:val="25CC098D"/>
    <w:rsid w:val="25EB7D40"/>
    <w:rsid w:val="26203E8C"/>
    <w:rsid w:val="26A552DE"/>
    <w:rsid w:val="26B14F9C"/>
    <w:rsid w:val="26BB33E0"/>
    <w:rsid w:val="26E54CDB"/>
    <w:rsid w:val="270A69E3"/>
    <w:rsid w:val="274B1284"/>
    <w:rsid w:val="278018B7"/>
    <w:rsid w:val="279D1DDC"/>
    <w:rsid w:val="286F16E1"/>
    <w:rsid w:val="28FE4325"/>
    <w:rsid w:val="29015A19"/>
    <w:rsid w:val="291B037F"/>
    <w:rsid w:val="298E4F93"/>
    <w:rsid w:val="2A1E1022"/>
    <w:rsid w:val="2A243C3A"/>
    <w:rsid w:val="2A474466"/>
    <w:rsid w:val="2A595AFD"/>
    <w:rsid w:val="2AA30A66"/>
    <w:rsid w:val="2AD166F4"/>
    <w:rsid w:val="2AFA6513"/>
    <w:rsid w:val="2AFC3659"/>
    <w:rsid w:val="2BBA2E7C"/>
    <w:rsid w:val="2BCD4F6D"/>
    <w:rsid w:val="2BFD509A"/>
    <w:rsid w:val="2C050D48"/>
    <w:rsid w:val="2C70428F"/>
    <w:rsid w:val="2CBB4F52"/>
    <w:rsid w:val="2CDB3961"/>
    <w:rsid w:val="2D4F40DF"/>
    <w:rsid w:val="2D5D2588"/>
    <w:rsid w:val="2DE420D8"/>
    <w:rsid w:val="2E031237"/>
    <w:rsid w:val="2E072059"/>
    <w:rsid w:val="2E075788"/>
    <w:rsid w:val="2E3F71A5"/>
    <w:rsid w:val="2EE26ED6"/>
    <w:rsid w:val="2F13601A"/>
    <w:rsid w:val="2F1C1E97"/>
    <w:rsid w:val="2F5E6156"/>
    <w:rsid w:val="2F995D8A"/>
    <w:rsid w:val="2F9F6B77"/>
    <w:rsid w:val="2FB162A3"/>
    <w:rsid w:val="2FF56E1A"/>
    <w:rsid w:val="30515593"/>
    <w:rsid w:val="305E1047"/>
    <w:rsid w:val="30773010"/>
    <w:rsid w:val="30867736"/>
    <w:rsid w:val="314900D7"/>
    <w:rsid w:val="314E4BDF"/>
    <w:rsid w:val="31950D02"/>
    <w:rsid w:val="31CB769A"/>
    <w:rsid w:val="3232309B"/>
    <w:rsid w:val="32663BC1"/>
    <w:rsid w:val="3268595A"/>
    <w:rsid w:val="32A27888"/>
    <w:rsid w:val="32EB1DCE"/>
    <w:rsid w:val="32F07627"/>
    <w:rsid w:val="32FB67A0"/>
    <w:rsid w:val="331B6592"/>
    <w:rsid w:val="334A66FF"/>
    <w:rsid w:val="337771AE"/>
    <w:rsid w:val="33A54B1C"/>
    <w:rsid w:val="34516EA4"/>
    <w:rsid w:val="34715AA6"/>
    <w:rsid w:val="34C10FD2"/>
    <w:rsid w:val="34C25700"/>
    <w:rsid w:val="351D596D"/>
    <w:rsid w:val="3574189E"/>
    <w:rsid w:val="35A1205D"/>
    <w:rsid w:val="35A32964"/>
    <w:rsid w:val="35C4158B"/>
    <w:rsid w:val="35DB5C76"/>
    <w:rsid w:val="35DF00D8"/>
    <w:rsid w:val="365B65D4"/>
    <w:rsid w:val="366E16E9"/>
    <w:rsid w:val="369F1500"/>
    <w:rsid w:val="36C24A04"/>
    <w:rsid w:val="36F50793"/>
    <w:rsid w:val="37B06176"/>
    <w:rsid w:val="37BE32B4"/>
    <w:rsid w:val="3804506E"/>
    <w:rsid w:val="38436591"/>
    <w:rsid w:val="38556199"/>
    <w:rsid w:val="38D96215"/>
    <w:rsid w:val="396F0D43"/>
    <w:rsid w:val="39A6695D"/>
    <w:rsid w:val="39B000D3"/>
    <w:rsid w:val="39C03F88"/>
    <w:rsid w:val="3A553F65"/>
    <w:rsid w:val="3A5A5D7C"/>
    <w:rsid w:val="3AAE0C21"/>
    <w:rsid w:val="3AC27004"/>
    <w:rsid w:val="3B540E88"/>
    <w:rsid w:val="3B6049CB"/>
    <w:rsid w:val="3B861466"/>
    <w:rsid w:val="3B9A7CC6"/>
    <w:rsid w:val="3C5A0B72"/>
    <w:rsid w:val="3C9271A6"/>
    <w:rsid w:val="3CDD130D"/>
    <w:rsid w:val="3D8057BD"/>
    <w:rsid w:val="3DAC5A85"/>
    <w:rsid w:val="3DB01C3A"/>
    <w:rsid w:val="3DF977D7"/>
    <w:rsid w:val="3E401D0F"/>
    <w:rsid w:val="3E402B40"/>
    <w:rsid w:val="3E5954FA"/>
    <w:rsid w:val="3EAB6AB9"/>
    <w:rsid w:val="3F29153C"/>
    <w:rsid w:val="3F817408"/>
    <w:rsid w:val="40B46AAC"/>
    <w:rsid w:val="40F73FA5"/>
    <w:rsid w:val="40FB1FB6"/>
    <w:rsid w:val="41212F13"/>
    <w:rsid w:val="41465C20"/>
    <w:rsid w:val="4170037B"/>
    <w:rsid w:val="417A22FF"/>
    <w:rsid w:val="418370AC"/>
    <w:rsid w:val="418F5D93"/>
    <w:rsid w:val="41E431FF"/>
    <w:rsid w:val="427F7025"/>
    <w:rsid w:val="42B020B7"/>
    <w:rsid w:val="42B911BE"/>
    <w:rsid w:val="42BE5EF8"/>
    <w:rsid w:val="42D555E9"/>
    <w:rsid w:val="43103092"/>
    <w:rsid w:val="43176D9E"/>
    <w:rsid w:val="433177DF"/>
    <w:rsid w:val="43522979"/>
    <w:rsid w:val="4353231C"/>
    <w:rsid w:val="43BD1F91"/>
    <w:rsid w:val="43C73B9D"/>
    <w:rsid w:val="43D56D83"/>
    <w:rsid w:val="44086651"/>
    <w:rsid w:val="443041ED"/>
    <w:rsid w:val="44615E9A"/>
    <w:rsid w:val="4482750B"/>
    <w:rsid w:val="44A02888"/>
    <w:rsid w:val="44B12FE7"/>
    <w:rsid w:val="44F438D4"/>
    <w:rsid w:val="44F95EEF"/>
    <w:rsid w:val="44FB6EF6"/>
    <w:rsid w:val="45B829E8"/>
    <w:rsid w:val="45F97E91"/>
    <w:rsid w:val="460908CD"/>
    <w:rsid w:val="462211FB"/>
    <w:rsid w:val="465D66D7"/>
    <w:rsid w:val="467F22C9"/>
    <w:rsid w:val="46FF799A"/>
    <w:rsid w:val="47B23B7B"/>
    <w:rsid w:val="47B66D7C"/>
    <w:rsid w:val="47C72864"/>
    <w:rsid w:val="47CA6AC7"/>
    <w:rsid w:val="48315895"/>
    <w:rsid w:val="484F2050"/>
    <w:rsid w:val="48615E5C"/>
    <w:rsid w:val="488F58F2"/>
    <w:rsid w:val="48A56114"/>
    <w:rsid w:val="48C50DED"/>
    <w:rsid w:val="48F67465"/>
    <w:rsid w:val="48F91134"/>
    <w:rsid w:val="49461498"/>
    <w:rsid w:val="49625F60"/>
    <w:rsid w:val="4A043680"/>
    <w:rsid w:val="4A170D8C"/>
    <w:rsid w:val="4A431740"/>
    <w:rsid w:val="4A4623E1"/>
    <w:rsid w:val="4AD17906"/>
    <w:rsid w:val="4AEC7544"/>
    <w:rsid w:val="4B7877EF"/>
    <w:rsid w:val="4B837297"/>
    <w:rsid w:val="4B975000"/>
    <w:rsid w:val="4BB9130B"/>
    <w:rsid w:val="4BCD65B2"/>
    <w:rsid w:val="4C7B4C99"/>
    <w:rsid w:val="4CA661A6"/>
    <w:rsid w:val="4CC12598"/>
    <w:rsid w:val="4CC43E6D"/>
    <w:rsid w:val="4CD875D8"/>
    <w:rsid w:val="4D155616"/>
    <w:rsid w:val="4D1657BA"/>
    <w:rsid w:val="4D546BE8"/>
    <w:rsid w:val="4E006FD8"/>
    <w:rsid w:val="4E254CD0"/>
    <w:rsid w:val="4E684E4E"/>
    <w:rsid w:val="4E8B2453"/>
    <w:rsid w:val="4EEA6DF4"/>
    <w:rsid w:val="4F0402DB"/>
    <w:rsid w:val="4FE34FF0"/>
    <w:rsid w:val="501E48E4"/>
    <w:rsid w:val="504875BB"/>
    <w:rsid w:val="5074432C"/>
    <w:rsid w:val="50DD1D0C"/>
    <w:rsid w:val="50E12D77"/>
    <w:rsid w:val="51203231"/>
    <w:rsid w:val="51752293"/>
    <w:rsid w:val="5180645B"/>
    <w:rsid w:val="51D72880"/>
    <w:rsid w:val="520B40EC"/>
    <w:rsid w:val="52861B87"/>
    <w:rsid w:val="52DF0AF8"/>
    <w:rsid w:val="530759C1"/>
    <w:rsid w:val="53087837"/>
    <w:rsid w:val="53997F39"/>
    <w:rsid w:val="53A15E20"/>
    <w:rsid w:val="53B53E49"/>
    <w:rsid w:val="541076B5"/>
    <w:rsid w:val="54BF4797"/>
    <w:rsid w:val="55443209"/>
    <w:rsid w:val="555549E1"/>
    <w:rsid w:val="55761F64"/>
    <w:rsid w:val="55934BA5"/>
    <w:rsid w:val="559416E9"/>
    <w:rsid w:val="55B66A80"/>
    <w:rsid w:val="55C82F4A"/>
    <w:rsid w:val="564F4602"/>
    <w:rsid w:val="56535BFC"/>
    <w:rsid w:val="571D0AA6"/>
    <w:rsid w:val="57275C40"/>
    <w:rsid w:val="575C5040"/>
    <w:rsid w:val="57747957"/>
    <w:rsid w:val="578D6339"/>
    <w:rsid w:val="57AC5718"/>
    <w:rsid w:val="585B0480"/>
    <w:rsid w:val="58AB7C31"/>
    <w:rsid w:val="58BC3849"/>
    <w:rsid w:val="59206E2B"/>
    <w:rsid w:val="594D0E6F"/>
    <w:rsid w:val="59673C9D"/>
    <w:rsid w:val="5A364F4E"/>
    <w:rsid w:val="5A3662E8"/>
    <w:rsid w:val="5A5C2D8E"/>
    <w:rsid w:val="5B2363D5"/>
    <w:rsid w:val="5B5336B4"/>
    <w:rsid w:val="5BA47BB0"/>
    <w:rsid w:val="5BB225A4"/>
    <w:rsid w:val="5C136714"/>
    <w:rsid w:val="5C2E378F"/>
    <w:rsid w:val="5CAD1132"/>
    <w:rsid w:val="5D095A32"/>
    <w:rsid w:val="5D5740CA"/>
    <w:rsid w:val="5D6B1081"/>
    <w:rsid w:val="5DFB6FD2"/>
    <w:rsid w:val="5E6F3B0A"/>
    <w:rsid w:val="5E854BB4"/>
    <w:rsid w:val="5EE043D4"/>
    <w:rsid w:val="5EF8099A"/>
    <w:rsid w:val="5F054053"/>
    <w:rsid w:val="5F533758"/>
    <w:rsid w:val="60333222"/>
    <w:rsid w:val="606D5627"/>
    <w:rsid w:val="60B37500"/>
    <w:rsid w:val="61622DE6"/>
    <w:rsid w:val="61D3053A"/>
    <w:rsid w:val="62533142"/>
    <w:rsid w:val="62B75014"/>
    <w:rsid w:val="630A1B65"/>
    <w:rsid w:val="63673693"/>
    <w:rsid w:val="6410048D"/>
    <w:rsid w:val="645167E8"/>
    <w:rsid w:val="646E2F65"/>
    <w:rsid w:val="64E23A53"/>
    <w:rsid w:val="64EC0FB4"/>
    <w:rsid w:val="650A642F"/>
    <w:rsid w:val="65266DE7"/>
    <w:rsid w:val="65356A30"/>
    <w:rsid w:val="656849A1"/>
    <w:rsid w:val="657273FA"/>
    <w:rsid w:val="65B45FDE"/>
    <w:rsid w:val="65D90874"/>
    <w:rsid w:val="65EB0BDC"/>
    <w:rsid w:val="6632206D"/>
    <w:rsid w:val="66935AD8"/>
    <w:rsid w:val="67194296"/>
    <w:rsid w:val="673C48BB"/>
    <w:rsid w:val="67D21E91"/>
    <w:rsid w:val="67E354DC"/>
    <w:rsid w:val="67FA45EB"/>
    <w:rsid w:val="68030A35"/>
    <w:rsid w:val="681036BC"/>
    <w:rsid w:val="687D57AC"/>
    <w:rsid w:val="690779EB"/>
    <w:rsid w:val="690D7F75"/>
    <w:rsid w:val="691A75E7"/>
    <w:rsid w:val="692D33D5"/>
    <w:rsid w:val="694D7A8E"/>
    <w:rsid w:val="69817F39"/>
    <w:rsid w:val="69AE1EE3"/>
    <w:rsid w:val="6A0D6276"/>
    <w:rsid w:val="6A193918"/>
    <w:rsid w:val="6A6C12D2"/>
    <w:rsid w:val="6A932700"/>
    <w:rsid w:val="6AA6208E"/>
    <w:rsid w:val="6AE35101"/>
    <w:rsid w:val="6AF1054C"/>
    <w:rsid w:val="6BB72D93"/>
    <w:rsid w:val="6BD64F84"/>
    <w:rsid w:val="6C086605"/>
    <w:rsid w:val="6C106844"/>
    <w:rsid w:val="6C507E1C"/>
    <w:rsid w:val="6C93364F"/>
    <w:rsid w:val="6CBC6A3F"/>
    <w:rsid w:val="6E0B0643"/>
    <w:rsid w:val="6E186B18"/>
    <w:rsid w:val="6E256B0E"/>
    <w:rsid w:val="6E4F188D"/>
    <w:rsid w:val="6F1B0823"/>
    <w:rsid w:val="6F2B7065"/>
    <w:rsid w:val="6F90656B"/>
    <w:rsid w:val="6F9318F2"/>
    <w:rsid w:val="6FA308E5"/>
    <w:rsid w:val="6FDF2E62"/>
    <w:rsid w:val="7037661C"/>
    <w:rsid w:val="70793BE9"/>
    <w:rsid w:val="70B12FF8"/>
    <w:rsid w:val="71B72939"/>
    <w:rsid w:val="71D020FD"/>
    <w:rsid w:val="71F75125"/>
    <w:rsid w:val="721C069D"/>
    <w:rsid w:val="73701678"/>
    <w:rsid w:val="739B22E8"/>
    <w:rsid w:val="746E2B04"/>
    <w:rsid w:val="749C4F67"/>
    <w:rsid w:val="7516768A"/>
    <w:rsid w:val="751B5B7D"/>
    <w:rsid w:val="76287B18"/>
    <w:rsid w:val="76460374"/>
    <w:rsid w:val="768075B9"/>
    <w:rsid w:val="76CB6214"/>
    <w:rsid w:val="777B749B"/>
    <w:rsid w:val="77A00F64"/>
    <w:rsid w:val="77C7764D"/>
    <w:rsid w:val="77EE36CE"/>
    <w:rsid w:val="7826676E"/>
    <w:rsid w:val="785210A7"/>
    <w:rsid w:val="788C602D"/>
    <w:rsid w:val="788F03B4"/>
    <w:rsid w:val="78C65245"/>
    <w:rsid w:val="78FA5D72"/>
    <w:rsid w:val="792F3B16"/>
    <w:rsid w:val="79AA788B"/>
    <w:rsid w:val="79F311D8"/>
    <w:rsid w:val="79F905B7"/>
    <w:rsid w:val="7A337ABD"/>
    <w:rsid w:val="7A4E24F6"/>
    <w:rsid w:val="7B1A5403"/>
    <w:rsid w:val="7B22035C"/>
    <w:rsid w:val="7B38158D"/>
    <w:rsid w:val="7B863AF8"/>
    <w:rsid w:val="7BA7001C"/>
    <w:rsid w:val="7BAD4087"/>
    <w:rsid w:val="7BBF02D5"/>
    <w:rsid w:val="7BF85161"/>
    <w:rsid w:val="7C007714"/>
    <w:rsid w:val="7CA7310F"/>
    <w:rsid w:val="7CAA1EB7"/>
    <w:rsid w:val="7CE1499E"/>
    <w:rsid w:val="7CEF7707"/>
    <w:rsid w:val="7D2B0882"/>
    <w:rsid w:val="7D4A4797"/>
    <w:rsid w:val="7D6844FC"/>
    <w:rsid w:val="7D8A0095"/>
    <w:rsid w:val="7DE67F8F"/>
    <w:rsid w:val="7E9C52E7"/>
    <w:rsid w:val="7EE558FF"/>
    <w:rsid w:val="7EF07D83"/>
    <w:rsid w:val="7F245233"/>
    <w:rsid w:val="7F3D78E4"/>
    <w:rsid w:val="7FA8122D"/>
    <w:rsid w:val="7FB21F9B"/>
    <w:rsid w:val="7FBA5196"/>
    <w:rsid w:val="7FCF46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0"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0"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0"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0"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0"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0"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6">
    <w:name w:val="heading 1"/>
    <w:basedOn w:val="1"/>
    <w:next w:val="1"/>
    <w:link w:val="166"/>
    <w:autoRedefine/>
    <w:qFormat/>
    <w:uiPriority w:val="0"/>
    <w:pPr>
      <w:keepNext/>
      <w:keepLines/>
      <w:spacing w:before="340" w:after="330" w:line="576" w:lineRule="auto"/>
      <w:outlineLvl w:val="0"/>
    </w:pPr>
    <w:rPr>
      <w:b/>
      <w:kern w:val="44"/>
      <w:sz w:val="44"/>
    </w:rPr>
  </w:style>
  <w:style w:type="paragraph" w:styleId="7">
    <w:name w:val="heading 2"/>
    <w:basedOn w:val="1"/>
    <w:next w:val="1"/>
    <w:link w:val="174"/>
    <w:autoRedefine/>
    <w:qFormat/>
    <w:uiPriority w:val="0"/>
    <w:pPr>
      <w:keepNext/>
      <w:keepLines/>
      <w:spacing w:line="413" w:lineRule="auto"/>
      <w:outlineLvl w:val="1"/>
    </w:pPr>
    <w:rPr>
      <w:rFonts w:ascii="Arial" w:hAnsi="Arial" w:eastAsia="黑体"/>
      <w:b/>
      <w:sz w:val="32"/>
    </w:rPr>
  </w:style>
  <w:style w:type="paragraph" w:styleId="8">
    <w:name w:val="heading 3"/>
    <w:basedOn w:val="1"/>
    <w:next w:val="1"/>
    <w:link w:val="161"/>
    <w:autoRedefine/>
    <w:qFormat/>
    <w:uiPriority w:val="0"/>
    <w:pPr>
      <w:keepNext/>
      <w:keepLines/>
      <w:spacing w:before="260" w:after="260" w:line="412" w:lineRule="auto"/>
      <w:outlineLvl w:val="2"/>
    </w:pPr>
    <w:rPr>
      <w:b/>
      <w:sz w:val="32"/>
    </w:rPr>
  </w:style>
  <w:style w:type="paragraph" w:styleId="9">
    <w:name w:val="heading 4"/>
    <w:basedOn w:val="1"/>
    <w:next w:val="1"/>
    <w:link w:val="158"/>
    <w:autoRedefine/>
    <w:qFormat/>
    <w:uiPriority w:val="0"/>
    <w:pPr>
      <w:keepNext/>
      <w:keepLines/>
      <w:spacing w:line="360" w:lineRule="auto"/>
      <w:outlineLvl w:val="3"/>
    </w:pPr>
    <w:rPr>
      <w:rFonts w:ascii="Arial" w:hAnsi="Arial"/>
      <w:b/>
    </w:rPr>
  </w:style>
  <w:style w:type="paragraph" w:styleId="10">
    <w:name w:val="heading 5"/>
    <w:basedOn w:val="1"/>
    <w:next w:val="1"/>
    <w:link w:val="106"/>
    <w:autoRedefine/>
    <w:qFormat/>
    <w:uiPriority w:val="0"/>
    <w:pPr>
      <w:keepNext/>
      <w:keepLines/>
      <w:spacing w:before="280" w:after="290" w:line="372" w:lineRule="auto"/>
      <w:outlineLvl w:val="4"/>
    </w:pPr>
    <w:rPr>
      <w:rFonts w:ascii="Calibri" w:hAnsi="Calibri"/>
      <w:b/>
      <w:bCs/>
      <w:sz w:val="28"/>
      <w:szCs w:val="28"/>
    </w:rPr>
  </w:style>
  <w:style w:type="paragraph" w:styleId="11">
    <w:name w:val="heading 6"/>
    <w:basedOn w:val="1"/>
    <w:next w:val="1"/>
    <w:link w:val="179"/>
    <w:autoRedefine/>
    <w:qFormat/>
    <w:uiPriority w:val="0"/>
    <w:pPr>
      <w:keepNext/>
      <w:keepLines/>
      <w:spacing w:before="240" w:after="64" w:line="317" w:lineRule="auto"/>
      <w:outlineLvl w:val="5"/>
    </w:pPr>
    <w:rPr>
      <w:rFonts w:ascii="Cambria" w:hAnsi="Cambria"/>
      <w:b/>
      <w:bCs/>
      <w:sz w:val="24"/>
      <w:szCs w:val="24"/>
    </w:rPr>
  </w:style>
  <w:style w:type="paragraph" w:styleId="12">
    <w:name w:val="heading 7"/>
    <w:basedOn w:val="1"/>
    <w:next w:val="1"/>
    <w:link w:val="170"/>
    <w:autoRedefine/>
    <w:qFormat/>
    <w:uiPriority w:val="0"/>
    <w:pPr>
      <w:keepNext/>
      <w:keepLines/>
      <w:spacing w:before="240" w:after="64" w:line="317" w:lineRule="auto"/>
      <w:outlineLvl w:val="6"/>
    </w:pPr>
    <w:rPr>
      <w:rFonts w:ascii="Calibri" w:hAnsi="Calibri"/>
      <w:b/>
      <w:bCs/>
      <w:sz w:val="24"/>
      <w:szCs w:val="24"/>
    </w:rPr>
  </w:style>
  <w:style w:type="paragraph" w:styleId="13">
    <w:name w:val="heading 8"/>
    <w:basedOn w:val="1"/>
    <w:next w:val="1"/>
    <w:link w:val="123"/>
    <w:autoRedefine/>
    <w:qFormat/>
    <w:uiPriority w:val="0"/>
    <w:pPr>
      <w:keepNext/>
      <w:keepLines/>
      <w:spacing w:before="240" w:after="64" w:line="317" w:lineRule="auto"/>
      <w:outlineLvl w:val="7"/>
    </w:pPr>
    <w:rPr>
      <w:rFonts w:ascii="Cambria" w:hAnsi="Cambria"/>
      <w:sz w:val="24"/>
      <w:szCs w:val="24"/>
    </w:rPr>
  </w:style>
  <w:style w:type="paragraph" w:styleId="14">
    <w:name w:val="heading 9"/>
    <w:basedOn w:val="1"/>
    <w:next w:val="1"/>
    <w:link w:val="122"/>
    <w:autoRedefine/>
    <w:qFormat/>
    <w:uiPriority w:val="0"/>
    <w:pPr>
      <w:keepNext/>
      <w:keepLines/>
      <w:spacing w:before="240" w:after="64" w:line="317" w:lineRule="auto"/>
      <w:outlineLvl w:val="8"/>
    </w:pPr>
    <w:rPr>
      <w:rFonts w:ascii="Cambria" w:hAnsi="Cambria"/>
      <w:szCs w:val="21"/>
    </w:rPr>
  </w:style>
  <w:style w:type="character" w:default="1" w:styleId="54">
    <w:name w:val="Default Paragraph Font"/>
    <w:autoRedefine/>
    <w:unhideWhenUsed/>
    <w:qFormat/>
    <w:uiPriority w:val="1"/>
  </w:style>
  <w:style w:type="table" w:default="1" w:styleId="46">
    <w:name w:val="Normal Table"/>
    <w:autoRedefine/>
    <w:unhideWhenUsed/>
    <w:qFormat/>
    <w:uiPriority w:val="99"/>
    <w:tblPr>
      <w:tblCellMar>
        <w:top w:w="0" w:type="dxa"/>
        <w:left w:w="108" w:type="dxa"/>
        <w:bottom w:w="0" w:type="dxa"/>
        <w:right w:w="108" w:type="dxa"/>
      </w:tblCellMar>
    </w:tblPr>
  </w:style>
  <w:style w:type="paragraph" w:styleId="2">
    <w:name w:val="Body Text First Indent"/>
    <w:basedOn w:val="3"/>
    <w:autoRedefine/>
    <w:unhideWhenUsed/>
    <w:qFormat/>
    <w:uiPriority w:val="0"/>
    <w:pPr>
      <w:tabs>
        <w:tab w:val="left" w:pos="5250"/>
      </w:tabs>
      <w:snapToGrid w:val="0"/>
      <w:spacing w:line="300" w:lineRule="auto"/>
      <w:ind w:firstLine="200" w:firstLineChars="200"/>
    </w:pPr>
    <w:rPr>
      <w:rFonts w:ascii="Arial" w:hAnsi="Arial"/>
      <w:szCs w:val="21"/>
    </w:rPr>
  </w:style>
  <w:style w:type="paragraph" w:styleId="3">
    <w:name w:val="Body Text"/>
    <w:basedOn w:val="1"/>
    <w:next w:val="4"/>
    <w:link w:val="154"/>
    <w:autoRedefine/>
    <w:qFormat/>
    <w:uiPriority w:val="0"/>
    <w:pPr>
      <w:adjustRightInd w:val="0"/>
      <w:spacing w:after="60" w:line="360" w:lineRule="atLeast"/>
      <w:ind w:left="72" w:leftChars="30" w:right="30" w:rightChars="30"/>
      <w:jc w:val="center"/>
    </w:pPr>
    <w:rPr>
      <w:kern w:val="0"/>
      <w:sz w:val="20"/>
    </w:rPr>
  </w:style>
  <w:style w:type="paragraph" w:customStyle="1" w:styleId="4">
    <w:name w:val="style4"/>
    <w:basedOn w:val="1"/>
    <w:next w:val="5"/>
    <w:autoRedefine/>
    <w:qFormat/>
    <w:uiPriority w:val="0"/>
    <w:pPr>
      <w:widowControl/>
      <w:spacing w:before="280" w:after="280"/>
    </w:pPr>
    <w:rPr>
      <w:rFonts w:ascii="宋体"/>
      <w:sz w:val="18"/>
    </w:rPr>
  </w:style>
  <w:style w:type="paragraph" w:customStyle="1" w:styleId="5">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paragraph" w:styleId="15">
    <w:name w:val="toc 7"/>
    <w:basedOn w:val="1"/>
    <w:next w:val="1"/>
    <w:autoRedefine/>
    <w:qFormat/>
    <w:uiPriority w:val="0"/>
    <w:pPr>
      <w:ind w:left="2520" w:leftChars="1200"/>
    </w:pPr>
    <w:rPr>
      <w:szCs w:val="24"/>
    </w:rPr>
  </w:style>
  <w:style w:type="paragraph" w:styleId="16">
    <w:name w:val="Normal Indent"/>
    <w:basedOn w:val="1"/>
    <w:autoRedefine/>
    <w:qFormat/>
    <w:uiPriority w:val="0"/>
    <w:pPr>
      <w:adjustRightInd w:val="0"/>
      <w:ind w:firstLine="420"/>
      <w:jc w:val="left"/>
    </w:pPr>
    <w:rPr>
      <w:rFonts w:eastAsia="楷体_GB2312"/>
      <w:sz w:val="24"/>
    </w:rPr>
  </w:style>
  <w:style w:type="paragraph" w:styleId="17">
    <w:name w:val="caption"/>
    <w:basedOn w:val="1"/>
    <w:next w:val="1"/>
    <w:autoRedefine/>
    <w:qFormat/>
    <w:uiPriority w:val="0"/>
    <w:rPr>
      <w:rFonts w:ascii="Cambria" w:hAnsi="Cambria" w:eastAsia="黑体"/>
      <w:sz w:val="20"/>
    </w:rPr>
  </w:style>
  <w:style w:type="paragraph" w:styleId="18">
    <w:name w:val="Document Map"/>
    <w:basedOn w:val="1"/>
    <w:link w:val="135"/>
    <w:autoRedefine/>
    <w:qFormat/>
    <w:uiPriority w:val="0"/>
    <w:pPr>
      <w:shd w:val="clear" w:color="auto" w:fill="000080"/>
    </w:pPr>
  </w:style>
  <w:style w:type="paragraph" w:styleId="19">
    <w:name w:val="annotation text"/>
    <w:basedOn w:val="1"/>
    <w:link w:val="136"/>
    <w:autoRedefine/>
    <w:qFormat/>
    <w:uiPriority w:val="0"/>
    <w:pPr>
      <w:jc w:val="left"/>
    </w:pPr>
  </w:style>
  <w:style w:type="paragraph" w:styleId="20">
    <w:name w:val="Body Text 3"/>
    <w:basedOn w:val="1"/>
    <w:autoRedefine/>
    <w:qFormat/>
    <w:uiPriority w:val="0"/>
    <w:pPr>
      <w:spacing w:after="120"/>
    </w:pPr>
    <w:rPr>
      <w:sz w:val="16"/>
      <w:szCs w:val="16"/>
    </w:rPr>
  </w:style>
  <w:style w:type="paragraph" w:styleId="21">
    <w:name w:val="Body Text Indent"/>
    <w:basedOn w:val="1"/>
    <w:next w:val="22"/>
    <w:autoRedefine/>
    <w:qFormat/>
    <w:uiPriority w:val="0"/>
    <w:pPr>
      <w:ind w:left="420" w:leftChars="200"/>
    </w:pPr>
  </w:style>
  <w:style w:type="paragraph" w:styleId="22">
    <w:name w:val="envelope return"/>
    <w:basedOn w:val="1"/>
    <w:autoRedefine/>
    <w:qFormat/>
    <w:uiPriority w:val="0"/>
    <w:pPr>
      <w:snapToGrid w:val="0"/>
    </w:pPr>
    <w:rPr>
      <w:rFonts w:ascii="Arial" w:hAnsi="Arial"/>
    </w:rPr>
  </w:style>
  <w:style w:type="paragraph" w:styleId="23">
    <w:name w:val="index 4"/>
    <w:basedOn w:val="1"/>
    <w:next w:val="1"/>
    <w:autoRedefine/>
    <w:qFormat/>
    <w:uiPriority w:val="0"/>
    <w:pPr>
      <w:ind w:left="600" w:leftChars="600"/>
    </w:pPr>
    <w:rPr>
      <w:szCs w:val="24"/>
    </w:rPr>
  </w:style>
  <w:style w:type="paragraph" w:styleId="24">
    <w:name w:val="toc 5"/>
    <w:basedOn w:val="1"/>
    <w:next w:val="1"/>
    <w:autoRedefine/>
    <w:qFormat/>
    <w:uiPriority w:val="0"/>
    <w:pPr>
      <w:ind w:left="1680" w:leftChars="800"/>
    </w:pPr>
    <w:rPr>
      <w:szCs w:val="24"/>
    </w:rPr>
  </w:style>
  <w:style w:type="paragraph" w:styleId="25">
    <w:name w:val="toc 3"/>
    <w:basedOn w:val="1"/>
    <w:next w:val="1"/>
    <w:autoRedefine/>
    <w:qFormat/>
    <w:uiPriority w:val="0"/>
    <w:pPr>
      <w:tabs>
        <w:tab w:val="right" w:leader="dot" w:pos="9060"/>
      </w:tabs>
      <w:ind w:left="540" w:leftChars="257" w:firstLine="1"/>
    </w:pPr>
  </w:style>
  <w:style w:type="paragraph" w:styleId="26">
    <w:name w:val="Plain Text"/>
    <w:basedOn w:val="1"/>
    <w:autoRedefine/>
    <w:qFormat/>
    <w:uiPriority w:val="0"/>
    <w:rPr>
      <w:rFonts w:ascii="宋体" w:hAnsi="Courier New"/>
    </w:rPr>
  </w:style>
  <w:style w:type="paragraph" w:styleId="27">
    <w:name w:val="toc 8"/>
    <w:basedOn w:val="1"/>
    <w:next w:val="1"/>
    <w:autoRedefine/>
    <w:qFormat/>
    <w:uiPriority w:val="0"/>
    <w:pPr>
      <w:ind w:left="2940" w:leftChars="1400"/>
    </w:pPr>
    <w:rPr>
      <w:szCs w:val="24"/>
    </w:rPr>
  </w:style>
  <w:style w:type="paragraph" w:styleId="28">
    <w:name w:val="Date"/>
    <w:basedOn w:val="1"/>
    <w:next w:val="1"/>
    <w:link w:val="115"/>
    <w:autoRedefine/>
    <w:qFormat/>
    <w:uiPriority w:val="0"/>
    <w:pPr>
      <w:ind w:left="100" w:leftChars="2500"/>
    </w:pPr>
    <w:rPr>
      <w:sz w:val="28"/>
    </w:rPr>
  </w:style>
  <w:style w:type="paragraph" w:styleId="29">
    <w:name w:val="Body Text Indent 2"/>
    <w:basedOn w:val="1"/>
    <w:autoRedefine/>
    <w:qFormat/>
    <w:uiPriority w:val="0"/>
    <w:pPr>
      <w:spacing w:line="480" w:lineRule="auto"/>
      <w:ind w:left="420" w:leftChars="200"/>
    </w:pPr>
  </w:style>
  <w:style w:type="paragraph" w:styleId="30">
    <w:name w:val="Balloon Text"/>
    <w:basedOn w:val="1"/>
    <w:link w:val="150"/>
    <w:autoRedefine/>
    <w:qFormat/>
    <w:uiPriority w:val="0"/>
    <w:rPr>
      <w:sz w:val="18"/>
      <w:szCs w:val="18"/>
    </w:rPr>
  </w:style>
  <w:style w:type="paragraph" w:styleId="31">
    <w:name w:val="footer"/>
    <w:basedOn w:val="1"/>
    <w:link w:val="169"/>
    <w:autoRedefine/>
    <w:qFormat/>
    <w:uiPriority w:val="0"/>
    <w:pPr>
      <w:tabs>
        <w:tab w:val="center" w:pos="4140"/>
        <w:tab w:val="right" w:pos="8300"/>
      </w:tabs>
      <w:snapToGrid w:val="0"/>
      <w:jc w:val="left"/>
    </w:pPr>
    <w:rPr>
      <w:sz w:val="18"/>
    </w:rPr>
  </w:style>
  <w:style w:type="paragraph" w:styleId="32">
    <w:name w:val="header"/>
    <w:basedOn w:val="1"/>
    <w:link w:val="109"/>
    <w:autoRedefine/>
    <w:qFormat/>
    <w:uiPriority w:val="0"/>
    <w:pPr>
      <w:pBdr>
        <w:bottom w:val="single" w:color="auto" w:sz="6" w:space="1"/>
      </w:pBdr>
      <w:tabs>
        <w:tab w:val="center" w:pos="4140"/>
        <w:tab w:val="right" w:pos="8300"/>
      </w:tabs>
      <w:snapToGrid w:val="0"/>
      <w:jc w:val="center"/>
    </w:pPr>
    <w:rPr>
      <w:sz w:val="18"/>
    </w:rPr>
  </w:style>
  <w:style w:type="paragraph" w:styleId="33">
    <w:name w:val="toc 1"/>
    <w:basedOn w:val="1"/>
    <w:next w:val="1"/>
    <w:autoRedefine/>
    <w:qFormat/>
    <w:uiPriority w:val="0"/>
  </w:style>
  <w:style w:type="paragraph" w:styleId="34">
    <w:name w:val="toc 4"/>
    <w:basedOn w:val="1"/>
    <w:next w:val="1"/>
    <w:autoRedefine/>
    <w:qFormat/>
    <w:uiPriority w:val="0"/>
    <w:pPr>
      <w:ind w:left="1260" w:leftChars="600"/>
    </w:pPr>
    <w:rPr>
      <w:szCs w:val="24"/>
    </w:rPr>
  </w:style>
  <w:style w:type="paragraph" w:styleId="35">
    <w:name w:val="Subtitle"/>
    <w:basedOn w:val="1"/>
    <w:next w:val="1"/>
    <w:link w:val="143"/>
    <w:autoRedefine/>
    <w:qFormat/>
    <w:uiPriority w:val="0"/>
    <w:pPr>
      <w:spacing w:before="240" w:after="60" w:line="312" w:lineRule="auto"/>
      <w:jc w:val="center"/>
      <w:outlineLvl w:val="1"/>
    </w:pPr>
    <w:rPr>
      <w:rFonts w:ascii="Cambria" w:hAnsi="Cambria"/>
      <w:b/>
      <w:kern w:val="28"/>
      <w:sz w:val="32"/>
    </w:rPr>
  </w:style>
  <w:style w:type="paragraph" w:styleId="36">
    <w:name w:val="toc 6"/>
    <w:basedOn w:val="1"/>
    <w:next w:val="1"/>
    <w:autoRedefine/>
    <w:qFormat/>
    <w:uiPriority w:val="0"/>
    <w:pPr>
      <w:spacing w:line="240" w:lineRule="exact"/>
      <w:ind w:left="71" w:leftChars="34" w:firstLine="1"/>
    </w:pPr>
    <w:rPr>
      <w:szCs w:val="24"/>
    </w:rPr>
  </w:style>
  <w:style w:type="paragraph" w:styleId="37">
    <w:name w:val="Body Text Indent 3"/>
    <w:basedOn w:val="1"/>
    <w:autoRedefine/>
    <w:qFormat/>
    <w:uiPriority w:val="0"/>
    <w:pPr>
      <w:ind w:firstLine="420" w:firstLineChars="200"/>
    </w:pPr>
    <w:rPr>
      <w:rFonts w:ascii="宋体" w:hAnsi="宋体"/>
    </w:rPr>
  </w:style>
  <w:style w:type="paragraph" w:styleId="38">
    <w:name w:val="toc 2"/>
    <w:basedOn w:val="1"/>
    <w:next w:val="1"/>
    <w:autoRedefine/>
    <w:qFormat/>
    <w:uiPriority w:val="0"/>
    <w:pPr>
      <w:ind w:left="420" w:leftChars="200"/>
    </w:pPr>
  </w:style>
  <w:style w:type="paragraph" w:styleId="39">
    <w:name w:val="toc 9"/>
    <w:basedOn w:val="1"/>
    <w:next w:val="1"/>
    <w:autoRedefine/>
    <w:qFormat/>
    <w:uiPriority w:val="0"/>
    <w:pPr>
      <w:ind w:left="3360" w:leftChars="1600"/>
    </w:pPr>
    <w:rPr>
      <w:szCs w:val="24"/>
    </w:rPr>
  </w:style>
  <w:style w:type="paragraph" w:styleId="40">
    <w:name w:val="Body Text 2"/>
    <w:basedOn w:val="1"/>
    <w:next w:val="3"/>
    <w:autoRedefine/>
    <w:qFormat/>
    <w:uiPriority w:val="0"/>
    <w:pPr>
      <w:spacing w:line="500" w:lineRule="exact"/>
      <w:jc w:val="center"/>
    </w:pPr>
    <w:rPr>
      <w:rFonts w:hAnsi="宋体" w:eastAsia="方正小标宋_GBK"/>
      <w:spacing w:val="-20"/>
      <w:sz w:val="44"/>
    </w:rPr>
  </w:style>
  <w:style w:type="paragraph" w:styleId="41">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42">
    <w:name w:val="Title"/>
    <w:basedOn w:val="1"/>
    <w:link w:val="118"/>
    <w:autoRedefine/>
    <w:qFormat/>
    <w:uiPriority w:val="0"/>
    <w:pPr>
      <w:spacing w:before="120" w:after="60"/>
      <w:jc w:val="center"/>
    </w:pPr>
    <w:rPr>
      <w:rFonts w:ascii="Arial" w:hAnsi="Arial"/>
      <w:b/>
      <w:sz w:val="44"/>
    </w:rPr>
  </w:style>
  <w:style w:type="paragraph" w:styleId="43">
    <w:name w:val="annotation subject"/>
    <w:basedOn w:val="19"/>
    <w:next w:val="19"/>
    <w:link w:val="173"/>
    <w:autoRedefine/>
    <w:qFormat/>
    <w:uiPriority w:val="0"/>
    <w:rPr>
      <w:rFonts w:ascii="宋体"/>
      <w:b/>
      <w:kern w:val="0"/>
      <w:sz w:val="28"/>
    </w:rPr>
  </w:style>
  <w:style w:type="paragraph" w:styleId="44">
    <w:name w:val="Body Text First Indent 2"/>
    <w:basedOn w:val="21"/>
    <w:next w:val="45"/>
    <w:autoRedefine/>
    <w:qFormat/>
    <w:uiPriority w:val="0"/>
    <w:pPr>
      <w:ind w:firstLine="420"/>
    </w:pPr>
  </w:style>
  <w:style w:type="paragraph" w:customStyle="1" w:styleId="45">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table" w:styleId="47">
    <w:name w:val="Table Grid"/>
    <w:basedOn w:val="4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Medium Grid 3 Accent 1"/>
    <w:basedOn w:val="46"/>
    <w:autoRedefine/>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4F81BD"/>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7BFDE"/>
      </w:tcPr>
    </w:tblStylePr>
  </w:style>
  <w:style w:type="table" w:styleId="49">
    <w:name w:val="Medium Grid 3 Accent 2"/>
    <w:basedOn w:val="46"/>
    <w:autoRedefine/>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C0504D"/>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C0504D"/>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C0504D"/>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DFA7A6"/>
      </w:tcPr>
    </w:tblStylePr>
  </w:style>
  <w:style w:type="table" w:styleId="50">
    <w:name w:val="Medium Grid 3 Accent 3"/>
    <w:basedOn w:val="46"/>
    <w:autoRedefine/>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9BBB59"/>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9BBB59"/>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9BBB59"/>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CDDDAC"/>
      </w:tcPr>
    </w:tblStylePr>
  </w:style>
  <w:style w:type="table" w:styleId="51">
    <w:name w:val="Medium Grid 3 Accent 4"/>
    <w:basedOn w:val="46"/>
    <w:autoRedefine/>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8064A2"/>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8064A2"/>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8064A2"/>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8064A2"/>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BFB1D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BFB1D0"/>
      </w:tcPr>
    </w:tblStylePr>
  </w:style>
  <w:style w:type="table" w:styleId="52">
    <w:name w:val="Medium Grid 3 Accent 5"/>
    <w:basedOn w:val="46"/>
    <w:autoRedefine/>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4BACC6"/>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BACC6"/>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4BACC6"/>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5D5E2"/>
      </w:tcPr>
    </w:tblStylePr>
  </w:style>
  <w:style w:type="table" w:styleId="53">
    <w:name w:val="Medium Grid 3 Accent 6"/>
    <w:basedOn w:val="46"/>
    <w:autoRedefine/>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F79646"/>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F79646"/>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F79646"/>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F7964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FBCAA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FBCAA2"/>
      </w:tcPr>
    </w:tblStylePr>
  </w:style>
  <w:style w:type="character" w:styleId="55">
    <w:name w:val="Strong"/>
    <w:basedOn w:val="54"/>
    <w:autoRedefine/>
    <w:qFormat/>
    <w:uiPriority w:val="0"/>
    <w:rPr>
      <w:rFonts w:ascii="Times New Roman" w:hAnsi="Times New Roman" w:eastAsia="宋体" w:cs="Times New Roman"/>
      <w:b/>
      <w:bCs/>
    </w:rPr>
  </w:style>
  <w:style w:type="character" w:styleId="56">
    <w:name w:val="page number"/>
    <w:basedOn w:val="54"/>
    <w:autoRedefine/>
    <w:qFormat/>
    <w:uiPriority w:val="0"/>
    <w:rPr>
      <w:rFonts w:ascii="Times New Roman" w:hAnsi="Times New Roman" w:eastAsia="宋体" w:cs="Times New Roman"/>
    </w:rPr>
  </w:style>
  <w:style w:type="character" w:styleId="57">
    <w:name w:val="FollowedHyperlink"/>
    <w:autoRedefine/>
    <w:qFormat/>
    <w:uiPriority w:val="0"/>
    <w:rPr>
      <w:rFonts w:ascii="Times New Roman" w:hAnsi="Times New Roman" w:eastAsia="宋体" w:cs="Times New Roman"/>
      <w:color w:val="800080"/>
      <w:u w:val="single"/>
    </w:rPr>
  </w:style>
  <w:style w:type="character" w:styleId="58">
    <w:name w:val="Emphasis"/>
    <w:autoRedefine/>
    <w:qFormat/>
    <w:uiPriority w:val="0"/>
    <w:rPr>
      <w:rFonts w:ascii="Times New Roman" w:hAnsi="Times New Roman" w:eastAsia="宋体" w:cs="Times New Roman"/>
      <w:i/>
    </w:rPr>
  </w:style>
  <w:style w:type="character" w:styleId="59">
    <w:name w:val="HTML Definition"/>
    <w:basedOn w:val="54"/>
    <w:autoRedefine/>
    <w:qFormat/>
    <w:uiPriority w:val="0"/>
  </w:style>
  <w:style w:type="character" w:styleId="60">
    <w:name w:val="HTML Typewriter"/>
    <w:basedOn w:val="54"/>
    <w:autoRedefine/>
    <w:qFormat/>
    <w:uiPriority w:val="0"/>
    <w:rPr>
      <w:rFonts w:hint="default" w:ascii="monospace" w:hAnsi="monospace" w:eastAsia="monospace" w:cs="monospace"/>
      <w:sz w:val="20"/>
    </w:rPr>
  </w:style>
  <w:style w:type="character" w:styleId="61">
    <w:name w:val="HTML Acronym"/>
    <w:basedOn w:val="54"/>
    <w:autoRedefine/>
    <w:qFormat/>
    <w:uiPriority w:val="0"/>
  </w:style>
  <w:style w:type="character" w:styleId="62">
    <w:name w:val="HTML Variable"/>
    <w:basedOn w:val="54"/>
    <w:autoRedefine/>
    <w:qFormat/>
    <w:uiPriority w:val="0"/>
  </w:style>
  <w:style w:type="character" w:styleId="63">
    <w:name w:val="Hyperlink"/>
    <w:basedOn w:val="54"/>
    <w:autoRedefine/>
    <w:qFormat/>
    <w:uiPriority w:val="0"/>
    <w:rPr>
      <w:rFonts w:ascii="Times New Roman" w:hAnsi="Times New Roman" w:eastAsia="宋体" w:cs="Times New Roman"/>
      <w:color w:val="0000FF"/>
      <w:u w:val="single"/>
    </w:rPr>
  </w:style>
  <w:style w:type="character" w:styleId="64">
    <w:name w:val="HTML Code"/>
    <w:basedOn w:val="54"/>
    <w:autoRedefine/>
    <w:qFormat/>
    <w:uiPriority w:val="0"/>
    <w:rPr>
      <w:rFonts w:ascii="monospace" w:hAnsi="monospace" w:eastAsia="monospace" w:cs="monospace"/>
      <w:sz w:val="20"/>
    </w:rPr>
  </w:style>
  <w:style w:type="character" w:styleId="65">
    <w:name w:val="annotation reference"/>
    <w:autoRedefine/>
    <w:qFormat/>
    <w:uiPriority w:val="0"/>
    <w:rPr>
      <w:rFonts w:ascii="Times New Roman" w:hAnsi="Times New Roman" w:eastAsia="宋体" w:cs="Times New Roman"/>
      <w:sz w:val="21"/>
    </w:rPr>
  </w:style>
  <w:style w:type="character" w:styleId="66">
    <w:name w:val="HTML Cite"/>
    <w:basedOn w:val="54"/>
    <w:autoRedefine/>
    <w:qFormat/>
    <w:uiPriority w:val="0"/>
  </w:style>
  <w:style w:type="character" w:styleId="67">
    <w:name w:val="HTML Keyboard"/>
    <w:basedOn w:val="54"/>
    <w:autoRedefine/>
    <w:qFormat/>
    <w:uiPriority w:val="0"/>
    <w:rPr>
      <w:rFonts w:hint="default" w:ascii="monospace" w:hAnsi="monospace" w:eastAsia="monospace" w:cs="monospace"/>
      <w:sz w:val="20"/>
    </w:rPr>
  </w:style>
  <w:style w:type="character" w:styleId="68">
    <w:name w:val="HTML Sample"/>
    <w:basedOn w:val="54"/>
    <w:autoRedefine/>
    <w:qFormat/>
    <w:uiPriority w:val="0"/>
    <w:rPr>
      <w:rFonts w:hint="default" w:ascii="monospace" w:hAnsi="monospace" w:eastAsia="monospace" w:cs="monospace"/>
    </w:rPr>
  </w:style>
  <w:style w:type="paragraph" w:customStyle="1" w:styleId="69">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0">
    <w:name w:val="正文（缩进）"/>
    <w:basedOn w:val="1"/>
    <w:autoRedefine/>
    <w:qFormat/>
    <w:uiPriority w:val="0"/>
    <w:pPr>
      <w:spacing w:before="156" w:after="156"/>
      <w:ind w:firstLine="480" w:firstLineChars="200"/>
    </w:pPr>
  </w:style>
  <w:style w:type="paragraph" w:customStyle="1" w:styleId="71">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customStyle="1" w:styleId="72">
    <w:name w:val="标书正文"/>
    <w:basedOn w:val="1"/>
    <w:autoRedefine/>
    <w:qFormat/>
    <w:uiPriority w:val="0"/>
    <w:pPr>
      <w:snapToGrid w:val="0"/>
      <w:spacing w:before="50" w:line="480" w:lineRule="exact"/>
      <w:ind w:firstLine="454" w:firstLineChars="200"/>
      <w:jc w:val="left"/>
    </w:pPr>
    <w:rPr>
      <w:rFonts w:ascii="黑体" w:eastAsia="黑体"/>
      <w:sz w:val="24"/>
      <w:szCs w:val="24"/>
    </w:rPr>
  </w:style>
  <w:style w:type="paragraph" w:customStyle="1" w:styleId="73">
    <w:name w:val="无间隔1"/>
    <w:basedOn w:val="1"/>
    <w:autoRedefine/>
    <w:qFormat/>
    <w:uiPriority w:val="99"/>
    <w:pPr>
      <w:spacing w:line="400" w:lineRule="exact"/>
    </w:pPr>
    <w:rPr>
      <w:sz w:val="24"/>
      <w:szCs w:val="24"/>
    </w:rPr>
  </w:style>
  <w:style w:type="paragraph" w:customStyle="1" w:styleId="74">
    <w:name w:val="_Style 56"/>
    <w:basedOn w:val="6"/>
    <w:next w:val="1"/>
    <w:autoRedefine/>
    <w:qFormat/>
    <w:uiPriority w:val="0"/>
    <w:pPr>
      <w:spacing w:line="578" w:lineRule="auto"/>
      <w:outlineLvl w:val="9"/>
    </w:pPr>
    <w:rPr>
      <w:bCs/>
      <w:szCs w:val="44"/>
    </w:rPr>
  </w:style>
  <w:style w:type="paragraph" w:customStyle="1" w:styleId="75">
    <w:name w:val="Char"/>
    <w:basedOn w:val="1"/>
    <w:autoRedefine/>
    <w:qFormat/>
    <w:uiPriority w:val="0"/>
    <w:pPr>
      <w:snapToGrid w:val="0"/>
      <w:spacing w:line="360" w:lineRule="auto"/>
      <w:ind w:firstLine="200" w:firstLineChars="200"/>
    </w:pPr>
    <w:rPr>
      <w:rFonts w:eastAsia="仿宋_GB2312"/>
      <w:sz w:val="24"/>
    </w:rPr>
  </w:style>
  <w:style w:type="paragraph" w:customStyle="1" w:styleId="76">
    <w:name w:val="样式 标题 2 + Times New Roman 四号 非加粗 段前: 5 磅 段后: 0 磅 行距: 固定值 20..."/>
    <w:basedOn w:val="7"/>
    <w:autoRedefine/>
    <w:qFormat/>
    <w:uiPriority w:val="0"/>
    <w:pPr>
      <w:spacing w:before="100" w:line="400" w:lineRule="exact"/>
    </w:pPr>
    <w:rPr>
      <w:rFonts w:ascii="Times New Roman" w:hAnsi="Times New Roman" w:eastAsia="宋体" w:cs="宋体"/>
      <w:b w:val="0"/>
      <w:kern w:val="0"/>
      <w:sz w:val="28"/>
    </w:rPr>
  </w:style>
  <w:style w:type="paragraph" w:customStyle="1" w:styleId="77">
    <w:name w:val="明显引用1"/>
    <w:basedOn w:val="1"/>
    <w:next w:val="1"/>
    <w:link w:val="149"/>
    <w:autoRedefine/>
    <w:qFormat/>
    <w:uiPriority w:val="0"/>
    <w:pPr>
      <w:pBdr>
        <w:bottom w:val="single" w:color="4F81BD" w:sz="4" w:space="4"/>
      </w:pBdr>
      <w:spacing w:before="200" w:after="280"/>
      <w:ind w:left="936" w:right="936"/>
    </w:pPr>
    <w:rPr>
      <w:b/>
      <w:bCs/>
      <w:i/>
      <w:iCs/>
      <w:color w:val="4F81BD"/>
      <w:szCs w:val="22"/>
    </w:rPr>
  </w:style>
  <w:style w:type="paragraph" w:customStyle="1" w:styleId="78">
    <w:name w:val="TOC 标题1"/>
    <w:basedOn w:val="6"/>
    <w:next w:val="1"/>
    <w:autoRedefine/>
    <w:qFormat/>
    <w:uiPriority w:val="0"/>
    <w:pPr>
      <w:outlineLvl w:val="9"/>
    </w:pPr>
    <w:rPr>
      <w:rFonts w:ascii="Calibri" w:hAnsi="Calibri"/>
      <w:bCs/>
      <w:szCs w:val="44"/>
    </w:rPr>
  </w:style>
  <w:style w:type="paragraph" w:customStyle="1" w:styleId="79">
    <w:name w:val="引用1"/>
    <w:basedOn w:val="1"/>
    <w:next w:val="1"/>
    <w:link w:val="134"/>
    <w:autoRedefine/>
    <w:qFormat/>
    <w:uiPriority w:val="0"/>
    <w:rPr>
      <w:i/>
      <w:iCs/>
      <w:color w:val="000000"/>
      <w:szCs w:val="22"/>
    </w:rPr>
  </w:style>
  <w:style w:type="paragraph" w:customStyle="1" w:styleId="80">
    <w:name w:val="空半行"/>
    <w:basedOn w:val="1"/>
    <w:autoRedefine/>
    <w:qFormat/>
    <w:uiPriority w:val="0"/>
    <w:pPr>
      <w:adjustRightInd w:val="0"/>
      <w:spacing w:line="120" w:lineRule="exact"/>
      <w:textAlignment w:val="baseline"/>
    </w:pPr>
    <w:rPr>
      <w:rFonts w:eastAsia="仿宋_GB2312"/>
      <w:color w:val="FFFFFF"/>
      <w:kern w:val="0"/>
      <w:sz w:val="30"/>
    </w:rPr>
  </w:style>
  <w:style w:type="paragraph" w:customStyle="1" w:styleId="81">
    <w:name w:val="样式3"/>
    <w:basedOn w:val="26"/>
    <w:autoRedefine/>
    <w:qFormat/>
    <w:uiPriority w:val="0"/>
    <w:pPr>
      <w:spacing w:line="0" w:lineRule="atLeast"/>
      <w:outlineLvl w:val="0"/>
    </w:pPr>
    <w:rPr>
      <w:rFonts w:ascii="Times New Roman" w:hAnsi="Times New Roman"/>
      <w:sz w:val="28"/>
    </w:rPr>
  </w:style>
  <w:style w:type="paragraph" w:customStyle="1" w:styleId="82">
    <w:name w:val="样式 标题 3 + (中文) 黑体 小四 非加粗 段前: 7.8 磅 段后: 0 磅 行距: 固定值 20 磅"/>
    <w:basedOn w:val="8"/>
    <w:autoRedefine/>
    <w:qFormat/>
    <w:uiPriority w:val="0"/>
    <w:pPr>
      <w:spacing w:before="0" w:after="0" w:line="400" w:lineRule="exact"/>
    </w:pPr>
    <w:rPr>
      <w:rFonts w:eastAsia="黑体" w:cs="宋体"/>
      <w:b w:val="0"/>
      <w:sz w:val="24"/>
    </w:rPr>
  </w:style>
  <w:style w:type="paragraph" w:customStyle="1" w:styleId="83">
    <w:name w:val="节标题"/>
    <w:basedOn w:val="1"/>
    <w:next w:val="1"/>
    <w:autoRedefine/>
    <w:qFormat/>
    <w:uiPriority w:val="0"/>
    <w:pPr>
      <w:widowControl/>
      <w:spacing w:line="289" w:lineRule="atLeast"/>
      <w:jc w:val="center"/>
      <w:textAlignment w:val="baseline"/>
    </w:pPr>
    <w:rPr>
      <w:color w:val="000000"/>
      <w:kern w:val="0"/>
      <w:sz w:val="28"/>
      <w:u w:color="000000"/>
    </w:rPr>
  </w:style>
  <w:style w:type="paragraph" w:customStyle="1" w:styleId="84">
    <w:name w:val="列出段落1"/>
    <w:basedOn w:val="1"/>
    <w:autoRedefine/>
    <w:qFormat/>
    <w:uiPriority w:val="0"/>
    <w:pPr>
      <w:ind w:firstLine="420" w:firstLineChars="200"/>
    </w:pPr>
    <w:rPr>
      <w:rFonts w:ascii="Calibri" w:hAnsi="Calibri"/>
      <w:szCs w:val="22"/>
    </w:rPr>
  </w:style>
  <w:style w:type="paragraph" w:customStyle="1" w:styleId="85">
    <w:name w:val="Quote1"/>
    <w:basedOn w:val="1"/>
    <w:next w:val="1"/>
    <w:link w:val="128"/>
    <w:autoRedefine/>
    <w:qFormat/>
    <w:uiPriority w:val="0"/>
    <w:rPr>
      <w:i/>
      <w:color w:val="000000"/>
      <w:sz w:val="22"/>
    </w:rPr>
  </w:style>
  <w:style w:type="paragraph" w:customStyle="1" w:styleId="86">
    <w:name w:val="Char1"/>
    <w:basedOn w:val="1"/>
    <w:autoRedefine/>
    <w:qFormat/>
    <w:uiPriority w:val="0"/>
    <w:pPr>
      <w:snapToGrid w:val="0"/>
      <w:spacing w:line="360" w:lineRule="auto"/>
      <w:ind w:firstLine="200" w:firstLineChars="200"/>
    </w:pPr>
  </w:style>
  <w:style w:type="paragraph" w:customStyle="1" w:styleId="87">
    <w:name w:val="标题4"/>
    <w:basedOn w:val="7"/>
    <w:next w:val="23"/>
    <w:link w:val="140"/>
    <w:autoRedefine/>
    <w:qFormat/>
    <w:uiPriority w:val="0"/>
    <w:rPr>
      <w:rFonts w:eastAsia="宋体"/>
      <w:kern w:val="0"/>
    </w:rPr>
  </w:style>
  <w:style w:type="paragraph" w:customStyle="1" w:styleId="88">
    <w:name w:val="Char Char Char Char"/>
    <w:basedOn w:val="1"/>
    <w:link w:val="131"/>
    <w:autoRedefine/>
    <w:qFormat/>
    <w:uiPriority w:val="0"/>
    <w:rPr>
      <w:rFonts w:ascii="Tahoma" w:hAnsi="Tahoma"/>
      <w:sz w:val="24"/>
    </w:rPr>
  </w:style>
  <w:style w:type="paragraph" w:customStyle="1" w:styleId="89">
    <w:name w:val="Intense Quote1"/>
    <w:basedOn w:val="1"/>
    <w:next w:val="1"/>
    <w:link w:val="155"/>
    <w:autoRedefine/>
    <w:qFormat/>
    <w:uiPriority w:val="0"/>
    <w:pPr>
      <w:pBdr>
        <w:bottom w:val="single" w:color="4F81BD" w:sz="4" w:space="4"/>
      </w:pBdr>
      <w:spacing w:before="200" w:after="280"/>
      <w:ind w:left="936" w:right="936"/>
    </w:pPr>
    <w:rPr>
      <w:b/>
      <w:i/>
      <w:color w:val="4F81BD"/>
      <w:sz w:val="22"/>
    </w:rPr>
  </w:style>
  <w:style w:type="paragraph" w:customStyle="1" w:styleId="90">
    <w:name w:val="flNote"/>
    <w:basedOn w:val="1"/>
    <w:autoRedefine/>
    <w:qFormat/>
    <w:uiPriority w:val="0"/>
    <w:pPr>
      <w:adjustRightInd w:val="0"/>
      <w:spacing w:before="320" w:after="160" w:line="360" w:lineRule="atLeast"/>
      <w:jc w:val="center"/>
      <w:textAlignment w:val="baseline"/>
    </w:pPr>
    <w:rPr>
      <w:rFonts w:ascii="Arial" w:eastAsia="黑体"/>
      <w:kern w:val="0"/>
      <w:sz w:val="30"/>
    </w:rPr>
  </w:style>
  <w:style w:type="paragraph" w:customStyle="1" w:styleId="91">
    <w:name w:val="Table Paragraph"/>
    <w:basedOn w:val="1"/>
    <w:autoRedefine/>
    <w:qFormat/>
    <w:uiPriority w:val="1"/>
  </w:style>
  <w:style w:type="paragraph" w:customStyle="1" w:styleId="92">
    <w:name w:val="0"/>
    <w:basedOn w:val="1"/>
    <w:autoRedefine/>
    <w:qFormat/>
    <w:uiPriority w:val="0"/>
    <w:pPr>
      <w:widowControl/>
      <w:snapToGrid w:val="0"/>
    </w:pPr>
    <w:rPr>
      <w:kern w:val="0"/>
    </w:rPr>
  </w:style>
  <w:style w:type="paragraph" w:customStyle="1" w:styleId="93">
    <w:name w:val="标题5"/>
    <w:basedOn w:val="8"/>
    <w:link w:val="164"/>
    <w:autoRedefine/>
    <w:qFormat/>
    <w:uiPriority w:val="0"/>
    <w:rPr>
      <w:rFonts w:ascii="Arial" w:hAnsi="Arial"/>
      <w:kern w:val="0"/>
    </w:rPr>
  </w:style>
  <w:style w:type="paragraph" w:customStyle="1" w:styleId="94">
    <w:name w:val="dash6b63_65871"/>
    <w:basedOn w:val="1"/>
    <w:autoRedefine/>
    <w:qFormat/>
    <w:uiPriority w:val="0"/>
    <w:pPr>
      <w:widowControl/>
    </w:pPr>
    <w:rPr>
      <w:rFonts w:ascii="Calibri" w:hAnsi="Calibri" w:cs="Calibri"/>
      <w:kern w:val="0"/>
      <w:sz w:val="20"/>
    </w:rPr>
  </w:style>
  <w:style w:type="paragraph" w:customStyle="1" w:styleId="95">
    <w:name w:val="p0"/>
    <w:basedOn w:val="1"/>
    <w:autoRedefine/>
    <w:qFormat/>
    <w:uiPriority w:val="0"/>
    <w:pPr>
      <w:widowControl/>
      <w:spacing w:line="365" w:lineRule="atLeast"/>
      <w:ind w:left="1"/>
      <w:textAlignment w:val="bottom"/>
    </w:pPr>
    <w:rPr>
      <w:kern w:val="0"/>
      <w:sz w:val="20"/>
    </w:rPr>
  </w:style>
  <w:style w:type="paragraph" w:customStyle="1" w:styleId="96">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97">
    <w:name w:val="默认段落字体 Para Char Char Char Char"/>
    <w:basedOn w:val="1"/>
    <w:autoRedefine/>
    <w:qFormat/>
    <w:uiPriority w:val="0"/>
    <w:pPr>
      <w:snapToGrid w:val="0"/>
      <w:spacing w:line="360" w:lineRule="auto"/>
      <w:ind w:firstLine="200" w:firstLineChars="200"/>
    </w:pPr>
    <w:rPr>
      <w:rFonts w:eastAsia="仿宋_GB2312"/>
      <w:sz w:val="24"/>
      <w:szCs w:val="24"/>
    </w:rPr>
  </w:style>
  <w:style w:type="paragraph" w:customStyle="1" w:styleId="98">
    <w:name w:val="无间隔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9">
    <w:name w:val="Char1 Char Char Char"/>
    <w:basedOn w:val="1"/>
    <w:autoRedefine/>
    <w:qFormat/>
    <w:uiPriority w:val="0"/>
  </w:style>
  <w:style w:type="paragraph" w:customStyle="1" w:styleId="100">
    <w:name w:val="No Spacing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1">
    <w:name w:val="首行缩进两字"/>
    <w:basedOn w:val="1"/>
    <w:link w:val="108"/>
    <w:autoRedefine/>
    <w:qFormat/>
    <w:uiPriority w:val="0"/>
    <w:pPr>
      <w:ind w:firstLine="549" w:firstLineChars="200"/>
      <w:jc w:val="left"/>
    </w:pPr>
    <w:rPr>
      <w:rFonts w:ascii="宋体" w:hAnsi="宋体"/>
      <w:color w:val="000000"/>
      <w:kern w:val="0"/>
      <w:sz w:val="28"/>
    </w:rPr>
  </w:style>
  <w:style w:type="paragraph" w:customStyle="1" w:styleId="102">
    <w:name w:val="_Style 84"/>
    <w:autoRedefine/>
    <w:qFormat/>
    <w:uiPriority w:val="0"/>
    <w:rPr>
      <w:rFonts w:ascii="Times New Roman" w:hAnsi="Times New Roman" w:eastAsia="宋体" w:cs="Times New Roman"/>
      <w:kern w:val="2"/>
      <w:sz w:val="21"/>
      <w:szCs w:val="24"/>
      <w:lang w:val="en-US" w:eastAsia="zh-CN" w:bidi="ar-SA"/>
    </w:rPr>
  </w:style>
  <w:style w:type="paragraph" w:customStyle="1" w:styleId="103">
    <w:name w:val="索引 6 New"/>
    <w:autoRedefine/>
    <w:qFormat/>
    <w:uiPriority w:val="0"/>
    <w:rPr>
      <w:rFonts w:ascii="Times New Roman" w:hAnsi="Times New Roman" w:eastAsia="宋体" w:cs="Times New Roman"/>
      <w:sz w:val="24"/>
      <w:szCs w:val="24"/>
      <w:lang w:val="en-US" w:eastAsia="zh-CN" w:bidi="en-US"/>
    </w:rPr>
  </w:style>
  <w:style w:type="paragraph" w:customStyle="1" w:styleId="104">
    <w:name w:val="Char4"/>
    <w:basedOn w:val="1"/>
    <w:autoRedefine/>
    <w:qFormat/>
    <w:uiPriority w:val="0"/>
  </w:style>
  <w:style w:type="paragraph" w:customStyle="1" w:styleId="105">
    <w:name w:val="List Paragraph1"/>
    <w:basedOn w:val="1"/>
    <w:autoRedefine/>
    <w:qFormat/>
    <w:uiPriority w:val="0"/>
    <w:pPr>
      <w:ind w:firstLine="420" w:firstLineChars="200"/>
    </w:pPr>
    <w:rPr>
      <w:rFonts w:ascii="Calibri" w:hAnsi="Calibri"/>
      <w:szCs w:val="22"/>
    </w:rPr>
  </w:style>
  <w:style w:type="character" w:customStyle="1" w:styleId="106">
    <w:name w:val="标题 5 字符"/>
    <w:link w:val="10"/>
    <w:autoRedefine/>
    <w:qFormat/>
    <w:uiPriority w:val="0"/>
    <w:rPr>
      <w:rFonts w:ascii="Calibri" w:hAnsi="Calibri" w:eastAsia="宋体" w:cs="Times New Roman"/>
      <w:b/>
      <w:bCs/>
      <w:kern w:val="2"/>
      <w:sz w:val="28"/>
      <w:szCs w:val="28"/>
      <w:lang w:val="en-US" w:eastAsia="zh-CN" w:bidi="ar-SA"/>
    </w:rPr>
  </w:style>
  <w:style w:type="character" w:customStyle="1" w:styleId="107">
    <w:name w:val="Char Char14"/>
    <w:autoRedefine/>
    <w:qFormat/>
    <w:uiPriority w:val="0"/>
    <w:rPr>
      <w:rFonts w:ascii="Calibri" w:hAnsi="Calibri" w:eastAsia="宋体" w:cs="Times New Roman"/>
      <w:b/>
      <w:bCs/>
      <w:kern w:val="2"/>
      <w:sz w:val="28"/>
      <w:szCs w:val="28"/>
      <w:lang w:val="en-US" w:eastAsia="zh-CN" w:bidi="ar-SA"/>
    </w:rPr>
  </w:style>
  <w:style w:type="character" w:customStyle="1" w:styleId="108">
    <w:name w:val="首行缩进两字 Char1"/>
    <w:link w:val="101"/>
    <w:autoRedefine/>
    <w:qFormat/>
    <w:uiPriority w:val="0"/>
    <w:rPr>
      <w:rFonts w:ascii="宋体" w:hAnsi="宋体" w:eastAsia="宋体" w:cs="Times New Roman"/>
      <w:color w:val="000000"/>
      <w:sz w:val="28"/>
      <w:lang w:val="en-US" w:eastAsia="zh-CN"/>
    </w:rPr>
  </w:style>
  <w:style w:type="character" w:customStyle="1" w:styleId="109">
    <w:name w:val="页眉 字符"/>
    <w:link w:val="32"/>
    <w:autoRedefine/>
    <w:qFormat/>
    <w:uiPriority w:val="0"/>
    <w:rPr>
      <w:rFonts w:ascii="Times New Roman" w:hAnsi="Times New Roman" w:eastAsia="宋体" w:cs="Times New Roman"/>
      <w:kern w:val="2"/>
      <w:sz w:val="18"/>
      <w:lang w:val="en-US" w:eastAsia="zh-CN" w:bidi="ar-SA"/>
    </w:rPr>
  </w:style>
  <w:style w:type="character" w:customStyle="1" w:styleId="110">
    <w:name w:val="标题 Char1"/>
    <w:autoRedefine/>
    <w:qFormat/>
    <w:uiPriority w:val="0"/>
    <w:rPr>
      <w:rFonts w:ascii="Cambria" w:hAnsi="Cambria" w:eastAsia="宋体" w:cs="Times New Roman"/>
      <w:b/>
      <w:bCs/>
      <w:kern w:val="2"/>
      <w:sz w:val="32"/>
      <w:szCs w:val="32"/>
    </w:rPr>
  </w:style>
  <w:style w:type="character" w:customStyle="1" w:styleId="111">
    <w:name w:val="Char Char16"/>
    <w:autoRedefine/>
    <w:qFormat/>
    <w:uiPriority w:val="0"/>
    <w:rPr>
      <w:rFonts w:ascii="Times New Roman" w:hAnsi="Times New Roman" w:eastAsia="宋体" w:cs="Times New Roman"/>
      <w:b/>
      <w:kern w:val="2"/>
      <w:sz w:val="32"/>
      <w:lang w:val="en-US" w:eastAsia="zh-CN"/>
    </w:rPr>
  </w:style>
  <w:style w:type="character" w:customStyle="1" w:styleId="112">
    <w:name w:val="Subtitle Char1"/>
    <w:autoRedefine/>
    <w:qFormat/>
    <w:uiPriority w:val="0"/>
    <w:rPr>
      <w:rFonts w:ascii="Cambria" w:hAnsi="Cambria" w:eastAsia="宋体" w:cs="Times New Roman"/>
      <w:b/>
      <w:bCs/>
      <w:kern w:val="28"/>
      <w:sz w:val="32"/>
      <w:szCs w:val="32"/>
    </w:rPr>
  </w:style>
  <w:style w:type="character" w:customStyle="1" w:styleId="113">
    <w:name w:val="Title Char"/>
    <w:autoRedefine/>
    <w:qFormat/>
    <w:uiPriority w:val="0"/>
    <w:rPr>
      <w:rFonts w:ascii="Cambria" w:hAnsi="Cambria" w:eastAsia="宋体" w:cs="Times New Roman"/>
      <w:b/>
      <w:kern w:val="2"/>
      <w:sz w:val="32"/>
    </w:rPr>
  </w:style>
  <w:style w:type="character" w:customStyle="1" w:styleId="114">
    <w:name w:val="批注主题 Char1"/>
    <w:autoRedefine/>
    <w:qFormat/>
    <w:uiPriority w:val="0"/>
    <w:rPr>
      <w:rFonts w:ascii="Times New Roman" w:hAnsi="Times New Roman" w:eastAsia="宋体" w:cs="Times New Roman"/>
      <w:b/>
      <w:kern w:val="2"/>
      <w:sz w:val="22"/>
    </w:rPr>
  </w:style>
  <w:style w:type="character" w:customStyle="1" w:styleId="115">
    <w:name w:val="日期 字符"/>
    <w:link w:val="28"/>
    <w:autoRedefine/>
    <w:qFormat/>
    <w:uiPriority w:val="0"/>
    <w:rPr>
      <w:rFonts w:ascii="Times New Roman" w:hAnsi="Times New Roman" w:eastAsia="宋体" w:cs="Times New Roman"/>
      <w:kern w:val="2"/>
      <w:sz w:val="28"/>
      <w:lang w:val="en-US" w:eastAsia="zh-CN" w:bidi="ar-SA"/>
    </w:rPr>
  </w:style>
  <w:style w:type="character" w:customStyle="1" w:styleId="116">
    <w:name w:val="Char Char5"/>
    <w:autoRedefine/>
    <w:qFormat/>
    <w:uiPriority w:val="0"/>
    <w:rPr>
      <w:rFonts w:ascii="Times New Roman" w:hAnsi="Times New Roman" w:eastAsia="宋体" w:cs="Times New Roman"/>
      <w:kern w:val="2"/>
      <w:sz w:val="21"/>
      <w:lang w:val="en-US" w:eastAsia="zh-CN" w:bidi="ar-SA"/>
    </w:rPr>
  </w:style>
  <w:style w:type="character" w:customStyle="1" w:styleId="117">
    <w:name w:val="明显强调1"/>
    <w:autoRedefine/>
    <w:qFormat/>
    <w:uiPriority w:val="0"/>
    <w:rPr>
      <w:rFonts w:ascii="Times New Roman" w:hAnsi="Times New Roman" w:eastAsia="宋体" w:cs="Times New Roman"/>
      <w:b/>
      <w:i/>
      <w:color w:val="4F81BD"/>
    </w:rPr>
  </w:style>
  <w:style w:type="character" w:customStyle="1" w:styleId="118">
    <w:name w:val="标题 字符"/>
    <w:link w:val="42"/>
    <w:autoRedefine/>
    <w:qFormat/>
    <w:uiPriority w:val="0"/>
    <w:rPr>
      <w:rFonts w:ascii="Arial" w:hAnsi="Arial" w:eastAsia="宋体" w:cs="Times New Roman"/>
      <w:b/>
      <w:kern w:val="2"/>
      <w:sz w:val="44"/>
      <w:lang w:val="en-US" w:eastAsia="zh-CN" w:bidi="ar-SA"/>
    </w:rPr>
  </w:style>
  <w:style w:type="character" w:customStyle="1" w:styleId="119">
    <w:name w:val="Heading 1 Char"/>
    <w:autoRedefine/>
    <w:qFormat/>
    <w:uiPriority w:val="0"/>
    <w:rPr>
      <w:rFonts w:ascii="Times New Roman" w:hAnsi="Times New Roman" w:eastAsia="宋体" w:cs="Times New Roman"/>
      <w:b/>
      <w:kern w:val="44"/>
      <w:sz w:val="44"/>
    </w:rPr>
  </w:style>
  <w:style w:type="character" w:customStyle="1" w:styleId="120">
    <w:name w:val="批注框文本 Char1"/>
    <w:autoRedefine/>
    <w:qFormat/>
    <w:uiPriority w:val="0"/>
    <w:rPr>
      <w:rFonts w:ascii="Times New Roman" w:hAnsi="Times New Roman" w:eastAsia="宋体" w:cs="Times New Roman"/>
      <w:kern w:val="2"/>
      <w:sz w:val="18"/>
    </w:rPr>
  </w:style>
  <w:style w:type="character" w:customStyle="1" w:styleId="121">
    <w:name w:val="_Style 104"/>
    <w:autoRedefine/>
    <w:qFormat/>
    <w:uiPriority w:val="0"/>
    <w:rPr>
      <w:rFonts w:ascii="Times New Roman" w:hAnsi="Times New Roman" w:eastAsia="宋体" w:cs="Times New Roman"/>
      <w:b/>
      <w:bCs/>
      <w:smallCaps/>
      <w:spacing w:val="5"/>
    </w:rPr>
  </w:style>
  <w:style w:type="character" w:customStyle="1" w:styleId="122">
    <w:name w:val="标题 9 字符"/>
    <w:link w:val="14"/>
    <w:autoRedefine/>
    <w:qFormat/>
    <w:uiPriority w:val="0"/>
    <w:rPr>
      <w:rFonts w:ascii="Cambria" w:hAnsi="Cambria" w:eastAsia="宋体" w:cs="Times New Roman"/>
      <w:kern w:val="2"/>
      <w:sz w:val="21"/>
      <w:szCs w:val="21"/>
      <w:lang w:val="en-US" w:eastAsia="zh-CN" w:bidi="ar-SA"/>
    </w:rPr>
  </w:style>
  <w:style w:type="character" w:customStyle="1" w:styleId="123">
    <w:name w:val="标题 8 字符"/>
    <w:link w:val="13"/>
    <w:autoRedefine/>
    <w:qFormat/>
    <w:uiPriority w:val="0"/>
    <w:rPr>
      <w:rFonts w:ascii="Cambria" w:hAnsi="Cambria" w:eastAsia="宋体" w:cs="Times New Roman"/>
      <w:kern w:val="2"/>
      <w:sz w:val="24"/>
      <w:szCs w:val="24"/>
      <w:lang w:val="en-US" w:eastAsia="zh-CN" w:bidi="ar-SA"/>
    </w:rPr>
  </w:style>
  <w:style w:type="character" w:customStyle="1" w:styleId="124">
    <w:name w:val="文档结构图 Char1"/>
    <w:autoRedefine/>
    <w:qFormat/>
    <w:uiPriority w:val="0"/>
    <w:rPr>
      <w:rFonts w:ascii="宋体" w:hAnsi="Times New Roman" w:eastAsia="宋体" w:cs="Times New Roman"/>
      <w:kern w:val="2"/>
      <w:sz w:val="18"/>
    </w:rPr>
  </w:style>
  <w:style w:type="character" w:customStyle="1" w:styleId="125">
    <w:name w:val="Char Char18"/>
    <w:autoRedefine/>
    <w:qFormat/>
    <w:uiPriority w:val="0"/>
    <w:rPr>
      <w:rFonts w:ascii="Times New Roman" w:hAnsi="Times New Roman" w:eastAsia="宋体" w:cs="Times New Roman"/>
      <w:b/>
      <w:kern w:val="44"/>
      <w:sz w:val="44"/>
      <w:lang w:val="en-US" w:eastAsia="zh-CN" w:bidi="ar-SA"/>
    </w:rPr>
  </w:style>
  <w:style w:type="character" w:customStyle="1" w:styleId="126">
    <w:name w:val="Heading 2 Char"/>
    <w:autoRedefine/>
    <w:qFormat/>
    <w:uiPriority w:val="0"/>
    <w:rPr>
      <w:rFonts w:ascii="Cambria" w:hAnsi="Cambria" w:eastAsia="宋体" w:cs="Times New Roman"/>
      <w:b/>
      <w:kern w:val="2"/>
      <w:sz w:val="32"/>
    </w:rPr>
  </w:style>
  <w:style w:type="character" w:customStyle="1" w:styleId="127">
    <w:name w:val="Heading 3 Char"/>
    <w:autoRedefine/>
    <w:qFormat/>
    <w:uiPriority w:val="0"/>
    <w:rPr>
      <w:rFonts w:ascii="Times New Roman" w:hAnsi="Times New Roman" w:eastAsia="宋体" w:cs="Times New Roman"/>
      <w:b/>
      <w:kern w:val="2"/>
      <w:sz w:val="32"/>
    </w:rPr>
  </w:style>
  <w:style w:type="character" w:customStyle="1" w:styleId="128">
    <w:name w:val="Quote Char"/>
    <w:link w:val="85"/>
    <w:autoRedefine/>
    <w:qFormat/>
    <w:uiPriority w:val="0"/>
    <w:rPr>
      <w:rFonts w:ascii="Times New Roman" w:hAnsi="Times New Roman" w:eastAsia="宋体" w:cs="Times New Roman"/>
      <w:i/>
      <w:color w:val="000000"/>
      <w:kern w:val="2"/>
      <w:sz w:val="22"/>
      <w:lang w:bidi="ar-SA"/>
    </w:rPr>
  </w:style>
  <w:style w:type="character" w:customStyle="1" w:styleId="129">
    <w:name w:val="_Style 112"/>
    <w:autoRedefine/>
    <w:qFormat/>
    <w:uiPriority w:val="0"/>
    <w:rPr>
      <w:rFonts w:ascii="Times New Roman" w:hAnsi="Times New Roman" w:eastAsia="宋体" w:cs="Times New Roman"/>
      <w:b/>
      <w:bCs/>
      <w:smallCaps/>
      <w:color w:val="C0504D"/>
      <w:spacing w:val="5"/>
      <w:u w:val="single"/>
    </w:rPr>
  </w:style>
  <w:style w:type="character" w:customStyle="1" w:styleId="130">
    <w:name w:val="Char Char8"/>
    <w:autoRedefine/>
    <w:qFormat/>
    <w:uiPriority w:val="0"/>
    <w:rPr>
      <w:rFonts w:ascii="Times New Roman" w:hAnsi="Times New Roman" w:eastAsia="宋体" w:cs="Times New Roman"/>
      <w:kern w:val="2"/>
      <w:sz w:val="18"/>
      <w:lang w:val="en-US" w:eastAsia="zh-CN" w:bidi="ar-SA"/>
    </w:rPr>
  </w:style>
  <w:style w:type="character" w:customStyle="1" w:styleId="131">
    <w:name w:val="Char Char Char Char Char Char"/>
    <w:link w:val="88"/>
    <w:autoRedefine/>
    <w:qFormat/>
    <w:uiPriority w:val="0"/>
    <w:rPr>
      <w:rFonts w:ascii="Tahoma" w:hAnsi="Tahoma" w:eastAsia="宋体" w:cs="Times New Roman"/>
      <w:kern w:val="2"/>
      <w:sz w:val="24"/>
      <w:lang w:val="en-US" w:eastAsia="zh-CN" w:bidi="ar-SA"/>
    </w:rPr>
  </w:style>
  <w:style w:type="character" w:customStyle="1" w:styleId="132">
    <w:name w:val="_Style 115"/>
    <w:autoRedefine/>
    <w:qFormat/>
    <w:uiPriority w:val="0"/>
    <w:rPr>
      <w:rFonts w:ascii="Times New Roman" w:hAnsi="Times New Roman" w:eastAsia="宋体" w:cs="Times New Roman"/>
      <w:b/>
      <w:bCs/>
      <w:i/>
      <w:iCs/>
      <w:color w:val="4F81BD"/>
    </w:rPr>
  </w:style>
  <w:style w:type="character" w:customStyle="1" w:styleId="133">
    <w:name w:val="Char Char7"/>
    <w:autoRedefine/>
    <w:qFormat/>
    <w:uiPriority w:val="0"/>
    <w:rPr>
      <w:rFonts w:ascii="Times New Roman" w:hAnsi="Times New Roman" w:eastAsia="宋体" w:cs="Times New Roman"/>
      <w:kern w:val="2"/>
      <w:sz w:val="21"/>
      <w:lang w:val="en-US" w:eastAsia="zh-CN" w:bidi="ar-SA"/>
    </w:rPr>
  </w:style>
  <w:style w:type="character" w:customStyle="1" w:styleId="134">
    <w:name w:val="引用 Char"/>
    <w:link w:val="79"/>
    <w:autoRedefine/>
    <w:qFormat/>
    <w:uiPriority w:val="0"/>
    <w:rPr>
      <w:rFonts w:ascii="Times New Roman" w:hAnsi="Times New Roman" w:eastAsia="宋体" w:cs="Times New Roman"/>
      <w:i/>
      <w:iCs/>
      <w:color w:val="000000"/>
      <w:kern w:val="2"/>
      <w:sz w:val="21"/>
      <w:szCs w:val="22"/>
    </w:rPr>
  </w:style>
  <w:style w:type="character" w:customStyle="1" w:styleId="135">
    <w:name w:val="文档结构图 字符"/>
    <w:link w:val="18"/>
    <w:autoRedefine/>
    <w:qFormat/>
    <w:uiPriority w:val="0"/>
    <w:rPr>
      <w:rFonts w:ascii="Times New Roman" w:hAnsi="Times New Roman" w:eastAsia="宋体" w:cs="Times New Roman"/>
      <w:kern w:val="2"/>
      <w:sz w:val="21"/>
      <w:lang w:val="en-US" w:eastAsia="zh-CN" w:bidi="ar-SA"/>
    </w:rPr>
  </w:style>
  <w:style w:type="character" w:customStyle="1" w:styleId="136">
    <w:name w:val="批注文字 字符"/>
    <w:link w:val="19"/>
    <w:autoRedefine/>
    <w:qFormat/>
    <w:uiPriority w:val="0"/>
    <w:rPr>
      <w:rFonts w:ascii="Times New Roman" w:hAnsi="Times New Roman" w:eastAsia="宋体" w:cs="Times New Roman"/>
      <w:kern w:val="2"/>
      <w:sz w:val="21"/>
      <w:lang w:val="en-US" w:eastAsia="zh-CN" w:bidi="ar-SA"/>
    </w:rPr>
  </w:style>
  <w:style w:type="character" w:customStyle="1" w:styleId="137">
    <w:name w:val="Char Char12"/>
    <w:autoRedefine/>
    <w:qFormat/>
    <w:uiPriority w:val="0"/>
    <w:rPr>
      <w:rFonts w:ascii="Calibri" w:hAnsi="Calibri" w:eastAsia="宋体" w:cs="Times New Roman"/>
      <w:b/>
      <w:bCs/>
      <w:kern w:val="2"/>
      <w:sz w:val="24"/>
      <w:szCs w:val="24"/>
      <w:lang w:val="en-US" w:eastAsia="zh-CN" w:bidi="ar-SA"/>
    </w:rPr>
  </w:style>
  <w:style w:type="character" w:customStyle="1" w:styleId="138">
    <w:name w:val="Heading 4 Char"/>
    <w:autoRedefine/>
    <w:qFormat/>
    <w:uiPriority w:val="0"/>
    <w:rPr>
      <w:rFonts w:ascii="Cambria" w:hAnsi="Cambria" w:eastAsia="宋体" w:cs="Times New Roman"/>
      <w:b/>
      <w:kern w:val="2"/>
      <w:sz w:val="28"/>
    </w:rPr>
  </w:style>
  <w:style w:type="character" w:customStyle="1" w:styleId="139">
    <w:name w:val="Char Char11"/>
    <w:autoRedefine/>
    <w:qFormat/>
    <w:uiPriority w:val="0"/>
    <w:rPr>
      <w:rFonts w:ascii="Cambria" w:hAnsi="Cambria" w:eastAsia="宋体" w:cs="Times New Roman"/>
      <w:kern w:val="2"/>
      <w:sz w:val="24"/>
      <w:szCs w:val="24"/>
      <w:lang w:val="en-US" w:eastAsia="zh-CN" w:bidi="ar-SA"/>
    </w:rPr>
  </w:style>
  <w:style w:type="character" w:customStyle="1" w:styleId="140">
    <w:name w:val="标题4 Char Char"/>
    <w:link w:val="87"/>
    <w:autoRedefine/>
    <w:qFormat/>
    <w:uiPriority w:val="0"/>
    <w:rPr>
      <w:rFonts w:ascii="Arial" w:hAnsi="Arial" w:eastAsia="宋体" w:cs="Times New Roman"/>
      <w:b/>
      <w:sz w:val="32"/>
      <w:lang w:bidi="ar-SA"/>
    </w:rPr>
  </w:style>
  <w:style w:type="character" w:customStyle="1" w:styleId="141">
    <w:name w:val="Char Char9"/>
    <w:autoRedefine/>
    <w:qFormat/>
    <w:uiPriority w:val="0"/>
    <w:rPr>
      <w:rFonts w:ascii="Times New Roman" w:hAnsi="Times New Roman" w:eastAsia="宋体" w:cs="Times New Roman"/>
      <w:kern w:val="2"/>
      <w:sz w:val="28"/>
      <w:lang w:val="en-US" w:eastAsia="zh-CN" w:bidi="ar-SA"/>
    </w:rPr>
  </w:style>
  <w:style w:type="character" w:customStyle="1" w:styleId="142">
    <w:name w:val="批注文字 Char Char"/>
    <w:autoRedefine/>
    <w:qFormat/>
    <w:uiPriority w:val="0"/>
    <w:rPr>
      <w:rFonts w:ascii="宋体" w:hAnsi="Times New Roman" w:eastAsia="宋体" w:cs="Times New Roman"/>
      <w:sz w:val="20"/>
    </w:rPr>
  </w:style>
  <w:style w:type="character" w:customStyle="1" w:styleId="143">
    <w:name w:val="副标题 字符"/>
    <w:link w:val="35"/>
    <w:autoRedefine/>
    <w:qFormat/>
    <w:uiPriority w:val="0"/>
    <w:rPr>
      <w:rFonts w:ascii="Cambria" w:hAnsi="Cambria" w:eastAsia="宋体" w:cs="Times New Roman"/>
      <w:b/>
      <w:kern w:val="28"/>
      <w:sz w:val="32"/>
      <w:lang w:bidi="ar-SA"/>
    </w:rPr>
  </w:style>
  <w:style w:type="character" w:customStyle="1" w:styleId="144">
    <w:name w:val="Char Char10"/>
    <w:autoRedefine/>
    <w:qFormat/>
    <w:uiPriority w:val="0"/>
    <w:rPr>
      <w:rFonts w:ascii="Cambria" w:hAnsi="Cambria" w:eastAsia="宋体" w:cs="Times New Roman"/>
      <w:kern w:val="2"/>
      <w:sz w:val="21"/>
      <w:szCs w:val="21"/>
      <w:lang w:val="en-US" w:eastAsia="zh-CN" w:bidi="ar-SA"/>
    </w:rPr>
  </w:style>
  <w:style w:type="character" w:customStyle="1" w:styleId="145">
    <w:name w:val="Char Char6"/>
    <w:autoRedefine/>
    <w:qFormat/>
    <w:uiPriority w:val="0"/>
    <w:rPr>
      <w:rFonts w:ascii="Times New Roman" w:hAnsi="Times New Roman" w:eastAsia="宋体" w:cs="Times New Roman"/>
      <w:kern w:val="2"/>
      <w:sz w:val="18"/>
      <w:lang w:val="en-US" w:eastAsia="zh-CN" w:bidi="ar-SA"/>
    </w:rPr>
  </w:style>
  <w:style w:type="character" w:customStyle="1" w:styleId="146">
    <w:name w:val="Char Char15"/>
    <w:autoRedefine/>
    <w:qFormat/>
    <w:uiPriority w:val="0"/>
    <w:rPr>
      <w:rFonts w:ascii="Arial" w:hAnsi="Arial" w:eastAsia="宋体" w:cs="Times New Roman"/>
      <w:b/>
      <w:kern w:val="2"/>
      <w:sz w:val="21"/>
      <w:lang w:val="en-US" w:eastAsia="zh-CN"/>
    </w:rPr>
  </w:style>
  <w:style w:type="character" w:customStyle="1" w:styleId="147">
    <w:name w:val="不明显强调1"/>
    <w:autoRedefine/>
    <w:qFormat/>
    <w:uiPriority w:val="0"/>
    <w:rPr>
      <w:rFonts w:ascii="Times New Roman" w:hAnsi="Times New Roman" w:eastAsia="宋体" w:cs="Times New Roman"/>
      <w:i/>
      <w:color w:val="808080"/>
    </w:rPr>
  </w:style>
  <w:style w:type="character" w:customStyle="1" w:styleId="148">
    <w:name w:val="明显引用 Char1"/>
    <w:autoRedefine/>
    <w:qFormat/>
    <w:uiPriority w:val="0"/>
    <w:rPr>
      <w:rFonts w:ascii="Times New Roman" w:hAnsi="Times New Roman" w:eastAsia="宋体" w:cs="Times New Roman"/>
      <w:b/>
      <w:bCs/>
      <w:i/>
      <w:iCs/>
      <w:color w:val="4F81BD"/>
      <w:kern w:val="2"/>
      <w:sz w:val="21"/>
    </w:rPr>
  </w:style>
  <w:style w:type="character" w:customStyle="1" w:styleId="149">
    <w:name w:val="明显引用 Char"/>
    <w:link w:val="77"/>
    <w:autoRedefine/>
    <w:qFormat/>
    <w:uiPriority w:val="0"/>
    <w:rPr>
      <w:rFonts w:ascii="Times New Roman" w:hAnsi="Times New Roman" w:eastAsia="宋体" w:cs="Times New Roman"/>
      <w:b/>
      <w:bCs/>
      <w:i/>
      <w:iCs/>
      <w:color w:val="4F81BD"/>
      <w:kern w:val="2"/>
      <w:sz w:val="21"/>
      <w:szCs w:val="22"/>
    </w:rPr>
  </w:style>
  <w:style w:type="character" w:customStyle="1" w:styleId="150">
    <w:name w:val="批注框文本 字符"/>
    <w:link w:val="30"/>
    <w:autoRedefine/>
    <w:qFormat/>
    <w:uiPriority w:val="0"/>
    <w:rPr>
      <w:rFonts w:ascii="Times New Roman" w:hAnsi="Times New Roman" w:eastAsia="宋体" w:cs="Times New Roman"/>
      <w:kern w:val="2"/>
      <w:sz w:val="18"/>
      <w:szCs w:val="18"/>
      <w:lang w:val="en-US" w:eastAsia="zh-CN" w:bidi="ar-SA"/>
    </w:rPr>
  </w:style>
  <w:style w:type="character" w:customStyle="1" w:styleId="151">
    <w:name w:val="Char Char4"/>
    <w:autoRedefine/>
    <w:qFormat/>
    <w:uiPriority w:val="0"/>
    <w:rPr>
      <w:rFonts w:ascii="Times New Roman" w:hAnsi="Times New Roman" w:eastAsia="宋体" w:cs="Times New Roman"/>
      <w:kern w:val="2"/>
      <w:sz w:val="18"/>
      <w:szCs w:val="18"/>
      <w:lang w:val="en-US" w:eastAsia="zh-CN" w:bidi="ar-SA"/>
    </w:rPr>
  </w:style>
  <w:style w:type="character" w:customStyle="1" w:styleId="152">
    <w:name w:val="日期 Char1"/>
    <w:autoRedefine/>
    <w:qFormat/>
    <w:uiPriority w:val="0"/>
    <w:rPr>
      <w:rFonts w:ascii="Times New Roman" w:hAnsi="Times New Roman" w:eastAsia="宋体" w:cs="Times New Roman"/>
      <w:kern w:val="2"/>
      <w:sz w:val="22"/>
    </w:rPr>
  </w:style>
  <w:style w:type="character" w:customStyle="1" w:styleId="153">
    <w:name w:val="Char Char17"/>
    <w:autoRedefine/>
    <w:qFormat/>
    <w:uiPriority w:val="0"/>
    <w:rPr>
      <w:rFonts w:ascii="Arial" w:hAnsi="Arial" w:eastAsia="黑体" w:cs="Times New Roman"/>
      <w:b/>
      <w:kern w:val="2"/>
      <w:sz w:val="32"/>
      <w:lang w:val="en-US" w:eastAsia="zh-CN"/>
    </w:rPr>
  </w:style>
  <w:style w:type="character" w:customStyle="1" w:styleId="154">
    <w:name w:val="正文文本 字符"/>
    <w:link w:val="3"/>
    <w:autoRedefine/>
    <w:qFormat/>
    <w:uiPriority w:val="0"/>
    <w:rPr>
      <w:rFonts w:ascii="Times New Roman" w:hAnsi="Times New Roman" w:eastAsia="宋体" w:cs="Times New Roman"/>
      <w:lang w:bidi="ar-SA"/>
    </w:rPr>
  </w:style>
  <w:style w:type="character" w:customStyle="1" w:styleId="155">
    <w:name w:val="Intense Quote Char"/>
    <w:link w:val="89"/>
    <w:autoRedefine/>
    <w:qFormat/>
    <w:uiPriority w:val="0"/>
    <w:rPr>
      <w:rFonts w:ascii="Times New Roman" w:hAnsi="Times New Roman" w:eastAsia="宋体" w:cs="Times New Roman"/>
      <w:b/>
      <w:i/>
      <w:color w:val="4F81BD"/>
      <w:kern w:val="2"/>
      <w:sz w:val="22"/>
      <w:lang w:bidi="ar-SA"/>
    </w:rPr>
  </w:style>
  <w:style w:type="character" w:customStyle="1" w:styleId="156">
    <w:name w:val="Quote Char1"/>
    <w:autoRedefine/>
    <w:qFormat/>
    <w:uiPriority w:val="0"/>
    <w:rPr>
      <w:rFonts w:ascii="Times New Roman" w:hAnsi="Times New Roman" w:eastAsia="宋体" w:cs="Times New Roman"/>
      <w:i/>
      <w:iCs/>
      <w:color w:val="000000"/>
    </w:rPr>
  </w:style>
  <w:style w:type="character" w:customStyle="1" w:styleId="157">
    <w:name w:val="明显参考1"/>
    <w:autoRedefine/>
    <w:qFormat/>
    <w:uiPriority w:val="0"/>
    <w:rPr>
      <w:rFonts w:ascii="Times New Roman" w:hAnsi="Times New Roman" w:eastAsia="宋体" w:cs="Times New Roman"/>
      <w:b/>
      <w:smallCaps/>
      <w:color w:val="C0504D"/>
      <w:spacing w:val="5"/>
      <w:u w:val="single"/>
    </w:rPr>
  </w:style>
  <w:style w:type="character" w:customStyle="1" w:styleId="158">
    <w:name w:val="标题 4 字符"/>
    <w:link w:val="9"/>
    <w:autoRedefine/>
    <w:qFormat/>
    <w:uiPriority w:val="0"/>
    <w:rPr>
      <w:rFonts w:ascii="Arial" w:hAnsi="Arial" w:eastAsia="宋体" w:cs="Times New Roman"/>
      <w:b/>
      <w:kern w:val="2"/>
      <w:sz w:val="21"/>
      <w:lang w:val="en-US" w:eastAsia="zh-CN"/>
    </w:rPr>
  </w:style>
  <w:style w:type="character" w:customStyle="1" w:styleId="159">
    <w:name w:val="dash6b63_6587__char1"/>
    <w:autoRedefine/>
    <w:qFormat/>
    <w:uiPriority w:val="0"/>
    <w:rPr>
      <w:rFonts w:hint="default" w:ascii="Calibri" w:hAnsi="Calibri" w:eastAsia="宋体" w:cs="Calibri"/>
      <w:sz w:val="20"/>
      <w:szCs w:val="20"/>
    </w:rPr>
  </w:style>
  <w:style w:type="character" w:customStyle="1" w:styleId="160">
    <w:name w:val="副标题 Char1"/>
    <w:autoRedefine/>
    <w:qFormat/>
    <w:uiPriority w:val="0"/>
    <w:rPr>
      <w:rFonts w:ascii="Cambria" w:hAnsi="Cambria" w:eastAsia="宋体" w:cs="Times New Roman"/>
      <w:b/>
      <w:bCs/>
      <w:kern w:val="28"/>
      <w:sz w:val="32"/>
      <w:szCs w:val="32"/>
    </w:rPr>
  </w:style>
  <w:style w:type="character" w:customStyle="1" w:styleId="161">
    <w:name w:val="标题 3 字符"/>
    <w:link w:val="8"/>
    <w:autoRedefine/>
    <w:qFormat/>
    <w:uiPriority w:val="0"/>
    <w:rPr>
      <w:rFonts w:ascii="Times New Roman" w:hAnsi="Times New Roman" w:eastAsia="宋体" w:cs="Times New Roman"/>
      <w:b/>
      <w:kern w:val="2"/>
      <w:sz w:val="32"/>
      <w:lang w:val="en-US" w:eastAsia="zh-CN"/>
    </w:rPr>
  </w:style>
  <w:style w:type="character" w:customStyle="1" w:styleId="162">
    <w:name w:val="Char Char3"/>
    <w:autoRedefine/>
    <w:qFormat/>
    <w:uiPriority w:val="0"/>
    <w:rPr>
      <w:rFonts w:ascii="Arial" w:hAnsi="Arial" w:eastAsia="宋体" w:cs="Times New Roman"/>
      <w:b/>
      <w:kern w:val="2"/>
      <w:sz w:val="44"/>
      <w:lang w:val="en-US" w:eastAsia="zh-CN" w:bidi="ar-SA"/>
    </w:rPr>
  </w:style>
  <w:style w:type="character" w:customStyle="1" w:styleId="163">
    <w:name w:val="正文文本 Char1"/>
    <w:autoRedefine/>
    <w:qFormat/>
    <w:uiPriority w:val="0"/>
    <w:rPr>
      <w:rFonts w:ascii="Times New Roman" w:hAnsi="Times New Roman" w:eastAsia="宋体" w:cs="Times New Roman"/>
      <w:kern w:val="2"/>
      <w:sz w:val="22"/>
    </w:rPr>
  </w:style>
  <w:style w:type="character" w:customStyle="1" w:styleId="164">
    <w:name w:val="标题5 Char Char"/>
    <w:link w:val="93"/>
    <w:autoRedefine/>
    <w:qFormat/>
    <w:uiPriority w:val="0"/>
    <w:rPr>
      <w:rFonts w:ascii="Arial" w:hAnsi="Arial" w:eastAsia="宋体" w:cs="Times New Roman"/>
      <w:b/>
      <w:sz w:val="32"/>
      <w:lang w:bidi="ar-SA"/>
    </w:rPr>
  </w:style>
  <w:style w:type="character" w:customStyle="1" w:styleId="165">
    <w:name w:val="不明显参考1"/>
    <w:autoRedefine/>
    <w:qFormat/>
    <w:uiPriority w:val="0"/>
    <w:rPr>
      <w:rFonts w:ascii="Times New Roman" w:hAnsi="Times New Roman" w:eastAsia="宋体" w:cs="Times New Roman"/>
      <w:smallCaps/>
      <w:color w:val="C0504D"/>
      <w:u w:val="single"/>
    </w:rPr>
  </w:style>
  <w:style w:type="character" w:customStyle="1" w:styleId="166">
    <w:name w:val="标题 1 字符"/>
    <w:link w:val="6"/>
    <w:autoRedefine/>
    <w:qFormat/>
    <w:uiPriority w:val="0"/>
    <w:rPr>
      <w:rFonts w:ascii="Times New Roman" w:hAnsi="Times New Roman" w:eastAsia="宋体" w:cs="Times New Roman"/>
      <w:b/>
      <w:kern w:val="44"/>
      <w:sz w:val="44"/>
      <w:lang w:val="en-US" w:eastAsia="zh-CN" w:bidi="ar-SA"/>
    </w:rPr>
  </w:style>
  <w:style w:type="character" w:customStyle="1" w:styleId="167">
    <w:name w:val="引用 Char1"/>
    <w:autoRedefine/>
    <w:qFormat/>
    <w:uiPriority w:val="0"/>
    <w:rPr>
      <w:rFonts w:ascii="Times New Roman" w:hAnsi="Times New Roman" w:eastAsia="宋体" w:cs="Times New Roman"/>
      <w:i/>
      <w:iCs/>
      <w:color w:val="000000"/>
      <w:kern w:val="2"/>
      <w:sz w:val="21"/>
    </w:rPr>
  </w:style>
  <w:style w:type="character" w:customStyle="1" w:styleId="168">
    <w:name w:val="Char Char13"/>
    <w:autoRedefine/>
    <w:qFormat/>
    <w:uiPriority w:val="0"/>
    <w:rPr>
      <w:rFonts w:ascii="Cambria" w:hAnsi="Cambria" w:eastAsia="宋体" w:cs="Times New Roman"/>
      <w:b/>
      <w:bCs/>
      <w:kern w:val="2"/>
      <w:sz w:val="24"/>
      <w:szCs w:val="24"/>
      <w:lang w:val="en-US" w:eastAsia="zh-CN" w:bidi="ar-SA"/>
    </w:rPr>
  </w:style>
  <w:style w:type="character" w:customStyle="1" w:styleId="169">
    <w:name w:val="页脚 字符"/>
    <w:link w:val="31"/>
    <w:autoRedefine/>
    <w:qFormat/>
    <w:uiPriority w:val="0"/>
    <w:rPr>
      <w:rFonts w:ascii="Times New Roman" w:hAnsi="Times New Roman" w:eastAsia="宋体" w:cs="Times New Roman"/>
      <w:kern w:val="2"/>
      <w:sz w:val="18"/>
      <w:lang w:val="en-US" w:eastAsia="zh-CN" w:bidi="ar-SA"/>
    </w:rPr>
  </w:style>
  <w:style w:type="character" w:customStyle="1" w:styleId="170">
    <w:name w:val="标题 7 字符"/>
    <w:link w:val="12"/>
    <w:autoRedefine/>
    <w:qFormat/>
    <w:uiPriority w:val="0"/>
    <w:rPr>
      <w:rFonts w:ascii="Calibri" w:hAnsi="Calibri" w:eastAsia="宋体" w:cs="Times New Roman"/>
      <w:b/>
      <w:bCs/>
      <w:kern w:val="2"/>
      <w:sz w:val="24"/>
      <w:szCs w:val="24"/>
      <w:lang w:val="en-US" w:eastAsia="zh-CN" w:bidi="ar-SA"/>
    </w:rPr>
  </w:style>
  <w:style w:type="character" w:customStyle="1" w:styleId="171">
    <w:name w:val="书籍标题1"/>
    <w:autoRedefine/>
    <w:qFormat/>
    <w:uiPriority w:val="0"/>
    <w:rPr>
      <w:rFonts w:ascii="Times New Roman" w:hAnsi="Times New Roman" w:eastAsia="宋体" w:cs="Times New Roman"/>
      <w:b/>
      <w:smallCaps/>
      <w:spacing w:val="5"/>
    </w:rPr>
  </w:style>
  <w:style w:type="character" w:customStyle="1" w:styleId="172">
    <w:name w:val="_Style 155"/>
    <w:autoRedefine/>
    <w:qFormat/>
    <w:uiPriority w:val="0"/>
    <w:rPr>
      <w:rFonts w:ascii="Times New Roman" w:hAnsi="Times New Roman" w:eastAsia="宋体" w:cs="Times New Roman"/>
      <w:smallCaps/>
      <w:color w:val="C0504D"/>
      <w:u w:val="single"/>
    </w:rPr>
  </w:style>
  <w:style w:type="character" w:customStyle="1" w:styleId="173">
    <w:name w:val="批注主题 字符"/>
    <w:link w:val="43"/>
    <w:autoRedefine/>
    <w:qFormat/>
    <w:uiPriority w:val="0"/>
    <w:rPr>
      <w:rFonts w:ascii="宋体" w:hAnsi="Times New Roman" w:eastAsia="宋体" w:cs="Times New Roman"/>
      <w:b/>
      <w:sz w:val="28"/>
      <w:lang w:bidi="ar-SA"/>
    </w:rPr>
  </w:style>
  <w:style w:type="character" w:customStyle="1" w:styleId="174">
    <w:name w:val="标题 2 字符"/>
    <w:link w:val="7"/>
    <w:autoRedefine/>
    <w:qFormat/>
    <w:uiPriority w:val="0"/>
    <w:rPr>
      <w:rFonts w:ascii="Arial" w:hAnsi="Arial" w:eastAsia="黑体" w:cs="Times New Roman"/>
      <w:b/>
      <w:kern w:val="2"/>
      <w:sz w:val="32"/>
      <w:lang w:val="en-US" w:eastAsia="zh-CN"/>
    </w:rPr>
  </w:style>
  <w:style w:type="character" w:customStyle="1" w:styleId="175">
    <w:name w:val="Title Char1"/>
    <w:autoRedefine/>
    <w:qFormat/>
    <w:uiPriority w:val="0"/>
    <w:rPr>
      <w:rFonts w:ascii="Cambria" w:hAnsi="Cambria" w:eastAsia="宋体" w:cs="Times New Roman"/>
      <w:b/>
      <w:bCs/>
      <w:sz w:val="32"/>
      <w:szCs w:val="32"/>
    </w:rPr>
  </w:style>
  <w:style w:type="character" w:customStyle="1" w:styleId="176">
    <w:name w:val="textcontents"/>
    <w:autoRedefine/>
    <w:qFormat/>
    <w:uiPriority w:val="0"/>
    <w:rPr>
      <w:rFonts w:ascii="Times New Roman" w:hAnsi="Times New Roman" w:eastAsia="宋体" w:cs="Times New Roman"/>
    </w:rPr>
  </w:style>
  <w:style w:type="character" w:customStyle="1" w:styleId="177">
    <w:name w:val="Intense Quote Char1"/>
    <w:autoRedefine/>
    <w:qFormat/>
    <w:uiPriority w:val="0"/>
    <w:rPr>
      <w:rFonts w:ascii="Times New Roman" w:hAnsi="Times New Roman" w:eastAsia="宋体" w:cs="Times New Roman"/>
      <w:b/>
      <w:bCs/>
      <w:i/>
      <w:iCs/>
      <w:color w:val="4F81BD"/>
    </w:rPr>
  </w:style>
  <w:style w:type="character" w:customStyle="1" w:styleId="178">
    <w:name w:val="_Style 161"/>
    <w:autoRedefine/>
    <w:qFormat/>
    <w:uiPriority w:val="0"/>
    <w:rPr>
      <w:rFonts w:ascii="Times New Roman" w:hAnsi="Times New Roman" w:eastAsia="宋体" w:cs="Times New Roman"/>
      <w:i/>
      <w:iCs/>
      <w:color w:val="808080"/>
    </w:rPr>
  </w:style>
  <w:style w:type="character" w:customStyle="1" w:styleId="179">
    <w:name w:val="标题 6 字符"/>
    <w:link w:val="11"/>
    <w:autoRedefine/>
    <w:qFormat/>
    <w:uiPriority w:val="0"/>
    <w:rPr>
      <w:rFonts w:ascii="Cambria" w:hAnsi="Cambria" w:eastAsia="宋体" w:cs="Times New Roman"/>
      <w:b/>
      <w:bCs/>
      <w:kern w:val="2"/>
      <w:sz w:val="24"/>
      <w:szCs w:val="24"/>
      <w:lang w:val="en-US" w:eastAsia="zh-CN" w:bidi="ar-SA"/>
    </w:rPr>
  </w:style>
  <w:style w:type="table" w:customStyle="1" w:styleId="180">
    <w:name w:val="中等深浅网格 31"/>
    <w:basedOn w:val="46"/>
    <w:autoRedefine/>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firstRow">
      <w:rPr>
        <w:b/>
        <w:bCs/>
        <w:i w:val="0"/>
        <w:iCs w:val="0"/>
        <w:color w:val="FFFFFF"/>
      </w:r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000000"/>
      </w:tcPr>
    </w:tblStylePr>
    <w:tblStylePr w:type="lastRow">
      <w:rPr>
        <w:b/>
        <w:bCs/>
        <w:i w:val="0"/>
        <w:iCs w:val="0"/>
        <w:color w:val="FFFFFF"/>
      </w:r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000000"/>
      </w:tcPr>
    </w:tblStylePr>
    <w:tblStylePr w:type="firstCol">
      <w:rPr>
        <w:b/>
        <w:bCs/>
        <w:i w:val="0"/>
        <w:iCs w:val="0"/>
        <w:color w:val="FFFFFF"/>
      </w:rPr>
      <w:tcPr>
        <w:tcBorders>
          <w:top w:val="nil"/>
          <w:left w:val="nil"/>
          <w:bottom w:val="single" w:color="CCE8CF" w:sz="8" w:space="0"/>
          <w:right w:val="single" w:color="CCE8CF" w:sz="24" w:space="0"/>
          <w:insideH w:val="nil"/>
          <w:insideV w:val="nil"/>
          <w:tl2br w:val="nil"/>
          <w:tr2bl w:val="nil"/>
        </w:tcBorders>
        <w:shd w:val="clear" w:color="auto" w:fill="000000"/>
      </w:tcPr>
    </w:tblStylePr>
    <w:tblStylePr w:type="lastCol">
      <w:rPr>
        <w:b/>
        <w:bCs/>
        <w:i w:val="0"/>
        <w:iCs w:val="0"/>
        <w:color w:val="FFFFFF"/>
      </w:rPr>
      <w:tcPr>
        <w:tcBorders>
          <w:top w:val="nil"/>
          <w:left w:val="nil"/>
          <w:bottom w:val="single" w:color="CCE8CF" w:sz="24" w:space="0"/>
          <w:right w:val="nil"/>
          <w:insideH w:val="nil"/>
          <w:insideV w:val="nil"/>
          <w:tl2br w:val="nil"/>
          <w:tr2bl w:val="nil"/>
        </w:tcBorders>
        <w:shd w:val="clear" w:color="auto" w:fill="000000"/>
      </w:tcPr>
    </w:tblStylePr>
    <w:tblStylePr w:type="band1Vert">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80808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808080"/>
      </w:tcPr>
    </w:tblStylePr>
  </w:style>
  <w:style w:type="paragraph" w:customStyle="1" w:styleId="181">
    <w:name w:val="Char1 Char Char Char1"/>
    <w:basedOn w:val="1"/>
    <w:autoRedefine/>
    <w:qFormat/>
    <w:uiPriority w:val="0"/>
  </w:style>
  <w:style w:type="paragraph" w:customStyle="1" w:styleId="182">
    <w:name w:val="Char1 Char Char Char2"/>
    <w:basedOn w:val="1"/>
    <w:autoRedefine/>
    <w:qFormat/>
    <w:uiPriority w:val="0"/>
  </w:style>
  <w:style w:type="character" w:customStyle="1" w:styleId="183">
    <w:name w:val="NormalCharacter"/>
    <w:autoRedefine/>
    <w:qFormat/>
    <w:uiPriority w:val="0"/>
  </w:style>
  <w:style w:type="paragraph" w:customStyle="1" w:styleId="184">
    <w:name w:val="Other|1"/>
    <w:basedOn w:val="1"/>
    <w:autoRedefine/>
    <w:qFormat/>
    <w:uiPriority w:val="0"/>
    <w:pPr>
      <w:spacing w:line="466" w:lineRule="auto"/>
      <w:ind w:firstLine="360"/>
    </w:pPr>
    <w:rPr>
      <w:rFonts w:ascii="宋体" w:hAnsi="宋体" w:cs="宋体"/>
      <w:sz w:val="20"/>
      <w:lang w:val="zh-TW" w:eastAsia="zh-TW" w:bidi="zh-TW"/>
    </w:rPr>
  </w:style>
  <w:style w:type="paragraph" w:customStyle="1" w:styleId="185">
    <w:name w:val="UserStyle_86"/>
    <w:autoRedefine/>
    <w:qFormat/>
    <w:uiPriority w:val="0"/>
    <w:rPr>
      <w:rFonts w:ascii="宋体" w:hAnsi="Calibri" w:eastAsia="宋体" w:cs="Times New Roman"/>
      <w:color w:val="000000"/>
      <w:sz w:val="24"/>
      <w:lang w:val="en-US" w:eastAsia="zh-CN" w:bidi="ar-SA"/>
    </w:rPr>
  </w:style>
  <w:style w:type="paragraph" w:customStyle="1" w:styleId="186">
    <w:name w:val="Body text|1"/>
    <w:basedOn w:val="1"/>
    <w:autoRedefine/>
    <w:qFormat/>
    <w:uiPriority w:val="0"/>
    <w:pPr>
      <w:spacing w:line="466" w:lineRule="auto"/>
      <w:ind w:firstLine="360"/>
    </w:pPr>
    <w:rPr>
      <w:rFonts w:ascii="宋体" w:hAnsi="宋体" w:cs="宋体"/>
      <w:sz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40" textRotate="1"/>
    <customShpInfo spid="_x0000_s1041" textRotate="1"/>
    <customShpInfo spid="_x0000_s1042" textRotate="1"/>
    <customShpInfo spid="_x0000_s1043" textRotate="1"/>
    <customShpInfo spid="_x0000_s1031"/>
    <customShpInfo spid="_x0000_s2050"/>
    <customShpInfo spid="_x0000_s2052"/>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110</Pages>
  <Words>41819</Words>
  <Characters>45011</Characters>
  <Lines>403</Lines>
  <Paragraphs>113</Paragraphs>
  <TotalTime>3</TotalTime>
  <ScaleCrop>false</ScaleCrop>
  <LinksUpToDate>false</LinksUpToDate>
  <CharactersWithSpaces>50580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2021-06-22T02:22:00Z</dcterms:created>
  <dc:creator>微软用户</dc:creator>
  <cp:lastModifiedBy>渐近线</cp:lastModifiedBy>
  <cp:lastPrinted>2024-05-20T03:09:00Z</cp:lastPrinted>
  <dcterms:modified xsi:type="dcterms:W3CDTF">2024-05-20T03:38:51Z</dcterms:modified>
  <dc:title>附件二：</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FBD67C6C78E34A96B89CDF90594DFF37</vt:lpwstr>
  </property>
</Properties>
</file>