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3"/>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2"/>
        <w:rPr>
          <w:rStyle w:val="69"/>
          <w:rFonts w:hint="eastAsia" w:ascii="宋体" w:hAnsi="宋体" w:eastAsia="宋体" w:cs="宋体"/>
          <w:b/>
          <w:color w:val="auto"/>
          <w:sz w:val="28"/>
          <w:szCs w:val="28"/>
          <w:highlight w:val="none"/>
        </w:rPr>
      </w:pPr>
    </w:p>
    <w:p>
      <w:pPr>
        <w:pStyle w:val="5"/>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正政竞谈【2024】082号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正阳县永兴镇人民政府2024年农业社会化服务项目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正阳县永兴镇人民政府</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河南诺信工程咨询有限公司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5</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3"/>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30569"/>
    </w:p>
    <w:p>
      <w:pPr>
        <w:shd w:val="clear" w:color="auto" w:fill="FFFFFF"/>
        <w:snapToGrid w:val="0"/>
        <w:jc w:val="center"/>
        <w:outlineLvl w:val="0"/>
        <w:rPr>
          <w:rStyle w:val="23"/>
          <w:rFonts w:hint="eastAsia" w:ascii="宋体" w:hAnsi="宋体" w:eastAsia="宋体" w:cs="宋体"/>
          <w:b/>
          <w:bCs/>
          <w:color w:val="auto"/>
          <w:kern w:val="0"/>
          <w:sz w:val="36"/>
          <w:szCs w:val="36"/>
          <w:highlight w:val="none"/>
        </w:rPr>
      </w:pPr>
      <w:r>
        <w:rPr>
          <w:rStyle w:val="23"/>
          <w:rFonts w:hint="eastAsia" w:ascii="宋体" w:hAnsi="宋体" w:eastAsia="宋体" w:cs="宋体"/>
          <w:b/>
          <w:bCs/>
          <w:color w:val="auto"/>
          <w:kern w:val="0"/>
          <w:sz w:val="32"/>
          <w:szCs w:val="32"/>
          <w:highlight w:val="none"/>
        </w:rPr>
        <w:t>第一章竞争性谈判公告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项目概况:</w:t>
            </w:r>
            <w:r>
              <w:rPr>
                <w:rStyle w:val="23"/>
                <w:rFonts w:hint="eastAsia" w:ascii="宋体" w:hAnsi="宋体" w:cs="宋体"/>
                <w:color w:val="auto"/>
                <w:kern w:val="0"/>
                <w:sz w:val="24"/>
                <w:szCs w:val="24"/>
                <w:highlight w:val="none"/>
                <w:lang w:eastAsia="zh-CN"/>
              </w:rPr>
              <w:t xml:space="preserve">正阳县永兴镇人民政府2024年农业社会化服务项目 </w:t>
            </w:r>
            <w:r>
              <w:rPr>
                <w:rStyle w:val="23"/>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27</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3"/>
          <w:rFonts w:hint="eastAsia" w:ascii="宋体" w:hAnsi="宋体" w:eastAsia="宋体" w:cs="宋体"/>
          <w:b/>
          <w:bCs/>
          <w:color w:val="auto"/>
          <w:kern w:val="0"/>
          <w:sz w:val="28"/>
          <w:szCs w:val="28"/>
          <w:highlight w:val="none"/>
        </w:rPr>
      </w:pPr>
      <w:r>
        <w:rPr>
          <w:rStyle w:val="23"/>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1、项目编号：</w:t>
      </w:r>
      <w:r>
        <w:rPr>
          <w:rStyle w:val="23"/>
          <w:rFonts w:hint="eastAsia" w:ascii="宋体" w:hAnsi="宋体" w:cs="宋体"/>
          <w:color w:val="auto"/>
          <w:kern w:val="0"/>
          <w:sz w:val="24"/>
          <w:szCs w:val="24"/>
          <w:highlight w:val="none"/>
          <w:lang w:eastAsia="zh-CN"/>
        </w:rPr>
        <w:t>正政竞谈【2024】082号</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2、项目名称：</w:t>
      </w:r>
      <w:r>
        <w:rPr>
          <w:rStyle w:val="23"/>
          <w:rFonts w:hint="eastAsia" w:ascii="宋体" w:hAnsi="宋体" w:cs="宋体"/>
          <w:color w:val="auto"/>
          <w:kern w:val="0"/>
          <w:sz w:val="24"/>
          <w:szCs w:val="24"/>
          <w:highlight w:val="none"/>
          <w:lang w:eastAsia="zh-CN"/>
        </w:rPr>
        <w:t xml:space="preserve">正阳县永兴镇人民政府2024年农业社会化服务项目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4、预算金额:</w:t>
      </w:r>
      <w:r>
        <w:rPr>
          <w:rStyle w:val="23"/>
          <w:rFonts w:hint="eastAsia" w:ascii="宋体" w:hAnsi="宋体" w:cs="宋体"/>
          <w:color w:val="auto"/>
          <w:kern w:val="0"/>
          <w:sz w:val="24"/>
          <w:szCs w:val="24"/>
          <w:highlight w:val="none"/>
          <w:lang w:eastAsia="zh-CN"/>
        </w:rPr>
        <w:t>350000.00</w:t>
      </w:r>
      <w:r>
        <w:rPr>
          <w:rStyle w:val="23"/>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最高限价：</w:t>
      </w:r>
      <w:r>
        <w:rPr>
          <w:rStyle w:val="23"/>
          <w:rFonts w:hint="eastAsia" w:ascii="宋体" w:hAnsi="宋体" w:cs="宋体"/>
          <w:color w:val="auto"/>
          <w:kern w:val="0"/>
          <w:sz w:val="24"/>
          <w:szCs w:val="24"/>
          <w:highlight w:val="none"/>
          <w:lang w:val="en-US" w:eastAsia="zh-CN"/>
        </w:rPr>
        <w:t>350000.00</w:t>
      </w:r>
      <w:r>
        <w:rPr>
          <w:rStyle w:val="23"/>
          <w:rFonts w:hint="eastAsia" w:ascii="宋体" w:hAnsi="宋体" w:eastAsia="宋体" w:cs="宋体"/>
          <w:color w:val="auto"/>
          <w:kern w:val="0"/>
          <w:sz w:val="24"/>
          <w:szCs w:val="24"/>
          <w:highlight w:val="none"/>
        </w:rPr>
        <w:t>元。</w:t>
      </w:r>
    </w:p>
    <w:tbl>
      <w:tblPr>
        <w:tblStyle w:val="1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9"/>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9"/>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 xml:space="preserve">正阳县永兴镇人民政府2024年农业社会化服务项目 </w:t>
            </w:r>
          </w:p>
        </w:tc>
        <w:tc>
          <w:tcPr>
            <w:tcW w:w="1344"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350000.00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350000.00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eastAsia="zh-CN"/>
              </w:rPr>
              <w:t>350000.00</w:t>
            </w:r>
          </w:p>
        </w:tc>
      </w:tr>
    </w:tbl>
    <w:p>
      <w:pPr>
        <w:snapToGrid w:val="0"/>
        <w:spacing w:line="360" w:lineRule="auto"/>
        <w:ind w:firstLine="252" w:firstLineChars="1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5、采购需求：</w:t>
      </w:r>
      <w:r>
        <w:rPr>
          <w:rStyle w:val="23"/>
          <w:rFonts w:hint="eastAsia" w:ascii="宋体" w:hAnsi="宋体" w:cs="宋体"/>
          <w:color w:val="auto"/>
          <w:kern w:val="0"/>
          <w:sz w:val="24"/>
          <w:szCs w:val="24"/>
          <w:highlight w:val="none"/>
          <w:lang w:eastAsia="zh-CN"/>
        </w:rPr>
        <w:t>小麦种植前深翻加旋耕环节，</w:t>
      </w:r>
      <w:r>
        <w:rPr>
          <w:rStyle w:val="23"/>
          <w:rFonts w:hint="eastAsia" w:ascii="宋体" w:hAnsi="宋体" w:cs="宋体"/>
          <w:color w:val="auto"/>
          <w:kern w:val="0"/>
          <w:sz w:val="24"/>
          <w:szCs w:val="24"/>
          <w:highlight w:val="none"/>
          <w:lang w:val="en-US" w:eastAsia="zh-CN"/>
        </w:rPr>
        <w:t>具体要求详</w:t>
      </w:r>
      <w:r>
        <w:rPr>
          <w:rStyle w:val="23"/>
          <w:rFonts w:hint="eastAsia" w:ascii="宋体" w:hAnsi="宋体" w:eastAsia="宋体" w:cs="宋体"/>
          <w:color w:val="auto"/>
          <w:kern w:val="0"/>
          <w:sz w:val="24"/>
          <w:szCs w:val="24"/>
          <w:highlight w:val="none"/>
          <w:lang w:val="en-US" w:eastAsia="zh-CN"/>
        </w:rPr>
        <w:t>见采购文件第二章采购需求。</w:t>
      </w:r>
    </w:p>
    <w:p>
      <w:pPr>
        <w:pStyle w:val="18"/>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w:t>
      </w:r>
      <w:r>
        <w:rPr>
          <w:rStyle w:val="23"/>
          <w:rFonts w:hint="eastAsia" w:ascii="宋体" w:hAnsi="宋体" w:cs="宋体"/>
          <w:color w:val="auto"/>
          <w:kern w:val="0"/>
          <w:sz w:val="24"/>
          <w:szCs w:val="24"/>
          <w:highlight w:val="none"/>
          <w:lang w:val="en-US" w:eastAsia="zh-CN"/>
        </w:rPr>
        <w:t>详</w:t>
      </w:r>
      <w:r>
        <w:rPr>
          <w:rStyle w:val="23"/>
          <w:rFonts w:hint="eastAsia" w:ascii="宋体" w:hAnsi="宋体" w:eastAsia="宋体" w:cs="宋体"/>
          <w:color w:val="auto"/>
          <w:kern w:val="0"/>
          <w:sz w:val="24"/>
          <w:szCs w:val="24"/>
          <w:highlight w:val="none"/>
          <w:lang w:val="en-US" w:eastAsia="zh-CN"/>
        </w:rPr>
        <w:t>见采购文件第二章采购需求</w:t>
      </w:r>
      <w:r>
        <w:rPr>
          <w:rFonts w:hint="eastAsia" w:ascii="宋体" w:hAnsi="宋体" w:eastAsia="宋体" w:cs="宋体"/>
          <w:b w:val="0"/>
          <w:color w:val="auto"/>
          <w:sz w:val="24"/>
          <w:szCs w:val="24"/>
          <w:lang w:val="en-US" w:eastAsia="zh-CN"/>
        </w:rPr>
        <w:t>；</w:t>
      </w:r>
    </w:p>
    <w:p>
      <w:pPr>
        <w:pStyle w:val="18"/>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8"/>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8"/>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Times New Roman"/>
          <w:snapToGrid/>
          <w:color w:val="auto"/>
          <w:spacing w:val="0"/>
          <w:w w:val="100"/>
          <w:kern w:val="2"/>
          <w:position w:val="0"/>
          <w:sz w:val="24"/>
          <w:szCs w:val="24"/>
          <w:lang w:eastAsia="zh-CN"/>
        </w:rPr>
      </w:pPr>
      <w:r>
        <w:rPr>
          <w:rFonts w:hint="eastAsia" w:ascii="宋体" w:hAnsi="宋体" w:cs="Times New Roman"/>
          <w:snapToGrid/>
          <w:color w:val="auto"/>
          <w:spacing w:val="0"/>
          <w:w w:val="100"/>
          <w:kern w:val="2"/>
          <w:position w:val="0"/>
          <w:sz w:val="24"/>
          <w:szCs w:val="24"/>
          <w:lang w:val="en-US" w:eastAsia="zh-CN"/>
        </w:rPr>
        <w:t>3.1</w:t>
      </w:r>
      <w:r>
        <w:rPr>
          <w:rFonts w:hint="eastAsia" w:ascii="宋体" w:hAnsi="宋体" w:eastAsia="宋体" w:cs="Times New Roman"/>
          <w:snapToGrid/>
          <w:color w:val="auto"/>
          <w:spacing w:val="0"/>
          <w:w w:val="100"/>
          <w:kern w:val="2"/>
          <w:position w:val="0"/>
          <w:sz w:val="24"/>
          <w:szCs w:val="24"/>
          <w:lang w:eastAsia="zh-CN"/>
        </w:rPr>
        <w:t>承担项目的实施主体为依法注册的农业生产社会化服务组织，包括村股份经济合作社、家庭农场、农业种植合作社、农机专业合作社、农业生产社会化服务公司等各类农业社会化服务经营主体（提供营业执照或经营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宋体" w:hAnsi="宋体" w:eastAsia="宋体" w:cs="Times New Roman"/>
          <w:snapToGrid/>
          <w:color w:val="auto"/>
          <w:spacing w:val="0"/>
          <w:w w:val="100"/>
          <w:kern w:val="2"/>
          <w:position w:val="0"/>
          <w:sz w:val="24"/>
          <w:szCs w:val="24"/>
          <w:lang w:val="en-US" w:eastAsia="zh-CN"/>
        </w:rPr>
      </w:pPr>
      <w:r>
        <w:rPr>
          <w:rFonts w:hint="eastAsia" w:ascii="宋体" w:hAnsi="宋体" w:eastAsia="宋体" w:cs="Times New Roman"/>
          <w:snapToGrid/>
          <w:color w:val="auto"/>
          <w:spacing w:val="0"/>
          <w:w w:val="100"/>
          <w:kern w:val="2"/>
          <w:position w:val="0"/>
          <w:sz w:val="24"/>
          <w:szCs w:val="24"/>
          <w:lang w:val="en-US" w:eastAsia="zh-CN"/>
        </w:rPr>
        <w:t>3.2</w:t>
      </w:r>
      <w:r>
        <w:rPr>
          <w:rFonts w:hint="eastAsia" w:ascii="宋体" w:hAnsi="宋体" w:eastAsia="宋体" w:cs="Times New Roman"/>
          <w:snapToGrid/>
          <w:color w:val="auto"/>
          <w:spacing w:val="0"/>
          <w:w w:val="100"/>
          <w:kern w:val="2"/>
          <w:position w:val="0"/>
          <w:sz w:val="24"/>
          <w:szCs w:val="24"/>
          <w:lang w:eastAsia="zh-CN"/>
        </w:rPr>
        <w:t>供应商需提供</w:t>
      </w:r>
      <w:r>
        <w:rPr>
          <w:rFonts w:hint="eastAsia" w:ascii="宋体" w:hAnsi="宋体" w:eastAsia="宋体" w:cs="Times New Roman"/>
          <w:snapToGrid/>
          <w:color w:val="auto"/>
          <w:spacing w:val="0"/>
          <w:w w:val="100"/>
          <w:kern w:val="2"/>
          <w:position w:val="0"/>
          <w:sz w:val="24"/>
          <w:szCs w:val="24"/>
          <w:lang w:val="en-US" w:eastAsia="zh-CN"/>
        </w:rPr>
        <w:t>8</w:t>
      </w:r>
      <w:r>
        <w:rPr>
          <w:rFonts w:hint="eastAsia" w:ascii="宋体" w:hAnsi="宋体" w:eastAsia="宋体" w:cs="Times New Roman"/>
          <w:snapToGrid/>
          <w:color w:val="auto"/>
          <w:spacing w:val="0"/>
          <w:w w:val="100"/>
          <w:kern w:val="2"/>
          <w:position w:val="0"/>
          <w:sz w:val="24"/>
          <w:szCs w:val="24"/>
          <w:lang w:eastAsia="zh-CN"/>
        </w:rPr>
        <w:t>台及以上1204型及以上的拖拉机</w:t>
      </w:r>
      <w:r>
        <w:rPr>
          <w:rFonts w:hint="eastAsia" w:ascii="宋体" w:hAnsi="宋体" w:eastAsia="宋体" w:cs="Times New Roman"/>
          <w:snapToGrid/>
          <w:color w:val="auto"/>
          <w:spacing w:val="0"/>
          <w:w w:val="100"/>
          <w:kern w:val="2"/>
          <w:position w:val="0"/>
          <w:sz w:val="24"/>
          <w:szCs w:val="24"/>
          <w:lang w:val="en-US" w:eastAsia="zh-CN"/>
        </w:rPr>
        <w:t>及</w:t>
      </w:r>
      <w:r>
        <w:rPr>
          <w:rFonts w:hint="eastAsia" w:ascii="宋体" w:hAnsi="宋体" w:eastAsia="宋体" w:cs="Times New Roman"/>
          <w:snapToGrid/>
          <w:color w:val="auto"/>
          <w:spacing w:val="0"/>
          <w:w w:val="100"/>
          <w:kern w:val="2"/>
          <w:position w:val="0"/>
          <w:sz w:val="24"/>
          <w:szCs w:val="24"/>
          <w:lang w:eastAsia="zh-CN"/>
        </w:rPr>
        <w:t>配套旋耕机（拖拉机应提供有效的行驶证），必须为年检合格车辆，每台拖拉机提供至少一名驾驶员驾驶证。</w:t>
      </w:r>
    </w:p>
    <w:p>
      <w:pPr>
        <w:pStyle w:val="87"/>
        <w:snapToGrid w:val="0"/>
        <w:spacing w:line="360" w:lineRule="auto"/>
        <w:rPr>
          <w:rStyle w:val="23"/>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22</w:t>
      </w:r>
      <w:r>
        <w:rPr>
          <w:rStyle w:val="23"/>
          <w:rFonts w:hint="eastAsia" w:ascii="宋体" w:hAnsi="宋体" w:eastAsia="宋体" w:cs="宋体"/>
          <w:color w:val="auto"/>
          <w:kern w:val="0"/>
          <w:sz w:val="24"/>
          <w:szCs w:val="24"/>
          <w:highlight w:val="none"/>
        </w:rPr>
        <w:t>日至202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日，每天上午08:00至12:00，下午12:00至</w:t>
      </w:r>
      <w:r>
        <w:rPr>
          <w:rStyle w:val="23"/>
          <w:rFonts w:hint="eastAsia" w:ascii="宋体" w:hAnsi="宋体" w:cs="宋体"/>
          <w:color w:val="auto"/>
          <w:kern w:val="0"/>
          <w:sz w:val="24"/>
          <w:szCs w:val="24"/>
          <w:highlight w:val="none"/>
          <w:lang w:val="en-US" w:eastAsia="zh-CN"/>
        </w:rPr>
        <w:t>18</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4、售价：0元</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1、截止时间：202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27</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3"/>
          <w:rFonts w:hint="eastAsia" w:ascii="宋体" w:hAnsi="宋体" w:eastAsia="宋体" w:cs="宋体"/>
          <w:color w:val="auto"/>
          <w:kern w:val="0"/>
          <w:sz w:val="22"/>
          <w:szCs w:val="22"/>
          <w:highlight w:val="none"/>
        </w:rPr>
      </w:pPr>
      <w:r>
        <w:rPr>
          <w:rStyle w:val="23"/>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27</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2、地点：正阳县公共资源交易中心不见面开标</w:t>
      </w:r>
      <w:r>
        <w:rPr>
          <w:rStyle w:val="23"/>
          <w:rFonts w:hint="eastAsia" w:ascii="宋体" w:hAnsi="宋体" w:cs="宋体"/>
          <w:color w:val="auto"/>
          <w:kern w:val="0"/>
          <w:sz w:val="24"/>
          <w:szCs w:val="24"/>
          <w:highlight w:val="none"/>
          <w:lang w:val="en-US" w:eastAsia="zh-CN"/>
        </w:rPr>
        <w:t>二</w:t>
      </w:r>
      <w:r>
        <w:rPr>
          <w:rStyle w:val="23"/>
          <w:rFonts w:hint="eastAsia" w:ascii="宋体" w:hAnsi="宋体" w:eastAsia="宋体" w:cs="宋体"/>
          <w:color w:val="auto"/>
          <w:kern w:val="0"/>
          <w:sz w:val="24"/>
          <w:szCs w:val="24"/>
          <w:highlight w:val="none"/>
        </w:rPr>
        <w:t>室。</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w:t>
      </w:r>
      <w:r>
        <w:rPr>
          <w:rFonts w:hint="eastAsia" w:ascii="宋体" w:hAnsi="宋体" w:cs="宋体"/>
          <w:color w:val="auto"/>
          <w:kern w:val="2"/>
          <w:sz w:val="24"/>
          <w:szCs w:val="24"/>
          <w:highlight w:val="none"/>
          <w:shd w:val="clear" w:color="auto" w:fill="FFFFFF"/>
          <w:lang w:val="en-US" w:eastAsia="zh-CN" w:bidi="ar"/>
        </w:rPr>
        <w:t>、</w:t>
      </w:r>
      <w:r>
        <w:rPr>
          <w:rFonts w:hint="eastAsia" w:ascii="宋体" w:hAnsi="宋体" w:eastAsia="宋体" w:cs="宋体"/>
          <w:color w:val="auto"/>
          <w:kern w:val="2"/>
          <w:sz w:val="24"/>
          <w:szCs w:val="24"/>
          <w:highlight w:val="none"/>
          <w:shd w:val="clear" w:color="auto" w:fill="FFFFFF"/>
          <w:lang w:val="en-US" w:eastAsia="zh-CN" w:bidi="ar"/>
        </w:rPr>
        <w:t xml:space="preserve">《驻马店市公共资源交易中心网站》上发布， 招标公告期限为三个工作日 。 </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bookmarkStart w:id="1" w:name="_Toc9892"/>
      <w:r>
        <w:rPr>
          <w:rStyle w:val="23"/>
          <w:rFonts w:hint="eastAsia" w:ascii="宋体" w:hAnsi="宋体" w:eastAsia="宋体" w:cs="宋体"/>
          <w:color w:val="auto"/>
          <w:kern w:val="0"/>
          <w:sz w:val="24"/>
          <w:szCs w:val="24"/>
          <w:highlight w:val="none"/>
        </w:rPr>
        <w:t>1. 采购人信息</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名称：正阳县永兴镇人民政府</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地址：正阳县永兴镇</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联系人：张先生</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联系方式：13603493721</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2.采购代理机构信息（如有）</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名称：河南诺信工程咨询有限公司</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地址：驻马店市西平县盆尧乡盆尧镇政府门面房216室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联系人：杨经理</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联系方式：17839603231</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3.项目联系方式</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项目联系人：张先生</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联系方式：136034937</w:t>
      </w:r>
      <w:r>
        <w:rPr>
          <w:rStyle w:val="23"/>
          <w:rFonts w:hint="eastAsia" w:ascii="宋体" w:hAnsi="宋体" w:cs="宋体"/>
          <w:color w:val="auto"/>
          <w:kern w:val="0"/>
          <w:sz w:val="24"/>
          <w:szCs w:val="24"/>
          <w:highlight w:val="none"/>
          <w:lang w:val="en-US" w:eastAsia="zh-CN"/>
        </w:rPr>
        <w:t>21</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3"/>
          <w:rFonts w:hint="eastAsia" w:ascii="宋体" w:hAnsi="宋体" w:eastAsia="宋体" w:cs="宋体"/>
          <w:b/>
          <w:bCs/>
          <w:color w:val="auto"/>
          <w:kern w:val="0"/>
          <w:sz w:val="32"/>
          <w:szCs w:val="32"/>
          <w:highlight w:val="none"/>
        </w:rPr>
        <w:t>第二章 采购需求</w:t>
      </w:r>
      <w:bookmarkEnd w:id="1"/>
    </w:p>
    <w:p>
      <w:pPr>
        <w:keepNext w:val="0"/>
        <w:keepLines w:val="0"/>
        <w:pageBreakBefore w:val="0"/>
        <w:widowControl w:val="0"/>
        <w:kinsoku/>
        <w:wordWrap/>
        <w:overflowPunct/>
        <w:topLinePunct w:val="0"/>
        <w:autoSpaceDE/>
        <w:autoSpaceDN w:val="0"/>
        <w:bidi w:val="0"/>
        <w:adjustRightInd/>
        <w:snapToGrid/>
        <w:spacing w:line="480" w:lineRule="exact"/>
        <w:ind w:firstLine="442" w:firstLineChars="200"/>
        <w:textAlignment w:val="auto"/>
        <w:rPr>
          <w:rFonts w:hint="eastAsia" w:ascii="宋体" w:hAnsi="宋体" w:eastAsia="宋体" w:cs="Times New Roman"/>
          <w:color w:val="auto"/>
          <w:sz w:val="24"/>
          <w:szCs w:val="24"/>
          <w:lang w:val="zh-CN" w:eastAsia="zh-CN"/>
        </w:rPr>
      </w:pPr>
      <w:bookmarkStart w:id="2" w:name="_Toc29777"/>
      <w:r>
        <w:rPr>
          <w:rFonts w:hint="eastAsia"/>
          <w:b/>
          <w:bCs/>
          <w:color w:val="auto"/>
          <w:sz w:val="22"/>
          <w:szCs w:val="32"/>
        </w:rPr>
        <w:t>一、采购需求</w:t>
      </w:r>
      <w:r>
        <w:rPr>
          <w:rStyle w:val="23"/>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r>
        <w:rPr>
          <w:rFonts w:hint="eastAsia" w:ascii="宋体" w:hAnsi="宋体" w:eastAsia="宋体" w:cs="Times New Roman"/>
          <w:color w:val="auto"/>
          <w:sz w:val="24"/>
          <w:szCs w:val="24"/>
          <w:lang w:val="zh-CN" w:eastAsia="zh-CN"/>
        </w:rPr>
        <w:t xml:space="preserve"> </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项目概况：根据《河南省财政厅河南省农业农村厅关于提前下达2024年中央财政农业相关转移支付资金的通知》（豫财农水[2023]100号）和《</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县人民政府关于印发</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县2024年农业社会化服务项目实施方案的通知》（</w:t>
      </w:r>
      <w:r>
        <w:rPr>
          <w:rFonts w:hint="eastAsia" w:ascii="宋体" w:hAnsi="宋体" w:cs="Times New Roman"/>
          <w:color w:val="auto"/>
          <w:sz w:val="24"/>
          <w:szCs w:val="24"/>
          <w:lang w:val="en-US" w:eastAsia="zh-CN"/>
        </w:rPr>
        <w:t>正</w:t>
      </w:r>
      <w:r>
        <w:rPr>
          <w:rFonts w:hint="eastAsia" w:ascii="宋体" w:hAnsi="宋体" w:eastAsia="宋体" w:cs="Times New Roman"/>
          <w:color w:val="auto"/>
          <w:sz w:val="24"/>
          <w:szCs w:val="24"/>
          <w:lang w:val="en-US" w:eastAsia="zh-CN"/>
        </w:rPr>
        <w:t>政文[2024]</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号）文件精神，</w:t>
      </w:r>
      <w:r>
        <w:rPr>
          <w:rFonts w:hint="eastAsia" w:ascii="宋体" w:hAnsi="宋体" w:cs="宋体"/>
          <w:b w:val="0"/>
          <w:bCs w:val="0"/>
          <w:color w:val="auto"/>
          <w:kern w:val="0"/>
          <w:sz w:val="24"/>
          <w:lang w:val="en-US" w:eastAsia="zh-CN"/>
        </w:rPr>
        <w:t>现需</w:t>
      </w:r>
      <w:r>
        <w:rPr>
          <w:rFonts w:hint="eastAsia" w:ascii="宋体" w:hAnsi="宋体" w:eastAsia="宋体" w:cs="Times New Roman"/>
          <w:color w:val="auto"/>
          <w:sz w:val="24"/>
          <w:szCs w:val="24"/>
          <w:lang w:val="en-US" w:eastAsia="zh-CN"/>
        </w:rPr>
        <w:t>采购农田作业服务组织。</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（二）项目补贴</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补助方式:采用“先服务后补贴”的补助方式；中标的服务组织与项目实施区域服务对象签订服务合同，根据实际完成服务面积对服务组织进行补助，补助资金最终不超过中标价格。</w:t>
      </w:r>
    </w:p>
    <w:p>
      <w:pPr>
        <w:keepNext w:val="0"/>
        <w:keepLines w:val="0"/>
        <w:pageBreakBefore w:val="0"/>
        <w:widowControl w:val="0"/>
        <w:numPr>
          <w:ilvl w:val="0"/>
          <w:numId w:val="1"/>
        </w:numPr>
        <w:kinsoku/>
        <w:wordWrap/>
        <w:overflowPunct/>
        <w:topLinePunct w:val="0"/>
        <w:autoSpaceDE/>
        <w:autoSpaceDN w:val="0"/>
        <w:bidi w:val="0"/>
        <w:adjustRightInd/>
        <w:snapToGrid/>
        <w:spacing w:line="480" w:lineRule="exact"/>
        <w:ind w:firstLine="480" w:firstLineChars="200"/>
        <w:textAlignment w:val="auto"/>
        <w:rPr>
          <w:rFonts w:hint="eastAsia"/>
          <w:color w:val="auto"/>
          <w:kern w:val="0"/>
          <w:sz w:val="24"/>
          <w:shd w:val="clear" w:color="auto" w:fill="auto"/>
          <w:lang w:val="en-US" w:eastAsia="zh-CN"/>
        </w:rPr>
      </w:pPr>
      <w:r>
        <w:rPr>
          <w:rFonts w:hint="eastAsia"/>
          <w:color w:val="auto"/>
          <w:kern w:val="0"/>
          <w:sz w:val="24"/>
          <w:shd w:val="clear" w:color="auto" w:fill="auto"/>
          <w:lang w:val="en-US" w:eastAsia="zh-CN"/>
        </w:rPr>
        <w:t>技术要求</w:t>
      </w:r>
    </w:p>
    <w:tbl>
      <w:tblPr>
        <w:tblStyle w:val="19"/>
        <w:tblW w:w="9497" w:type="dxa"/>
        <w:tblInd w:w="-398" w:type="dxa"/>
        <w:tblLayout w:type="fixed"/>
        <w:tblCellMar>
          <w:top w:w="0" w:type="dxa"/>
          <w:left w:w="0" w:type="dxa"/>
          <w:bottom w:w="0" w:type="dxa"/>
          <w:right w:w="0" w:type="dxa"/>
        </w:tblCellMar>
      </w:tblPr>
      <w:tblGrid>
        <w:gridCol w:w="772"/>
        <w:gridCol w:w="1064"/>
        <w:gridCol w:w="4531"/>
        <w:gridCol w:w="1737"/>
        <w:gridCol w:w="1393"/>
      </w:tblGrid>
      <w:tr>
        <w:tblPrEx>
          <w:tblCellMar>
            <w:top w:w="0" w:type="dxa"/>
            <w:left w:w="0" w:type="dxa"/>
            <w:bottom w:w="0" w:type="dxa"/>
            <w:right w:w="0" w:type="dxa"/>
          </w:tblCellMar>
        </w:tblPrEx>
        <w:trPr>
          <w:trHeight w:val="969" w:hRule="atLeast"/>
        </w:trPr>
        <w:tc>
          <w:tcPr>
            <w:tcW w:w="7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序号</w:t>
            </w: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4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3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3883" w:hRule="atLeast"/>
        </w:trPr>
        <w:tc>
          <w:tcPr>
            <w:tcW w:w="7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小麦种植前深翻加旋耕环节</w:t>
            </w:r>
          </w:p>
        </w:tc>
        <w:tc>
          <w:tcPr>
            <w:tcW w:w="4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1、小麦种植深翻作业标准。耕深在25cm以上，打破犁底层，耕作均匀无漏耕现象，达到疏松土壤，加深耕作层，增强土壤蓄水保肥能力。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2、小麦种植旋耕作业标准。通过旋耕，麦田整地达到平、齐、碎、净、实等标准，确保苗齐、苗匀、苗壮，为小麦优质高产奠定基础。</w:t>
            </w:r>
          </w:p>
        </w:tc>
        <w:tc>
          <w:tcPr>
            <w:tcW w:w="1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30元</w:t>
            </w:r>
            <w:r>
              <w:rPr>
                <w:rFonts w:hint="eastAsia" w:ascii="宋体" w:hAnsi="宋体" w:eastAsia="宋体" w:cs="宋体"/>
                <w:b w:val="0"/>
                <w:color w:val="auto"/>
                <w:kern w:val="0"/>
                <w:sz w:val="22"/>
                <w:szCs w:val="22"/>
                <w:lang w:val="en-US" w:eastAsia="zh-CN" w:bidi="ar"/>
              </w:rPr>
              <w:t>/亩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both"/>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注：本项目最高限价为政府补贴资金每亩单价。</w:t>
            </w:r>
          </w:p>
        </w:tc>
        <w:tc>
          <w:tcPr>
            <w:tcW w:w="13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350000.00</w:t>
            </w:r>
          </w:p>
          <w:p>
            <w:pPr>
              <w:pStyle w:val="2"/>
              <w:rPr>
                <w:rFonts w:hint="default"/>
                <w:color w:val="auto"/>
                <w:lang w:val="en-US" w:eastAsia="zh-CN"/>
              </w:rPr>
            </w:pPr>
          </w:p>
        </w:tc>
      </w:tr>
    </w:tbl>
    <w:p>
      <w:pPr>
        <w:snapToGrid w:val="0"/>
        <w:spacing w:line="360" w:lineRule="auto"/>
        <w:ind w:firstLine="420" w:firstLineChars="200"/>
        <w:rPr>
          <w:rFonts w:hint="eastAsia" w:ascii="宋体" w:hAnsi="宋体" w:eastAsia="宋体" w:cs="宋体"/>
          <w:color w:val="auto"/>
          <w:highlight w:val="none"/>
          <w:shd w:val="clear" w:color="auto" w:fill="auto"/>
          <w:lang w:val="en-US" w:eastAsia="zh-CN"/>
        </w:rPr>
      </w:pPr>
    </w:p>
    <w:p>
      <w:pPr>
        <w:pStyle w:val="5"/>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pPr w:leftFromText="180" w:rightFromText="180" w:vertAnchor="text" w:horzAnchor="page" w:tblpX="1898" w:tblpY="464"/>
        <w:tblOverlap w:val="never"/>
        <w:tblW w:w="88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7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合同签订</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合同履行期限</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小麦种植前深翻加旋耕环节：2024年9月-11月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服务地点</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正阳县境内，采购人指定地点。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服务标准</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国家标准、行业标准、地区标准等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付款方式</w:t>
            </w:r>
          </w:p>
        </w:tc>
        <w:tc>
          <w:tcPr>
            <w:tcW w:w="73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验收合格并公示无异议后提请县财政部门进行资金兑付合同款。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验收要求</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服务主体完成服务后，服务质量和服务面积确认表在该项目村进行公示，公示无异议后，须所在乡镇、村签字加章，并对其真实性负责，由乡镇出具确认意见，报送县农业农村局备案。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服务质量</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合格，符合采购人要求及相关规范要求；</w:t>
            </w:r>
          </w:p>
        </w:tc>
      </w:tr>
    </w:tbl>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pStyle w:val="98"/>
        <w:numPr>
          <w:ilvl w:val="0"/>
          <w:numId w:val="0"/>
        </w:numPr>
        <w:rPr>
          <w:rFonts w:hint="eastAsia" w:ascii="宋体" w:hAnsi="宋体" w:cs="宋体"/>
          <w:b/>
          <w:bCs/>
          <w:sz w:val="28"/>
          <w:szCs w:val="28"/>
        </w:rPr>
      </w:pPr>
      <w:r>
        <w:rPr>
          <w:rFonts w:hint="eastAsia" w:ascii="宋体" w:hAnsi="宋体" w:cs="宋体"/>
          <w:b/>
          <w:bCs/>
          <w:sz w:val="28"/>
          <w:szCs w:val="28"/>
          <w:lang w:val="en-US" w:eastAsia="zh-CN"/>
        </w:rPr>
        <w:t>三</w:t>
      </w:r>
      <w:r>
        <w:rPr>
          <w:rFonts w:hint="eastAsia" w:ascii="宋体" w:hAnsi="宋体" w:cs="宋体"/>
          <w:b/>
          <w:bCs/>
          <w:sz w:val="28"/>
          <w:szCs w:val="28"/>
        </w:rPr>
        <w:t>、采购人对项目的特殊要求及说明</w:t>
      </w:r>
    </w:p>
    <w:tbl>
      <w:tblPr>
        <w:tblStyle w:val="19"/>
        <w:tblW w:w="8925" w:type="dxa"/>
        <w:tblInd w:w="4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5"/>
        <w:gridCol w:w="74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15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采购人的特殊要求及说明理由</w:t>
            </w:r>
          </w:p>
        </w:tc>
        <w:tc>
          <w:tcPr>
            <w:tcW w:w="741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实施面积利用信息化手段进行监测，深翻作业机械要求安装监测设备。监测数据作为项目实施作业面积的主要依据。需购买并安装相关电子监测设备，接受社会化服务行业管理部门的监管，并且按照项目要求提供所需条件。</w:t>
            </w:r>
          </w:p>
        </w:tc>
      </w:tr>
    </w:tbl>
    <w:p>
      <w:pPr>
        <w:pStyle w:val="98"/>
        <w:tabs>
          <w:tab w:val="left" w:pos="2779"/>
        </w:tabs>
        <w:rPr>
          <w:rFonts w:hint="eastAsia" w:ascii="黑体" w:eastAsia="黑体"/>
          <w:b/>
          <w:bCs/>
          <w:color w:val="auto"/>
          <w:kern w:val="0"/>
          <w:sz w:val="32"/>
          <w:szCs w:val="32"/>
          <w:lang w:val="en-US" w:eastAsia="zh-CN"/>
        </w:rPr>
      </w:pPr>
    </w:p>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shd w:val="clear" w:color="auto" w:fill="FFFFFF"/>
        <w:snapToGrid w:val="0"/>
        <w:spacing w:line="360" w:lineRule="auto"/>
        <w:ind w:firstLine="2666" w:firstLineChars="800"/>
        <w:outlineLvl w:val="0"/>
        <w:rPr>
          <w:rStyle w:val="23"/>
          <w:rFonts w:hint="eastAsia" w:ascii="宋体" w:hAnsi="宋体" w:eastAsia="宋体" w:cs="宋体"/>
          <w:b/>
          <w:bCs/>
          <w:color w:val="auto"/>
          <w:kern w:val="0"/>
          <w:sz w:val="32"/>
          <w:szCs w:val="32"/>
          <w:highlight w:val="none"/>
        </w:rPr>
      </w:pPr>
    </w:p>
    <w:p>
      <w:pPr>
        <w:shd w:val="clear" w:color="auto" w:fill="FFFFFF"/>
        <w:snapToGrid w:val="0"/>
        <w:spacing w:line="360" w:lineRule="auto"/>
        <w:ind w:firstLine="2666" w:firstLineChars="800"/>
        <w:outlineLvl w:val="0"/>
        <w:rPr>
          <w:rStyle w:val="23"/>
          <w:rFonts w:hint="eastAsia" w:ascii="宋体" w:hAnsi="宋体" w:cs="宋体"/>
          <w:b/>
          <w:bCs/>
          <w:color w:val="auto"/>
          <w:kern w:val="0"/>
          <w:sz w:val="32"/>
          <w:szCs w:val="32"/>
          <w:highlight w:val="none"/>
          <w:lang w:val="en-US" w:eastAsia="zh-CN"/>
        </w:rPr>
      </w:pPr>
    </w:p>
    <w:p>
      <w:pPr>
        <w:shd w:val="clear" w:color="auto" w:fill="FFFFFF"/>
        <w:snapToGrid w:val="0"/>
        <w:spacing w:line="360" w:lineRule="auto"/>
        <w:ind w:firstLine="2666" w:firstLineChars="800"/>
        <w:outlineLvl w:val="0"/>
        <w:rPr>
          <w:rStyle w:val="23"/>
          <w:rFonts w:hint="eastAsia" w:ascii="宋体" w:hAnsi="宋体" w:cs="宋体"/>
          <w:b/>
          <w:bCs/>
          <w:color w:val="auto"/>
          <w:kern w:val="0"/>
          <w:sz w:val="32"/>
          <w:szCs w:val="32"/>
          <w:highlight w:val="none"/>
          <w:lang w:val="en-US" w:eastAsia="zh-CN"/>
        </w:rPr>
      </w:pPr>
    </w:p>
    <w:p>
      <w:pPr>
        <w:shd w:val="clear" w:color="auto" w:fill="FFFFFF"/>
        <w:snapToGrid w:val="0"/>
        <w:spacing w:line="360" w:lineRule="auto"/>
        <w:ind w:firstLine="2666" w:firstLineChars="800"/>
        <w:outlineLvl w:val="0"/>
        <w:rPr>
          <w:rStyle w:val="23"/>
          <w:rFonts w:hint="eastAsia" w:ascii="宋体" w:hAnsi="宋体" w:cs="宋体"/>
          <w:b/>
          <w:bCs/>
          <w:color w:val="auto"/>
          <w:kern w:val="0"/>
          <w:sz w:val="32"/>
          <w:szCs w:val="32"/>
          <w:highlight w:val="none"/>
          <w:lang w:val="en-US" w:eastAsia="zh-CN"/>
        </w:rPr>
      </w:pPr>
    </w:p>
    <w:p>
      <w:pPr>
        <w:shd w:val="clear" w:color="auto" w:fill="FFFFFF"/>
        <w:snapToGrid w:val="0"/>
        <w:spacing w:line="360" w:lineRule="auto"/>
        <w:ind w:firstLine="2666" w:firstLineChars="800"/>
        <w:outlineLvl w:val="0"/>
        <w:rPr>
          <w:rStyle w:val="23"/>
          <w:rFonts w:hint="eastAsia" w:ascii="宋体" w:hAnsi="宋体" w:cs="宋体"/>
          <w:b/>
          <w:bCs/>
          <w:color w:val="auto"/>
          <w:kern w:val="0"/>
          <w:sz w:val="32"/>
          <w:szCs w:val="32"/>
          <w:highlight w:val="none"/>
          <w:lang w:val="en-US" w:eastAsia="zh-CN"/>
        </w:rPr>
      </w:pPr>
    </w:p>
    <w:p>
      <w:pPr>
        <w:shd w:val="clear" w:color="auto" w:fill="FFFFFF"/>
        <w:snapToGrid w:val="0"/>
        <w:spacing w:line="360" w:lineRule="auto"/>
        <w:ind w:firstLine="2666" w:firstLineChars="800"/>
        <w:outlineLvl w:val="0"/>
        <w:rPr>
          <w:rStyle w:val="23"/>
          <w:rFonts w:hint="eastAsia" w:ascii="宋体" w:hAnsi="宋体" w:eastAsia="宋体" w:cs="宋体"/>
          <w:color w:val="auto"/>
          <w:kern w:val="0"/>
          <w:szCs w:val="24"/>
          <w:highlight w:val="none"/>
        </w:rPr>
      </w:pPr>
      <w:bookmarkStart w:id="3" w:name="_GoBack"/>
      <w:bookmarkEnd w:id="3"/>
      <w:r>
        <w:rPr>
          <w:rStyle w:val="23"/>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  正阳县永兴镇人民政府2024年农业社会化服务项目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正阳县永兴镇人民政府</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正政竞谈【2024】082号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7"/>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2"/>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30元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35</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val="en-US" w:eastAsia="zh-CN"/>
        </w:rPr>
        <w:t>30</w:t>
      </w:r>
      <w:r>
        <w:rPr>
          <w:rFonts w:hint="eastAsia" w:ascii="宋体" w:hAnsi="宋体" w:cs="宋体"/>
          <w:color w:val="auto"/>
          <w:kern w:val="0"/>
          <w:sz w:val="24"/>
          <w:highlight w:val="none"/>
          <w:shd w:val="clear" w:color="auto" w:fill="auto"/>
          <w:lang w:eastAsia="zh-CN"/>
        </w:rPr>
        <w:t>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35</w:t>
      </w:r>
      <w:r>
        <w:rPr>
          <w:rFonts w:hint="eastAsia" w:ascii="宋体" w:hAnsi="宋体" w:eastAsia="宋体" w:cs="宋体"/>
          <w:color w:val="auto"/>
          <w:kern w:val="0"/>
          <w:sz w:val="24"/>
          <w:highlight w:val="none"/>
          <w:shd w:val="clear" w:color="auto" w:fill="auto"/>
        </w:rPr>
        <w:t>万元</w:t>
      </w:r>
      <w:r>
        <w:rPr>
          <w:rFonts w:hint="eastAsia" w:ascii="宋体" w:hAnsi="宋体" w:eastAsia="宋体" w:cs="宋体"/>
          <w:color w:val="auto"/>
          <w:kern w:val="0"/>
          <w:sz w:val="24"/>
          <w:highlight w:val="none"/>
          <w:shd w:val="clear" w:color="auto" w:fill="auto"/>
          <w:lang w:val="en-US" w:eastAsia="zh-CN"/>
        </w:rPr>
        <w:t>。</w:t>
      </w:r>
    </w:p>
    <w:p>
      <w:pPr>
        <w:pStyle w:val="9"/>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复印件及</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2"/>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30元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2"/>
        <w:rPr>
          <w:rFonts w:hint="default"/>
          <w:color w:val="auto"/>
          <w:lang w:val="en-US"/>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30元.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11"/>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2"/>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2"/>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2"/>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9"/>
        <w:tblW w:w="9899" w:type="dxa"/>
        <w:jc w:val="center"/>
        <w:tblLayout w:type="fixed"/>
        <w:tblCellMar>
          <w:top w:w="0" w:type="dxa"/>
          <w:left w:w="0" w:type="dxa"/>
          <w:bottom w:w="0" w:type="dxa"/>
          <w:right w:w="0" w:type="dxa"/>
        </w:tblCellMar>
      </w:tblPr>
      <w:tblGrid>
        <w:gridCol w:w="33"/>
        <w:gridCol w:w="783"/>
        <w:gridCol w:w="401"/>
        <w:gridCol w:w="783"/>
        <w:gridCol w:w="76"/>
        <w:gridCol w:w="859"/>
        <w:gridCol w:w="249"/>
        <w:gridCol w:w="859"/>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项目名称</w:t>
            </w:r>
          </w:p>
        </w:tc>
        <w:tc>
          <w:tcPr>
            <w:tcW w:w="118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投标报价（三项作业合计单价）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服务内容</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vMerge w:val="restart"/>
            <w:tcBorders>
              <w:top w:val="nil"/>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3"/>
            <w:vMerge w:val="restart"/>
            <w:tcBorders>
              <w:top w:val="nil"/>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vMerge w:val="restart"/>
            <w:tcBorders>
              <w:top w:val="nil"/>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vMerge w:val="continue"/>
            <w:tcBorders>
              <w:left w:val="single" w:color="auto" w:sz="8"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vMerge w:val="continue"/>
            <w:tcBorders>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3"/>
            <w:vMerge w:val="continue"/>
            <w:tcBorders>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vMerge w:val="continue"/>
            <w:tcBorders>
              <w:left w:val="nil"/>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vMerge w:val="continue"/>
            <w:tcBorders>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3"/>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8"/>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1184"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c>
          <w:tcPr>
            <w:tcW w:w="859"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shd w:val="clear" w:color="auto" w:fill="FFFFFF"/>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合同签订</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合同履行期限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服务地点</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b w:val="0"/>
                <w:color w:val="auto"/>
                <w:kern w:val="0"/>
                <w:sz w:val="22"/>
                <w:szCs w:val="22"/>
                <w:lang w:val="en-US" w:eastAsia="zh-CN" w:bidi="ar"/>
              </w:rPr>
              <w:t>验收要求</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b w:val="0"/>
                <w:color w:val="auto"/>
                <w:kern w:val="0"/>
                <w:sz w:val="22"/>
                <w:szCs w:val="22"/>
                <w:lang w:val="en-US" w:eastAsia="zh-CN" w:bidi="ar"/>
              </w:rPr>
              <w:t>服务质量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6"/>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作业方案及售后服务内容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2"/>
        <w:rPr>
          <w:rFonts w:hint="eastAsia" w:ascii="宋体" w:hAnsi="宋体" w:eastAsia="宋体" w:cs="宋体"/>
          <w:color w:val="auto"/>
          <w:kern w:val="0"/>
          <w:sz w:val="24"/>
          <w:highlight w:val="none"/>
          <w:lang w:val="en-US" w:eastAsia="zh-CN"/>
        </w:rPr>
      </w:pPr>
    </w:p>
    <w:p>
      <w:pPr>
        <w:pStyle w:val="5"/>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3"/>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2"/>
        <w:rPr>
          <w:rFonts w:hint="eastAsia" w:ascii="宋体" w:hAnsi="宋体" w:eastAsia="宋体" w:cs="宋体"/>
          <w:b/>
          <w:bCs/>
          <w:color w:val="auto"/>
          <w:kern w:val="0"/>
          <w:sz w:val="24"/>
          <w:highlight w:val="none"/>
          <w:lang w:val="en-US" w:eastAsia="zh-CN"/>
        </w:rPr>
      </w:pPr>
    </w:p>
    <w:p>
      <w:pPr>
        <w:pStyle w:val="5"/>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6"/>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3"/>
          <w:rFonts w:hint="eastAsia" w:ascii="宋体" w:hAnsi="宋体" w:eastAsia="宋体" w:cs="宋体"/>
          <w:color w:val="auto"/>
          <w:sz w:val="21"/>
          <w:szCs w:val="24"/>
          <w:highlight w:val="none"/>
        </w:rPr>
      </w:pPr>
    </w:p>
    <w:sectPr>
      <w:headerReference r:id="rId7" w:type="default"/>
      <w:footerReference r:id="rId8"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69"/>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13"/>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18"/>
                              <w:szCs w:val="18"/>
                            </w:rPr>
                          </w:pPr>
                        </w:p>
                        <w:p>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13"/>
                      <w:rPr>
                        <w:rStyle w:val="23"/>
                        <w:sz w:val="18"/>
                        <w:szCs w:val="18"/>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90"/>
      </w:tabs>
      <w:jc w:val="both"/>
      <w:rPr>
        <w:rStyle w:val="23"/>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18"/>
                              <w:szCs w:val="18"/>
                            </w:rPr>
                          </w:pPr>
                        </w:p>
                        <w:p>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13"/>
                      <w:rPr>
                        <w:rStyle w:val="23"/>
                        <w:sz w:val="18"/>
                        <w:szCs w:val="18"/>
                      </w:rPr>
                    </w:pPr>
                  </w:p>
                  <w:p>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jc w:val="both"/>
                            <w:rPr>
                              <w:rStyle w:val="23"/>
                              <w:sz w:val="18"/>
                              <w:szCs w:val="18"/>
                            </w:rPr>
                          </w:pPr>
                        </w:p>
                        <w:p>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13"/>
                      <w:jc w:val="both"/>
                      <w:rPr>
                        <w:rStyle w:val="23"/>
                        <w:sz w:val="18"/>
                        <w:szCs w:val="18"/>
                      </w:rPr>
                    </w:pPr>
                  </w:p>
                  <w:p>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30AC8"/>
    <w:multiLevelType w:val="singleLevel"/>
    <w:tmpl w:val="A7B30AC8"/>
    <w:lvl w:ilvl="0" w:tentative="0">
      <w:start w:val="3"/>
      <w:numFmt w:val="chineseCounting"/>
      <w:suff w:val="space"/>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151639"/>
    <w:rsid w:val="02B40E52"/>
    <w:rsid w:val="02CD5F02"/>
    <w:rsid w:val="031B217A"/>
    <w:rsid w:val="03B6069E"/>
    <w:rsid w:val="03DF146E"/>
    <w:rsid w:val="04330A4F"/>
    <w:rsid w:val="043C7483"/>
    <w:rsid w:val="04651D30"/>
    <w:rsid w:val="04944115"/>
    <w:rsid w:val="049C2668"/>
    <w:rsid w:val="05446D45"/>
    <w:rsid w:val="054E0935"/>
    <w:rsid w:val="05584034"/>
    <w:rsid w:val="055E50A5"/>
    <w:rsid w:val="056D52E8"/>
    <w:rsid w:val="057D4CB2"/>
    <w:rsid w:val="058243FE"/>
    <w:rsid w:val="05E0611B"/>
    <w:rsid w:val="05F31C91"/>
    <w:rsid w:val="061A75BF"/>
    <w:rsid w:val="06244708"/>
    <w:rsid w:val="06616F79"/>
    <w:rsid w:val="07035F04"/>
    <w:rsid w:val="07133C6D"/>
    <w:rsid w:val="07365B23"/>
    <w:rsid w:val="077A251A"/>
    <w:rsid w:val="080A1514"/>
    <w:rsid w:val="082F0F7A"/>
    <w:rsid w:val="085B3B1D"/>
    <w:rsid w:val="089B2E2D"/>
    <w:rsid w:val="08A12319"/>
    <w:rsid w:val="08CC0514"/>
    <w:rsid w:val="08EE4992"/>
    <w:rsid w:val="095E2469"/>
    <w:rsid w:val="09666C7C"/>
    <w:rsid w:val="09815806"/>
    <w:rsid w:val="098311E3"/>
    <w:rsid w:val="09AD2157"/>
    <w:rsid w:val="09B66351"/>
    <w:rsid w:val="09DE12E6"/>
    <w:rsid w:val="0A110938"/>
    <w:rsid w:val="0A344626"/>
    <w:rsid w:val="0A3C6805"/>
    <w:rsid w:val="0B127835"/>
    <w:rsid w:val="0B771A01"/>
    <w:rsid w:val="0C0544CC"/>
    <w:rsid w:val="0C142961"/>
    <w:rsid w:val="0CBF0B1F"/>
    <w:rsid w:val="0CDF1418"/>
    <w:rsid w:val="0D832218"/>
    <w:rsid w:val="0DC67C8B"/>
    <w:rsid w:val="0DF30354"/>
    <w:rsid w:val="0E9078B8"/>
    <w:rsid w:val="0E9E615E"/>
    <w:rsid w:val="0EF14571"/>
    <w:rsid w:val="0F242028"/>
    <w:rsid w:val="0F2710BF"/>
    <w:rsid w:val="0F2D2E4C"/>
    <w:rsid w:val="0F303D36"/>
    <w:rsid w:val="0F753AE3"/>
    <w:rsid w:val="0F7B6853"/>
    <w:rsid w:val="0FFF1232"/>
    <w:rsid w:val="102E3001"/>
    <w:rsid w:val="10552E8D"/>
    <w:rsid w:val="106A0DA2"/>
    <w:rsid w:val="10F87E29"/>
    <w:rsid w:val="11020FDA"/>
    <w:rsid w:val="11205904"/>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51A70C1"/>
    <w:rsid w:val="15980968"/>
    <w:rsid w:val="15A6041E"/>
    <w:rsid w:val="15CE7F3F"/>
    <w:rsid w:val="1630160C"/>
    <w:rsid w:val="16811107"/>
    <w:rsid w:val="168D2FE0"/>
    <w:rsid w:val="16AC6236"/>
    <w:rsid w:val="16BF34C9"/>
    <w:rsid w:val="171952CF"/>
    <w:rsid w:val="173D1A77"/>
    <w:rsid w:val="177F683F"/>
    <w:rsid w:val="17BF5E77"/>
    <w:rsid w:val="17C35408"/>
    <w:rsid w:val="17E7717C"/>
    <w:rsid w:val="18131D1F"/>
    <w:rsid w:val="18221F62"/>
    <w:rsid w:val="186D68FE"/>
    <w:rsid w:val="18716A45"/>
    <w:rsid w:val="18784278"/>
    <w:rsid w:val="1881789D"/>
    <w:rsid w:val="188B2818"/>
    <w:rsid w:val="18D05E62"/>
    <w:rsid w:val="18D36F63"/>
    <w:rsid w:val="19923117"/>
    <w:rsid w:val="19B6137D"/>
    <w:rsid w:val="19CD03A4"/>
    <w:rsid w:val="1AA6397B"/>
    <w:rsid w:val="1B19589E"/>
    <w:rsid w:val="1B64140C"/>
    <w:rsid w:val="1BC7713A"/>
    <w:rsid w:val="1C206BF9"/>
    <w:rsid w:val="1C907DE2"/>
    <w:rsid w:val="1D0600A4"/>
    <w:rsid w:val="1D594678"/>
    <w:rsid w:val="1D840FC9"/>
    <w:rsid w:val="1DB73C2C"/>
    <w:rsid w:val="1DE6134E"/>
    <w:rsid w:val="1E52460C"/>
    <w:rsid w:val="1E547805"/>
    <w:rsid w:val="1E734234"/>
    <w:rsid w:val="1E9B2A6E"/>
    <w:rsid w:val="1EA609D3"/>
    <w:rsid w:val="1F966B3A"/>
    <w:rsid w:val="1FA31E05"/>
    <w:rsid w:val="1FB95432"/>
    <w:rsid w:val="1FCA0EE7"/>
    <w:rsid w:val="1FD9514B"/>
    <w:rsid w:val="207812B9"/>
    <w:rsid w:val="207D46DD"/>
    <w:rsid w:val="20F3093F"/>
    <w:rsid w:val="21050034"/>
    <w:rsid w:val="211F34E2"/>
    <w:rsid w:val="213C03A9"/>
    <w:rsid w:val="21AD3F16"/>
    <w:rsid w:val="21C448E5"/>
    <w:rsid w:val="21E309B4"/>
    <w:rsid w:val="22A06C47"/>
    <w:rsid w:val="230321FB"/>
    <w:rsid w:val="23AD1279"/>
    <w:rsid w:val="23C61A67"/>
    <w:rsid w:val="251F7F55"/>
    <w:rsid w:val="256B28B3"/>
    <w:rsid w:val="25E76599"/>
    <w:rsid w:val="262A4E03"/>
    <w:rsid w:val="26490E0B"/>
    <w:rsid w:val="265E41EB"/>
    <w:rsid w:val="26C43618"/>
    <w:rsid w:val="270A69E3"/>
    <w:rsid w:val="27294B9C"/>
    <w:rsid w:val="27F4218B"/>
    <w:rsid w:val="27FC2634"/>
    <w:rsid w:val="27FF0DA0"/>
    <w:rsid w:val="28043432"/>
    <w:rsid w:val="28372A0A"/>
    <w:rsid w:val="28DD1C3A"/>
    <w:rsid w:val="29155BB2"/>
    <w:rsid w:val="2927523A"/>
    <w:rsid w:val="295F5795"/>
    <w:rsid w:val="298D2B41"/>
    <w:rsid w:val="2A220CA7"/>
    <w:rsid w:val="2A2C6C70"/>
    <w:rsid w:val="2BA354BA"/>
    <w:rsid w:val="2BBF0A0F"/>
    <w:rsid w:val="2C243EF5"/>
    <w:rsid w:val="2C7546CF"/>
    <w:rsid w:val="2C7A3CC3"/>
    <w:rsid w:val="2C8C11E2"/>
    <w:rsid w:val="2CA01BBE"/>
    <w:rsid w:val="2DB2415D"/>
    <w:rsid w:val="2DF1716D"/>
    <w:rsid w:val="2DFC4F25"/>
    <w:rsid w:val="2EEB6E83"/>
    <w:rsid w:val="2F0E197F"/>
    <w:rsid w:val="2F217AE1"/>
    <w:rsid w:val="2F2443BA"/>
    <w:rsid w:val="2F6C3AB8"/>
    <w:rsid w:val="2FDD5D4F"/>
    <w:rsid w:val="304B2DB5"/>
    <w:rsid w:val="310F0ED5"/>
    <w:rsid w:val="31543F59"/>
    <w:rsid w:val="317433D6"/>
    <w:rsid w:val="31A01C4A"/>
    <w:rsid w:val="3240054F"/>
    <w:rsid w:val="324F174E"/>
    <w:rsid w:val="326D256D"/>
    <w:rsid w:val="33170AA2"/>
    <w:rsid w:val="33194B81"/>
    <w:rsid w:val="34193189"/>
    <w:rsid w:val="34AC3D0B"/>
    <w:rsid w:val="34AE1C8A"/>
    <w:rsid w:val="34E75607"/>
    <w:rsid w:val="356B2D42"/>
    <w:rsid w:val="359A7184"/>
    <w:rsid w:val="35A23D33"/>
    <w:rsid w:val="35BD2EF5"/>
    <w:rsid w:val="3609784F"/>
    <w:rsid w:val="361C687A"/>
    <w:rsid w:val="371D56DE"/>
    <w:rsid w:val="372501AD"/>
    <w:rsid w:val="37715AA0"/>
    <w:rsid w:val="37C67446"/>
    <w:rsid w:val="37D77C20"/>
    <w:rsid w:val="37ED3EE3"/>
    <w:rsid w:val="384766D3"/>
    <w:rsid w:val="38B30C88"/>
    <w:rsid w:val="39440E2C"/>
    <w:rsid w:val="39B92FE7"/>
    <w:rsid w:val="3AB60EC8"/>
    <w:rsid w:val="3B44558C"/>
    <w:rsid w:val="3BB71A7C"/>
    <w:rsid w:val="3BC45997"/>
    <w:rsid w:val="3BC4735F"/>
    <w:rsid w:val="3BCC1B90"/>
    <w:rsid w:val="3BD60236"/>
    <w:rsid w:val="3BE57C6E"/>
    <w:rsid w:val="3C0644E4"/>
    <w:rsid w:val="3C1C4D96"/>
    <w:rsid w:val="3CCA47F2"/>
    <w:rsid w:val="3CDE4F0E"/>
    <w:rsid w:val="3CFA3AE8"/>
    <w:rsid w:val="3D0576B3"/>
    <w:rsid w:val="3D276E16"/>
    <w:rsid w:val="3D307C72"/>
    <w:rsid w:val="3D3442DA"/>
    <w:rsid w:val="3D527E27"/>
    <w:rsid w:val="3D567E34"/>
    <w:rsid w:val="3DD35929"/>
    <w:rsid w:val="3EB92D70"/>
    <w:rsid w:val="3F446ADE"/>
    <w:rsid w:val="3FEA1EB4"/>
    <w:rsid w:val="401E039E"/>
    <w:rsid w:val="40224945"/>
    <w:rsid w:val="403E177F"/>
    <w:rsid w:val="40447564"/>
    <w:rsid w:val="406725E8"/>
    <w:rsid w:val="40ED0D34"/>
    <w:rsid w:val="419F3A36"/>
    <w:rsid w:val="41D103D1"/>
    <w:rsid w:val="420933C4"/>
    <w:rsid w:val="42472441"/>
    <w:rsid w:val="424E557E"/>
    <w:rsid w:val="426B4382"/>
    <w:rsid w:val="42A47CE4"/>
    <w:rsid w:val="436C1C33"/>
    <w:rsid w:val="44C24A97"/>
    <w:rsid w:val="45021AF5"/>
    <w:rsid w:val="456652D4"/>
    <w:rsid w:val="45A100BA"/>
    <w:rsid w:val="460348D1"/>
    <w:rsid w:val="464B69A4"/>
    <w:rsid w:val="46591D60"/>
    <w:rsid w:val="467905F4"/>
    <w:rsid w:val="46860D0B"/>
    <w:rsid w:val="47213A23"/>
    <w:rsid w:val="473304A9"/>
    <w:rsid w:val="47431429"/>
    <w:rsid w:val="47857885"/>
    <w:rsid w:val="47E272BF"/>
    <w:rsid w:val="47E726FC"/>
    <w:rsid w:val="48052B82"/>
    <w:rsid w:val="48ED6A70"/>
    <w:rsid w:val="4970227E"/>
    <w:rsid w:val="4989333F"/>
    <w:rsid w:val="4A1277D9"/>
    <w:rsid w:val="4A447BF1"/>
    <w:rsid w:val="4A642AD5"/>
    <w:rsid w:val="4A6A4F1F"/>
    <w:rsid w:val="4B4734B2"/>
    <w:rsid w:val="4B8847B7"/>
    <w:rsid w:val="4BA65E77"/>
    <w:rsid w:val="4BEF58CE"/>
    <w:rsid w:val="4BFA7B9B"/>
    <w:rsid w:val="4C9F737C"/>
    <w:rsid w:val="4D981DA3"/>
    <w:rsid w:val="4DBF4F74"/>
    <w:rsid w:val="4DDD797D"/>
    <w:rsid w:val="4DEB2042"/>
    <w:rsid w:val="4E7D1E1F"/>
    <w:rsid w:val="4EA4576D"/>
    <w:rsid w:val="4EF851EF"/>
    <w:rsid w:val="4F334479"/>
    <w:rsid w:val="4F583EE0"/>
    <w:rsid w:val="4FD63E9B"/>
    <w:rsid w:val="500E0665"/>
    <w:rsid w:val="50602600"/>
    <w:rsid w:val="509C604E"/>
    <w:rsid w:val="50C65243"/>
    <w:rsid w:val="50CA2BBB"/>
    <w:rsid w:val="50D5419C"/>
    <w:rsid w:val="510667EF"/>
    <w:rsid w:val="51210FA7"/>
    <w:rsid w:val="51313417"/>
    <w:rsid w:val="51571E03"/>
    <w:rsid w:val="51956D25"/>
    <w:rsid w:val="51EC7E0C"/>
    <w:rsid w:val="52750905"/>
    <w:rsid w:val="527B4E2D"/>
    <w:rsid w:val="52801409"/>
    <w:rsid w:val="52CA07B0"/>
    <w:rsid w:val="532C36B9"/>
    <w:rsid w:val="53620E89"/>
    <w:rsid w:val="53682217"/>
    <w:rsid w:val="537F744F"/>
    <w:rsid w:val="53AC4159"/>
    <w:rsid w:val="53DE791F"/>
    <w:rsid w:val="53E861B9"/>
    <w:rsid w:val="53FB260D"/>
    <w:rsid w:val="543D36A4"/>
    <w:rsid w:val="546423EF"/>
    <w:rsid w:val="547F5353"/>
    <w:rsid w:val="550B72FE"/>
    <w:rsid w:val="55342CF9"/>
    <w:rsid w:val="553932F7"/>
    <w:rsid w:val="55640784"/>
    <w:rsid w:val="5577150B"/>
    <w:rsid w:val="55943272"/>
    <w:rsid w:val="55D161F3"/>
    <w:rsid w:val="56391F84"/>
    <w:rsid w:val="564C6272"/>
    <w:rsid w:val="567C6706"/>
    <w:rsid w:val="56B268B4"/>
    <w:rsid w:val="56CB744A"/>
    <w:rsid w:val="56F94A4A"/>
    <w:rsid w:val="56FE6056"/>
    <w:rsid w:val="576B22D6"/>
    <w:rsid w:val="57B8361A"/>
    <w:rsid w:val="57CE2F91"/>
    <w:rsid w:val="57D04F5B"/>
    <w:rsid w:val="581F559B"/>
    <w:rsid w:val="587D6765"/>
    <w:rsid w:val="58D77C23"/>
    <w:rsid w:val="591A2D58"/>
    <w:rsid w:val="5936458D"/>
    <w:rsid w:val="5A5B046B"/>
    <w:rsid w:val="5ABE668B"/>
    <w:rsid w:val="5AD51017"/>
    <w:rsid w:val="5B084A0C"/>
    <w:rsid w:val="5B6854AA"/>
    <w:rsid w:val="5C080930"/>
    <w:rsid w:val="5C814A76"/>
    <w:rsid w:val="5C966031"/>
    <w:rsid w:val="5D4C6DCF"/>
    <w:rsid w:val="5D746389"/>
    <w:rsid w:val="5DB82A7F"/>
    <w:rsid w:val="5DCB3E85"/>
    <w:rsid w:val="5E4D3990"/>
    <w:rsid w:val="5E5F08DE"/>
    <w:rsid w:val="5E907D26"/>
    <w:rsid w:val="5EA42342"/>
    <w:rsid w:val="5F074641"/>
    <w:rsid w:val="5FB962D5"/>
    <w:rsid w:val="5FBE6E36"/>
    <w:rsid w:val="6017273C"/>
    <w:rsid w:val="60602BF4"/>
    <w:rsid w:val="608E6F23"/>
    <w:rsid w:val="608F315A"/>
    <w:rsid w:val="60CF044D"/>
    <w:rsid w:val="60DF7FBD"/>
    <w:rsid w:val="60EC3212"/>
    <w:rsid w:val="619106F6"/>
    <w:rsid w:val="61E737AA"/>
    <w:rsid w:val="623A5A79"/>
    <w:rsid w:val="6253185F"/>
    <w:rsid w:val="62600C89"/>
    <w:rsid w:val="63600520"/>
    <w:rsid w:val="6435150A"/>
    <w:rsid w:val="645B35AB"/>
    <w:rsid w:val="64761478"/>
    <w:rsid w:val="64A01049"/>
    <w:rsid w:val="64B259E8"/>
    <w:rsid w:val="64C525D5"/>
    <w:rsid w:val="64CD06F0"/>
    <w:rsid w:val="65CE0600"/>
    <w:rsid w:val="6612673F"/>
    <w:rsid w:val="663C1392"/>
    <w:rsid w:val="66A33F48"/>
    <w:rsid w:val="66B123AD"/>
    <w:rsid w:val="66C11F13"/>
    <w:rsid w:val="66DF4E7B"/>
    <w:rsid w:val="671E3974"/>
    <w:rsid w:val="67784CC7"/>
    <w:rsid w:val="67EB771F"/>
    <w:rsid w:val="68600603"/>
    <w:rsid w:val="687E00BB"/>
    <w:rsid w:val="68AD6BF3"/>
    <w:rsid w:val="690164B5"/>
    <w:rsid w:val="69180775"/>
    <w:rsid w:val="691B3B5C"/>
    <w:rsid w:val="69670B4F"/>
    <w:rsid w:val="697678E2"/>
    <w:rsid w:val="697E3281"/>
    <w:rsid w:val="6A6E4A84"/>
    <w:rsid w:val="6B693994"/>
    <w:rsid w:val="6B6D4417"/>
    <w:rsid w:val="6BDA065F"/>
    <w:rsid w:val="6C491246"/>
    <w:rsid w:val="6DE85FD7"/>
    <w:rsid w:val="6DEC1F6B"/>
    <w:rsid w:val="6DF12F35"/>
    <w:rsid w:val="6DF61B5D"/>
    <w:rsid w:val="6E511DCE"/>
    <w:rsid w:val="6E5458E3"/>
    <w:rsid w:val="6E883DAB"/>
    <w:rsid w:val="6ECE341F"/>
    <w:rsid w:val="6F775864"/>
    <w:rsid w:val="6FAF4FFE"/>
    <w:rsid w:val="6FBC448C"/>
    <w:rsid w:val="71526589"/>
    <w:rsid w:val="71736911"/>
    <w:rsid w:val="72023B0B"/>
    <w:rsid w:val="720B4AA9"/>
    <w:rsid w:val="723E2669"/>
    <w:rsid w:val="72516841"/>
    <w:rsid w:val="72D37256"/>
    <w:rsid w:val="73217FC1"/>
    <w:rsid w:val="736E0437"/>
    <w:rsid w:val="7386076C"/>
    <w:rsid w:val="73860AA4"/>
    <w:rsid w:val="73FE25CB"/>
    <w:rsid w:val="74650BA5"/>
    <w:rsid w:val="74746816"/>
    <w:rsid w:val="751029E3"/>
    <w:rsid w:val="755328D0"/>
    <w:rsid w:val="7557514B"/>
    <w:rsid w:val="75A90742"/>
    <w:rsid w:val="76657FBB"/>
    <w:rsid w:val="775D5E86"/>
    <w:rsid w:val="777D59E2"/>
    <w:rsid w:val="77D23F80"/>
    <w:rsid w:val="789157B3"/>
    <w:rsid w:val="78DA5EFD"/>
    <w:rsid w:val="79350B7C"/>
    <w:rsid w:val="79660905"/>
    <w:rsid w:val="797D43BF"/>
    <w:rsid w:val="79856DD0"/>
    <w:rsid w:val="7AA650F7"/>
    <w:rsid w:val="7AF56711"/>
    <w:rsid w:val="7B5F1FCE"/>
    <w:rsid w:val="7BB045D8"/>
    <w:rsid w:val="7BB973DE"/>
    <w:rsid w:val="7BDF4770"/>
    <w:rsid w:val="7C036DFE"/>
    <w:rsid w:val="7C266648"/>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8">
    <w:name w:val="heading 1"/>
    <w:basedOn w:val="1"/>
    <w:next w:val="1"/>
    <w:link w:val="95"/>
    <w:autoRedefine/>
    <w:qFormat/>
    <w:uiPriority w:val="0"/>
    <w:pPr>
      <w:keepNext/>
      <w:keepLines/>
      <w:spacing w:before="340" w:after="330" w:line="576" w:lineRule="auto"/>
      <w:outlineLvl w:val="0"/>
    </w:pPr>
    <w:rPr>
      <w:b/>
      <w:kern w:val="44"/>
      <w:sz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spacing w:line="360" w:lineRule="auto"/>
      <w:ind w:firstLine="420" w:firstLineChars="100"/>
    </w:pPr>
    <w:rPr>
      <w:szCs w:val="21"/>
    </w:rPr>
  </w:style>
  <w:style w:type="paragraph" w:styleId="3">
    <w:name w:val="Body Text"/>
    <w:basedOn w:val="1"/>
    <w:next w:val="4"/>
    <w:autoRedefine/>
    <w:qFormat/>
    <w:uiPriority w:val="0"/>
    <w:pPr>
      <w:spacing w:after="120"/>
    </w:pPr>
    <w:rPr>
      <w:rFonts w:cs="Times New Roman"/>
      <w:kern w:val="0"/>
      <w:sz w:val="20"/>
    </w:rPr>
  </w:style>
  <w:style w:type="paragraph" w:styleId="4">
    <w:name w:val="Body Text 2"/>
    <w:basedOn w:val="1"/>
    <w:next w:val="3"/>
    <w:autoRedefine/>
    <w:qFormat/>
    <w:uiPriority w:val="0"/>
    <w:rPr>
      <w:rFonts w:ascii="宋体" w:hAnsi="宋体" w:cs="Times New Roman"/>
      <w:sz w:val="28"/>
    </w:rPr>
  </w:style>
  <w:style w:type="paragraph" w:styleId="5">
    <w:name w:val="Body Text First Indent 2"/>
    <w:basedOn w:val="6"/>
    <w:next w:val="1"/>
    <w:autoRedefine/>
    <w:qFormat/>
    <w:uiPriority w:val="0"/>
    <w:pPr>
      <w:ind w:firstLine="420" w:firstLineChars="200"/>
    </w:pPr>
    <w:rPr>
      <w:rFonts w:ascii="Times New Roman" w:hAnsi="Times New Roman" w:cs="Times New Roman"/>
    </w:rPr>
  </w:style>
  <w:style w:type="paragraph" w:styleId="6">
    <w:name w:val="Body Text Indent"/>
    <w:basedOn w:val="1"/>
    <w:next w:val="7"/>
    <w:autoRedefine/>
    <w:qFormat/>
    <w:uiPriority w:val="0"/>
    <w:pPr>
      <w:spacing w:before="100" w:beforeAutospacing="1" w:after="100" w:afterAutospacing="1"/>
      <w:jc w:val="left"/>
    </w:pPr>
    <w:rPr>
      <w:rFonts w:ascii="宋体" w:hAnsi="宋体"/>
      <w:kern w:val="0"/>
      <w:sz w:val="24"/>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toa heading"/>
    <w:basedOn w:val="1"/>
    <w:next w:val="1"/>
    <w:autoRedefine/>
    <w:qFormat/>
    <w:uiPriority w:val="99"/>
    <w:rPr>
      <w:rFonts w:ascii="Cambria" w:hAnsi="Cambria" w:eastAsia="微软雅黑"/>
      <w:szCs w:val="24"/>
    </w:rPr>
  </w:style>
  <w:style w:type="paragraph" w:styleId="12">
    <w:name w:val="Date"/>
    <w:basedOn w:val="1"/>
    <w:next w:val="1"/>
    <w:autoRedefine/>
    <w:qFormat/>
    <w:uiPriority w:val="0"/>
    <w:pPr>
      <w:textAlignment w:val="auto"/>
    </w:pPr>
    <w:rPr>
      <w:sz w:val="24"/>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eastAsia="宋体" w:cs="Times New Roman"/>
    </w:rPr>
  </w:style>
  <w:style w:type="paragraph" w:styleId="15">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List"/>
    <w:basedOn w:val="1"/>
    <w:autoRedefine/>
    <w:qFormat/>
    <w:uiPriority w:val="0"/>
    <w:pPr>
      <w:spacing w:before="100" w:beforeAutospacing="1" w:after="100" w:afterAutospacing="1"/>
      <w:jc w:val="left"/>
    </w:pPr>
    <w:rPr>
      <w:rFonts w:ascii="宋体" w:hAnsi="宋体"/>
      <w:kern w:val="0"/>
      <w:sz w:val="24"/>
    </w:rPr>
  </w:style>
  <w:style w:type="paragraph" w:styleId="18">
    <w:name w:val="Normal (Web)"/>
    <w:basedOn w:val="1"/>
    <w:autoRedefine/>
    <w:qFormat/>
    <w:uiPriority w:val="0"/>
    <w:pPr>
      <w:spacing w:before="100" w:beforeAutospacing="1" w:after="100" w:afterAutospacing="1"/>
      <w:jc w:val="left"/>
    </w:pPr>
    <w:rPr>
      <w:rFonts w:ascii="宋体" w:hAnsi="宋体"/>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autoRedefine/>
    <w:qFormat/>
    <w:uiPriority w:val="0"/>
    <w:rPr>
      <w:rFonts w:ascii="Tahoma" w:hAnsi="Tahoma" w:cs="Times New Roman"/>
      <w:b/>
      <w:bCs/>
      <w:spacing w:val="6"/>
      <w:sz w:val="24"/>
      <w:szCs w:val="20"/>
    </w:rPr>
  </w:style>
  <w:style w:type="character" w:customStyle="1" w:styleId="23">
    <w:name w:val="NormalCharacter"/>
    <w:link w:val="24"/>
    <w:autoRedefine/>
    <w:qFormat/>
    <w:uiPriority w:val="0"/>
    <w:rPr>
      <w:rFonts w:ascii="Tahoma" w:hAnsi="Tahoma"/>
      <w:spacing w:val="6"/>
      <w:sz w:val="24"/>
      <w:szCs w:val="20"/>
    </w:rPr>
  </w:style>
  <w:style w:type="paragraph" w:customStyle="1" w:styleId="24">
    <w:name w:val="UserStyle_1"/>
    <w:basedOn w:val="1"/>
    <w:link w:val="23"/>
    <w:autoRedefine/>
    <w:qFormat/>
    <w:uiPriority w:val="0"/>
    <w:pPr>
      <w:tabs>
        <w:tab w:val="right" w:pos="-2120"/>
      </w:tabs>
      <w:snapToGrid w:val="0"/>
    </w:pPr>
    <w:rPr>
      <w:rFonts w:ascii="Tahoma" w:hAnsi="Tahoma"/>
      <w:spacing w:val="6"/>
      <w:sz w:val="24"/>
      <w:szCs w:val="20"/>
    </w:rPr>
  </w:style>
  <w:style w:type="character" w:styleId="25">
    <w:name w:val="FollowedHyperlink"/>
    <w:basedOn w:val="23"/>
    <w:autoRedefine/>
    <w:qFormat/>
    <w:uiPriority w:val="0"/>
    <w:rPr>
      <w:rFonts w:ascii="Tahoma" w:hAnsi="Tahoma"/>
      <w:color w:val="800080"/>
      <w:spacing w:val="6"/>
      <w:sz w:val="24"/>
      <w:szCs w:val="20"/>
    </w:rPr>
  </w:style>
  <w:style w:type="character" w:styleId="26">
    <w:name w:val="Emphasis"/>
    <w:basedOn w:val="23"/>
    <w:autoRedefine/>
    <w:qFormat/>
    <w:uiPriority w:val="0"/>
    <w:rPr>
      <w:rFonts w:ascii="Tahoma" w:hAnsi="Tahoma"/>
      <w:spacing w:val="6"/>
      <w:sz w:val="24"/>
      <w:szCs w:val="20"/>
    </w:rPr>
  </w:style>
  <w:style w:type="character" w:styleId="27">
    <w:name w:val="HTML Definition"/>
    <w:basedOn w:val="21"/>
    <w:autoRedefine/>
    <w:qFormat/>
    <w:uiPriority w:val="0"/>
  </w:style>
  <w:style w:type="character" w:styleId="28">
    <w:name w:val="HTML Typewriter"/>
    <w:basedOn w:val="21"/>
    <w:autoRedefine/>
    <w:qFormat/>
    <w:uiPriority w:val="0"/>
    <w:rPr>
      <w:rFonts w:hint="default" w:ascii="monospace" w:hAnsi="monospace" w:eastAsia="monospace" w:cs="monospace"/>
      <w:sz w:val="20"/>
    </w:rPr>
  </w:style>
  <w:style w:type="character" w:styleId="29">
    <w:name w:val="HTML Acronym"/>
    <w:basedOn w:val="21"/>
    <w:autoRedefine/>
    <w:qFormat/>
    <w:uiPriority w:val="0"/>
    <w:rPr>
      <w:bdr w:val="none" w:color="auto" w:sz="0" w:space="0"/>
    </w:rPr>
  </w:style>
  <w:style w:type="character" w:styleId="30">
    <w:name w:val="HTML Variable"/>
    <w:basedOn w:val="21"/>
    <w:autoRedefine/>
    <w:qFormat/>
    <w:uiPriority w:val="0"/>
  </w:style>
  <w:style w:type="character" w:styleId="31">
    <w:name w:val="Hyperlink"/>
    <w:basedOn w:val="23"/>
    <w:autoRedefine/>
    <w:qFormat/>
    <w:uiPriority w:val="0"/>
    <w:rPr>
      <w:rFonts w:ascii="Tahoma" w:hAnsi="Tahoma"/>
      <w:color w:val="0000FF"/>
      <w:spacing w:val="6"/>
      <w:sz w:val="24"/>
      <w:szCs w:val="20"/>
    </w:rPr>
  </w:style>
  <w:style w:type="character" w:styleId="32">
    <w:name w:val="HTML Code"/>
    <w:basedOn w:val="21"/>
    <w:autoRedefine/>
    <w:qFormat/>
    <w:uiPriority w:val="0"/>
    <w:rPr>
      <w:rFonts w:hint="default" w:ascii="monospace" w:hAnsi="monospace" w:eastAsia="monospace" w:cs="monospace"/>
      <w:sz w:val="20"/>
    </w:rPr>
  </w:style>
  <w:style w:type="character" w:styleId="33">
    <w:name w:val="HTML Cite"/>
    <w:basedOn w:val="21"/>
    <w:autoRedefine/>
    <w:qFormat/>
    <w:uiPriority w:val="0"/>
  </w:style>
  <w:style w:type="character" w:styleId="34">
    <w:name w:val="HTML Keyboard"/>
    <w:basedOn w:val="21"/>
    <w:autoRedefine/>
    <w:qFormat/>
    <w:uiPriority w:val="0"/>
    <w:rPr>
      <w:rFonts w:ascii="monospace" w:hAnsi="monospace" w:eastAsia="monospace" w:cs="monospace"/>
      <w:sz w:val="20"/>
    </w:rPr>
  </w:style>
  <w:style w:type="character" w:styleId="35">
    <w:name w:val="HTML Sample"/>
    <w:basedOn w:val="21"/>
    <w:autoRedefine/>
    <w:qFormat/>
    <w:uiPriority w:val="0"/>
    <w:rPr>
      <w:rFonts w:hint="default" w:ascii="monospace" w:hAnsi="monospace" w:eastAsia="monospace" w:cs="monospace"/>
    </w:rPr>
  </w:style>
  <w:style w:type="paragraph" w:customStyle="1" w:styleId="36">
    <w:name w:val="No Spacing"/>
    <w:basedOn w:val="1"/>
    <w:autoRedefine/>
    <w:qFormat/>
    <w:uiPriority w:val="1"/>
    <w:pPr>
      <w:spacing w:after="0" w:line="400" w:lineRule="exact"/>
    </w:pPr>
    <w:rPr>
      <w:rFonts w:eastAsia="宋体"/>
      <w:sz w:val="24"/>
    </w:rPr>
  </w:style>
  <w:style w:type="paragraph" w:customStyle="1" w:styleId="37">
    <w:name w:val="正文缩进1"/>
    <w:basedOn w:val="1"/>
    <w:autoRedefine/>
    <w:qFormat/>
    <w:uiPriority w:val="0"/>
    <w:pPr>
      <w:widowControl/>
      <w:ind w:firstLine="420"/>
      <w:jc w:val="left"/>
    </w:pPr>
    <w:rPr>
      <w:rFonts w:ascii="Times New Roman" w:hAnsi="Times New Roman"/>
      <w:kern w:val="0"/>
      <w:szCs w:val="20"/>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12"/>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3"/>
    <w:autoRedefine/>
    <w:qFormat/>
    <w:uiPriority w:val="0"/>
    <w:rPr>
      <w:rFonts w:ascii="Tahoma" w:hAnsi="Tahoma"/>
      <w:spacing w:val="6"/>
      <w:sz w:val="24"/>
      <w:szCs w:val="20"/>
    </w:rPr>
  </w:style>
  <w:style w:type="character" w:customStyle="1" w:styleId="61">
    <w:name w:val="HtmlDfn"/>
    <w:basedOn w:val="23"/>
    <w:autoRedefine/>
    <w:qFormat/>
    <w:uiPriority w:val="0"/>
    <w:rPr>
      <w:rFonts w:ascii="Tahoma" w:hAnsi="Tahoma"/>
      <w:spacing w:val="6"/>
      <w:sz w:val="24"/>
      <w:szCs w:val="20"/>
    </w:rPr>
  </w:style>
  <w:style w:type="character" w:customStyle="1" w:styleId="62">
    <w:name w:val="HtmlTt"/>
    <w:basedOn w:val="23"/>
    <w:autoRedefine/>
    <w:qFormat/>
    <w:uiPriority w:val="0"/>
    <w:rPr>
      <w:rFonts w:ascii="monospace" w:hAnsi="monospace" w:eastAsia="monospace"/>
      <w:spacing w:val="6"/>
      <w:sz w:val="20"/>
      <w:szCs w:val="20"/>
    </w:rPr>
  </w:style>
  <w:style w:type="character" w:customStyle="1" w:styleId="63">
    <w:name w:val="HtmlAcronym"/>
    <w:basedOn w:val="23"/>
    <w:autoRedefine/>
    <w:qFormat/>
    <w:uiPriority w:val="0"/>
    <w:rPr>
      <w:rFonts w:ascii="Tahoma" w:hAnsi="Tahoma"/>
      <w:spacing w:val="6"/>
      <w:sz w:val="24"/>
      <w:szCs w:val="20"/>
    </w:rPr>
  </w:style>
  <w:style w:type="character" w:customStyle="1" w:styleId="64">
    <w:name w:val="HtmlVar"/>
    <w:basedOn w:val="23"/>
    <w:autoRedefine/>
    <w:qFormat/>
    <w:uiPriority w:val="0"/>
    <w:rPr>
      <w:rFonts w:ascii="Tahoma" w:hAnsi="Tahoma"/>
      <w:spacing w:val="6"/>
      <w:sz w:val="24"/>
      <w:szCs w:val="20"/>
    </w:rPr>
  </w:style>
  <w:style w:type="character" w:customStyle="1" w:styleId="65">
    <w:name w:val="HtmlCode"/>
    <w:basedOn w:val="23"/>
    <w:autoRedefine/>
    <w:qFormat/>
    <w:uiPriority w:val="0"/>
    <w:rPr>
      <w:rFonts w:ascii="monospace" w:hAnsi="monospace" w:eastAsia="monospace"/>
      <w:spacing w:val="6"/>
      <w:sz w:val="20"/>
      <w:szCs w:val="20"/>
    </w:rPr>
  </w:style>
  <w:style w:type="character" w:customStyle="1" w:styleId="66">
    <w:name w:val="HtmlCite"/>
    <w:basedOn w:val="23"/>
    <w:autoRedefine/>
    <w:qFormat/>
    <w:uiPriority w:val="0"/>
    <w:rPr>
      <w:rFonts w:ascii="Tahoma" w:hAnsi="Tahoma"/>
      <w:spacing w:val="6"/>
      <w:sz w:val="24"/>
      <w:szCs w:val="20"/>
    </w:rPr>
  </w:style>
  <w:style w:type="character" w:customStyle="1" w:styleId="67">
    <w:name w:val="HtmlKbd"/>
    <w:basedOn w:val="23"/>
    <w:autoRedefine/>
    <w:qFormat/>
    <w:uiPriority w:val="0"/>
    <w:rPr>
      <w:rFonts w:ascii="monospace" w:hAnsi="monospace" w:eastAsia="monospace"/>
      <w:spacing w:val="6"/>
      <w:sz w:val="20"/>
      <w:szCs w:val="20"/>
    </w:rPr>
  </w:style>
  <w:style w:type="character" w:customStyle="1" w:styleId="68">
    <w:name w:val="htmlSamp"/>
    <w:basedOn w:val="23"/>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3"/>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1"/>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8"/>
    <w:autoRedefine/>
    <w:qFormat/>
    <w:uiPriority w:val="0"/>
    <w:rPr>
      <w:b/>
      <w:kern w:val="44"/>
      <w:sz w:val="44"/>
    </w:rPr>
  </w:style>
  <w:style w:type="character" w:customStyle="1" w:styleId="96">
    <w:name w:val="font11"/>
    <w:basedOn w:val="21"/>
    <w:autoRedefine/>
    <w:qFormat/>
    <w:uiPriority w:val="0"/>
    <w:rPr>
      <w:rFonts w:hint="eastAsia" w:ascii="宋体" w:hAnsi="宋体" w:eastAsia="宋体" w:cs="宋体"/>
      <w:color w:val="000000"/>
      <w:sz w:val="20"/>
      <w:szCs w:val="20"/>
      <w:u w:val="none"/>
    </w:rPr>
  </w:style>
  <w:style w:type="character" w:customStyle="1" w:styleId="97">
    <w:name w:val="font61"/>
    <w:basedOn w:val="21"/>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21635</Words>
  <Characters>23487</Characters>
  <Lines>245</Lines>
  <Paragraphs>69</Paragraphs>
  <TotalTime>3</TotalTime>
  <ScaleCrop>false</ScaleCrop>
  <LinksUpToDate>false</LinksUpToDate>
  <CharactersWithSpaces>25064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2022-03-23T08:54:00Z</cp:lastPrinted>
  <dcterms:modified xsi:type="dcterms:W3CDTF">2024-05-21T09:07:25Z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F74E8473FBF846E8A32BB191D3076CB6_13</vt:lpwstr>
  </property>
</Properties>
</file>