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C102A">
      <w:pPr>
        <w:widowControl/>
        <w:jc w:val="center"/>
        <w:outlineLvl w:val="0"/>
        <w:rPr>
          <w:rFonts w:ascii="宋体" w:hAnsi="宋体"/>
          <w:kern w:val="0"/>
          <w:sz w:val="40"/>
          <w:szCs w:val="40"/>
        </w:rPr>
      </w:pPr>
      <w:r>
        <w:rPr>
          <w:rFonts w:hint="eastAsia" w:ascii="宋体" w:hAnsi="宋体"/>
          <w:b/>
          <w:bCs/>
          <w:kern w:val="0"/>
          <w:sz w:val="32"/>
          <w:szCs w:val="32"/>
          <w:lang w:val="en-US" w:eastAsia="zh-CN"/>
        </w:rPr>
        <w:t>三、</w:t>
      </w:r>
      <w:r>
        <w:rPr>
          <w:rFonts w:hint="eastAsia" w:ascii="宋体" w:hAnsi="宋体"/>
          <w:b/>
          <w:bCs/>
          <w:kern w:val="0"/>
          <w:sz w:val="32"/>
          <w:szCs w:val="32"/>
        </w:rPr>
        <w:t>投标</w:t>
      </w:r>
      <w:r>
        <w:rPr>
          <w:rFonts w:ascii="宋体" w:hAnsi="宋体"/>
          <w:b/>
          <w:kern w:val="0"/>
          <w:sz w:val="32"/>
          <w:szCs w:val="32"/>
        </w:rPr>
        <w:t>报价明细表（格式）</w:t>
      </w:r>
    </w:p>
    <w:p w14:paraId="59E8B3DC">
      <w:pPr>
        <w:widowControl/>
        <w:spacing w:line="480" w:lineRule="auto"/>
        <w:rPr>
          <w:rFonts w:ascii="宋体" w:hAnsi="宋体"/>
          <w:kern w:val="0"/>
          <w:sz w:val="24"/>
          <w:szCs w:val="24"/>
        </w:rPr>
      </w:pPr>
      <w:r>
        <w:rPr>
          <w:rFonts w:ascii="宋体" w:hAnsi="宋体"/>
          <w:kern w:val="0"/>
          <w:sz w:val="24"/>
          <w:szCs w:val="24"/>
        </w:rPr>
        <w:t>项目编号：</w:t>
      </w:r>
      <w:r>
        <w:rPr>
          <w:rFonts w:ascii="宋体" w:hAnsi="宋体"/>
          <w:kern w:val="0"/>
          <w:sz w:val="24"/>
          <w:szCs w:val="24"/>
          <w:u w:val="single"/>
        </w:rPr>
        <w:t xml:space="preserve"> </w:t>
      </w:r>
      <w:r>
        <w:rPr>
          <w:rFonts w:hint="eastAsia" w:ascii="宋体" w:hAnsi="宋体"/>
          <w:kern w:val="0"/>
          <w:sz w:val="24"/>
          <w:szCs w:val="24"/>
          <w:u w:val="single"/>
        </w:rPr>
        <w:t>驻政采购-2024-06-4</w:t>
      </w:r>
      <w:r>
        <w:rPr>
          <w:rFonts w:ascii="宋体" w:hAnsi="宋体"/>
          <w:kern w:val="0"/>
          <w:sz w:val="24"/>
          <w:szCs w:val="24"/>
          <w:u w:val="single"/>
        </w:rPr>
        <w:t xml:space="preserve">  </w:t>
      </w:r>
      <w:r>
        <w:rPr>
          <w:rFonts w:ascii="宋体" w:hAnsi="宋体"/>
          <w:kern w:val="0"/>
          <w:sz w:val="24"/>
          <w:szCs w:val="24"/>
        </w:rPr>
        <w:t>包号：</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A包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 xml:space="preserve">  </w:t>
      </w:r>
    </w:p>
    <w:tbl>
      <w:tblPr>
        <w:tblStyle w:val="2"/>
        <w:tblW w:w="10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019"/>
        <w:gridCol w:w="3401"/>
        <w:gridCol w:w="4294"/>
      </w:tblGrid>
      <w:tr w14:paraId="1204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416" w:type="dxa"/>
            <w:tcBorders>
              <w:top w:val="single" w:color="auto" w:sz="4" w:space="0"/>
              <w:left w:val="single" w:color="auto" w:sz="4" w:space="0"/>
              <w:bottom w:val="single" w:color="auto" w:sz="4" w:space="0"/>
              <w:right w:val="single" w:color="auto" w:sz="4" w:space="0"/>
            </w:tcBorders>
            <w:noWrap w:val="0"/>
            <w:vAlign w:val="top"/>
          </w:tcPr>
          <w:p w14:paraId="15BE6F11">
            <w:pPr>
              <w:widowControl/>
              <w:spacing w:line="480" w:lineRule="auto"/>
              <w:jc w:val="center"/>
              <w:rPr>
                <w:rFonts w:ascii="宋体" w:hAnsi="宋体"/>
                <w:b/>
                <w:kern w:val="0"/>
                <w:sz w:val="24"/>
                <w:szCs w:val="24"/>
              </w:rPr>
            </w:pPr>
            <w:r>
              <w:rPr>
                <w:rFonts w:ascii="宋体" w:hAnsi="宋体"/>
                <w:b/>
                <w:kern w:val="0"/>
                <w:sz w:val="24"/>
                <w:szCs w:val="24"/>
              </w:rPr>
              <w:t>序号</w:t>
            </w:r>
          </w:p>
        </w:tc>
        <w:tc>
          <w:tcPr>
            <w:tcW w:w="1019" w:type="dxa"/>
            <w:tcBorders>
              <w:top w:val="single" w:color="auto" w:sz="4" w:space="0"/>
              <w:left w:val="single" w:color="auto" w:sz="4" w:space="0"/>
              <w:bottom w:val="single" w:color="auto" w:sz="4" w:space="0"/>
              <w:right w:val="single" w:color="auto" w:sz="4" w:space="0"/>
            </w:tcBorders>
            <w:noWrap w:val="0"/>
            <w:vAlign w:val="top"/>
          </w:tcPr>
          <w:p w14:paraId="5FB01292">
            <w:pPr>
              <w:widowControl/>
              <w:spacing w:line="480" w:lineRule="auto"/>
              <w:jc w:val="center"/>
              <w:rPr>
                <w:rFonts w:ascii="宋体" w:hAnsi="宋体"/>
                <w:b/>
                <w:kern w:val="0"/>
                <w:sz w:val="24"/>
                <w:szCs w:val="24"/>
              </w:rPr>
            </w:pPr>
            <w:r>
              <w:rPr>
                <w:rFonts w:ascii="宋体" w:hAnsi="宋体"/>
                <w:b/>
                <w:kern w:val="0"/>
                <w:sz w:val="24"/>
                <w:szCs w:val="24"/>
              </w:rPr>
              <w:t>品目名称</w:t>
            </w:r>
          </w:p>
        </w:tc>
        <w:tc>
          <w:tcPr>
            <w:tcW w:w="3401" w:type="dxa"/>
            <w:tcBorders>
              <w:top w:val="single" w:color="auto" w:sz="4" w:space="0"/>
              <w:left w:val="single" w:color="auto" w:sz="4" w:space="0"/>
              <w:bottom w:val="single" w:color="auto" w:sz="4" w:space="0"/>
              <w:right w:val="single" w:color="auto" w:sz="4" w:space="0"/>
            </w:tcBorders>
            <w:noWrap w:val="0"/>
            <w:vAlign w:val="top"/>
          </w:tcPr>
          <w:p w14:paraId="24F3AD3B">
            <w:pPr>
              <w:widowControl/>
              <w:spacing w:line="480" w:lineRule="auto"/>
              <w:jc w:val="center"/>
              <w:rPr>
                <w:rFonts w:ascii="宋体" w:hAnsi="宋体"/>
                <w:b/>
                <w:kern w:val="0"/>
                <w:sz w:val="24"/>
                <w:szCs w:val="24"/>
              </w:rPr>
            </w:pPr>
            <w:r>
              <w:rPr>
                <w:rFonts w:ascii="宋体" w:hAnsi="宋体"/>
                <w:b/>
                <w:kern w:val="0"/>
                <w:sz w:val="24"/>
                <w:szCs w:val="24"/>
              </w:rPr>
              <w:t>价格小计(元)</w:t>
            </w:r>
          </w:p>
        </w:tc>
        <w:tc>
          <w:tcPr>
            <w:tcW w:w="4294" w:type="dxa"/>
            <w:tcBorders>
              <w:top w:val="single" w:color="auto" w:sz="4" w:space="0"/>
              <w:left w:val="single" w:color="auto" w:sz="4" w:space="0"/>
              <w:bottom w:val="single" w:color="auto" w:sz="4" w:space="0"/>
              <w:right w:val="single" w:color="auto" w:sz="4" w:space="0"/>
            </w:tcBorders>
            <w:noWrap w:val="0"/>
            <w:vAlign w:val="top"/>
          </w:tcPr>
          <w:p w14:paraId="01B1D5AD">
            <w:pPr>
              <w:widowControl/>
              <w:spacing w:line="480" w:lineRule="auto"/>
              <w:jc w:val="center"/>
              <w:rPr>
                <w:rFonts w:ascii="宋体" w:hAnsi="宋体"/>
                <w:b/>
                <w:kern w:val="0"/>
                <w:sz w:val="24"/>
                <w:szCs w:val="24"/>
              </w:rPr>
            </w:pPr>
            <w:r>
              <w:rPr>
                <w:rFonts w:ascii="宋体" w:hAnsi="宋体"/>
                <w:b/>
                <w:kern w:val="0"/>
                <w:sz w:val="24"/>
                <w:szCs w:val="24"/>
              </w:rPr>
              <w:t>备注</w:t>
            </w:r>
          </w:p>
        </w:tc>
      </w:tr>
      <w:tr w14:paraId="0F3C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14:paraId="032F80B3">
            <w:pPr>
              <w:widowControl/>
              <w:jc w:val="center"/>
              <w:rPr>
                <w:rFonts w:ascii="宋体" w:hAnsi="宋体"/>
                <w:kern w:val="0"/>
                <w:sz w:val="24"/>
              </w:rPr>
            </w:pPr>
            <w:r>
              <w:rPr>
                <w:rFonts w:ascii="宋体" w:hAnsi="宋体"/>
                <w:kern w:val="0"/>
                <w:sz w:val="24"/>
              </w:rPr>
              <w:t>1</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9C53CC2">
            <w:pPr>
              <w:widowControl/>
              <w:jc w:val="center"/>
              <w:rPr>
                <w:rFonts w:ascii="宋体" w:hAnsi="宋体"/>
                <w:kern w:val="0"/>
                <w:sz w:val="24"/>
              </w:rPr>
            </w:pPr>
            <w:r>
              <w:rPr>
                <w:rFonts w:ascii="宋体" w:hAnsi="宋体"/>
                <w:kern w:val="0"/>
                <w:sz w:val="24"/>
              </w:rPr>
              <w:t>岗位人员工资</w:t>
            </w:r>
          </w:p>
        </w:tc>
        <w:tc>
          <w:tcPr>
            <w:tcW w:w="3401" w:type="dxa"/>
            <w:tcBorders>
              <w:top w:val="single" w:color="auto" w:sz="4" w:space="0"/>
              <w:left w:val="single" w:color="auto" w:sz="4" w:space="0"/>
              <w:bottom w:val="single" w:color="auto" w:sz="4" w:space="0"/>
              <w:right w:val="single" w:color="auto" w:sz="4" w:space="0"/>
            </w:tcBorders>
            <w:noWrap w:val="0"/>
            <w:vAlign w:val="center"/>
          </w:tcPr>
          <w:p w14:paraId="6D88EE7D">
            <w:pPr>
              <w:widowControl/>
              <w:jc w:val="center"/>
              <w:rPr>
                <w:rFonts w:hint="default" w:ascii="宋体" w:hAnsi="宋体" w:eastAsia="宋体"/>
                <w:kern w:val="0"/>
                <w:sz w:val="24"/>
                <w:lang w:val="en-US" w:eastAsia="zh-CN"/>
              </w:rPr>
            </w:pPr>
            <w:r>
              <w:rPr>
                <w:rFonts w:hint="eastAsia" w:ascii="宋体" w:hAnsi="宋体"/>
                <w:kern w:val="0"/>
                <w:sz w:val="24"/>
                <w:lang w:val="en-US" w:eastAsia="zh-CN"/>
              </w:rPr>
              <w:t>2268000.00</w:t>
            </w:r>
          </w:p>
        </w:tc>
        <w:tc>
          <w:tcPr>
            <w:tcW w:w="4294" w:type="dxa"/>
            <w:tcBorders>
              <w:top w:val="single" w:color="auto" w:sz="4" w:space="0"/>
              <w:left w:val="single" w:color="auto" w:sz="4" w:space="0"/>
              <w:bottom w:val="single" w:color="auto" w:sz="4" w:space="0"/>
              <w:right w:val="single" w:color="auto" w:sz="4" w:space="0"/>
            </w:tcBorders>
            <w:noWrap w:val="0"/>
            <w:vAlign w:val="center"/>
          </w:tcPr>
          <w:p w14:paraId="15D60063">
            <w:pPr>
              <w:widowControl/>
              <w:jc w:val="center"/>
              <w:rPr>
                <w:rFonts w:hint="eastAsia" w:ascii="宋体" w:hAnsi="宋体"/>
                <w:b w:val="0"/>
                <w:bCs/>
                <w:kern w:val="0"/>
                <w:sz w:val="24"/>
                <w:szCs w:val="24"/>
              </w:rPr>
            </w:pPr>
            <w:r>
              <w:rPr>
                <w:rFonts w:hint="eastAsia" w:ascii="宋体" w:hAnsi="宋体"/>
                <w:b w:val="0"/>
                <w:bCs/>
                <w:kern w:val="0"/>
                <w:sz w:val="24"/>
                <w:szCs w:val="24"/>
              </w:rPr>
              <w:t>岗位人员工资2100元*</w:t>
            </w:r>
            <w:r>
              <w:rPr>
                <w:rFonts w:hint="eastAsia" w:ascii="宋体" w:hAnsi="宋体"/>
                <w:b w:val="0"/>
                <w:bCs/>
                <w:kern w:val="0"/>
                <w:sz w:val="24"/>
                <w:szCs w:val="24"/>
                <w:lang w:val="en-US" w:eastAsia="zh-CN"/>
              </w:rPr>
              <w:t>45</w:t>
            </w:r>
            <w:r>
              <w:rPr>
                <w:rFonts w:hint="eastAsia" w:ascii="宋体" w:hAnsi="宋体"/>
                <w:b w:val="0"/>
                <w:bCs/>
                <w:kern w:val="0"/>
                <w:sz w:val="24"/>
                <w:szCs w:val="24"/>
              </w:rPr>
              <w:t>人*</w:t>
            </w:r>
            <w:r>
              <w:rPr>
                <w:rFonts w:hint="eastAsia" w:ascii="宋体" w:hAnsi="宋体"/>
                <w:b w:val="0"/>
                <w:bCs/>
                <w:kern w:val="0"/>
                <w:sz w:val="24"/>
                <w:szCs w:val="24"/>
                <w:lang w:val="en-US" w:eastAsia="zh-CN"/>
              </w:rPr>
              <w:t>24</w:t>
            </w:r>
            <w:r>
              <w:rPr>
                <w:rFonts w:hint="eastAsia" w:ascii="宋体" w:hAnsi="宋体"/>
                <w:b w:val="0"/>
                <w:bCs/>
                <w:kern w:val="0"/>
                <w:sz w:val="24"/>
                <w:szCs w:val="24"/>
              </w:rPr>
              <w:t>月</w:t>
            </w:r>
          </w:p>
          <w:p w14:paraId="7A260E42">
            <w:pPr>
              <w:widowControl/>
              <w:jc w:val="center"/>
              <w:rPr>
                <w:rFonts w:ascii="宋体" w:hAnsi="宋体"/>
                <w:b/>
                <w:kern w:val="0"/>
                <w:sz w:val="36"/>
                <w:szCs w:val="36"/>
              </w:rPr>
            </w:pPr>
            <w:r>
              <w:rPr>
                <w:rFonts w:hint="eastAsia" w:ascii="宋体" w:hAnsi="宋体"/>
                <w:b w:val="0"/>
                <w:bCs/>
                <w:kern w:val="0"/>
                <w:sz w:val="24"/>
                <w:szCs w:val="24"/>
              </w:rPr>
              <w:t>按《河南省人民政府关于调整河南省最低工资标准的通知》 [豫政 (2021)33 号]文执行。</w:t>
            </w:r>
          </w:p>
        </w:tc>
      </w:tr>
      <w:tr w14:paraId="43BE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14:paraId="6FC32533">
            <w:pPr>
              <w:widowControl/>
              <w:jc w:val="center"/>
              <w:rPr>
                <w:rFonts w:ascii="宋体" w:hAnsi="宋体"/>
                <w:kern w:val="0"/>
                <w:sz w:val="24"/>
              </w:rPr>
            </w:pPr>
            <w:r>
              <w:rPr>
                <w:rFonts w:ascii="宋体" w:hAnsi="宋体"/>
                <w:kern w:val="0"/>
                <w:sz w:val="24"/>
              </w:rPr>
              <w:t>2</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93109B8">
            <w:pPr>
              <w:widowControl/>
              <w:jc w:val="center"/>
              <w:rPr>
                <w:rFonts w:ascii="宋体" w:hAnsi="宋体"/>
                <w:kern w:val="0"/>
                <w:sz w:val="24"/>
              </w:rPr>
            </w:pPr>
            <w:r>
              <w:rPr>
                <w:rFonts w:ascii="宋体" w:hAnsi="宋体"/>
                <w:kern w:val="0"/>
                <w:sz w:val="24"/>
              </w:rPr>
              <w:t>社会保险</w:t>
            </w:r>
          </w:p>
        </w:tc>
        <w:tc>
          <w:tcPr>
            <w:tcW w:w="3401" w:type="dxa"/>
            <w:tcBorders>
              <w:top w:val="single" w:color="auto" w:sz="4" w:space="0"/>
              <w:left w:val="single" w:color="auto" w:sz="4" w:space="0"/>
              <w:bottom w:val="single" w:color="auto" w:sz="4" w:space="0"/>
              <w:right w:val="single" w:color="auto" w:sz="4" w:space="0"/>
            </w:tcBorders>
            <w:noWrap w:val="0"/>
            <w:vAlign w:val="center"/>
          </w:tcPr>
          <w:p w14:paraId="5586A3E9">
            <w:pPr>
              <w:widowControl/>
              <w:jc w:val="center"/>
              <w:rPr>
                <w:rFonts w:hint="default" w:ascii="宋体" w:hAnsi="宋体" w:eastAsia="宋体"/>
                <w:kern w:val="0"/>
                <w:sz w:val="24"/>
                <w:lang w:val="en-US" w:eastAsia="zh-CN"/>
              </w:rPr>
            </w:pPr>
            <w:r>
              <w:rPr>
                <w:rFonts w:hint="eastAsia" w:ascii="宋体" w:hAnsi="宋体"/>
                <w:kern w:val="0"/>
                <w:sz w:val="24"/>
                <w:lang w:val="en-US" w:eastAsia="zh-CN"/>
              </w:rPr>
              <w:t>63678.48</w:t>
            </w:r>
          </w:p>
        </w:tc>
        <w:tc>
          <w:tcPr>
            <w:tcW w:w="4294" w:type="dxa"/>
            <w:tcBorders>
              <w:top w:val="single" w:color="auto" w:sz="4" w:space="0"/>
              <w:left w:val="single" w:color="auto" w:sz="4" w:space="0"/>
              <w:bottom w:val="single" w:color="auto" w:sz="4" w:space="0"/>
              <w:right w:val="single" w:color="auto" w:sz="4" w:space="0"/>
            </w:tcBorders>
            <w:noWrap w:val="0"/>
            <w:vAlign w:val="center"/>
          </w:tcPr>
          <w:p w14:paraId="4308F50A">
            <w:pPr>
              <w:widowControl/>
              <w:jc w:val="center"/>
              <w:rPr>
                <w:rFonts w:ascii="宋体" w:hAnsi="宋体"/>
                <w:b/>
                <w:kern w:val="0"/>
                <w:sz w:val="36"/>
                <w:szCs w:val="36"/>
              </w:rPr>
            </w:pPr>
            <w:r>
              <w:rPr>
                <w:rFonts w:hint="eastAsia" w:ascii="宋体" w:hAnsi="宋体" w:eastAsia="宋体" w:cs="Times New Roman"/>
                <w:kern w:val="0"/>
                <w:sz w:val="24"/>
              </w:rPr>
              <w:t xml:space="preserve">本项目我公司需上岗 </w:t>
            </w:r>
            <w:r>
              <w:rPr>
                <w:rFonts w:hint="eastAsia" w:ascii="宋体" w:hAnsi="宋体" w:cs="Times New Roman"/>
                <w:kern w:val="0"/>
                <w:sz w:val="24"/>
                <w:lang w:val="en-US" w:eastAsia="zh-CN"/>
              </w:rPr>
              <w:t>45</w:t>
            </w:r>
            <w:r>
              <w:rPr>
                <w:rFonts w:hint="eastAsia" w:ascii="宋体" w:hAnsi="宋体" w:eastAsia="宋体" w:cs="Times New Roman"/>
                <w:kern w:val="0"/>
                <w:sz w:val="24"/>
              </w:rPr>
              <w:t>人，聘用</w:t>
            </w:r>
            <w:r>
              <w:rPr>
                <w:rFonts w:hint="eastAsia" w:ascii="宋体" w:hAnsi="宋体" w:cs="Times New Roman"/>
                <w:kern w:val="0"/>
                <w:sz w:val="24"/>
                <w:lang w:val="en-US" w:eastAsia="zh-CN"/>
              </w:rPr>
              <w:t>41</w:t>
            </w:r>
            <w:r>
              <w:rPr>
                <w:rFonts w:hint="eastAsia" w:ascii="宋体" w:hAnsi="宋体" w:eastAsia="宋体" w:cs="Times New Roman"/>
                <w:kern w:val="0"/>
                <w:sz w:val="24"/>
              </w:rPr>
              <w:t>人均属于企业下岗职工，在原企业已购买社会保险，属于是下岗再就业人员、不能重复购买社会保险，本项目雇用的企业下岗再就业人员是本次投标报价中的合法免社保人员，仅项目负责人</w:t>
            </w:r>
            <w:r>
              <w:rPr>
                <w:rFonts w:hint="eastAsia" w:ascii="宋体" w:hAnsi="宋体" w:cs="Times New Roman"/>
                <w:kern w:val="0"/>
                <w:sz w:val="24"/>
                <w:lang w:val="en-US" w:eastAsia="zh-CN"/>
              </w:rPr>
              <w:t>1人与位消毒员3</w:t>
            </w:r>
            <w:r>
              <w:rPr>
                <w:rFonts w:hint="eastAsia" w:ascii="宋体" w:hAnsi="宋体" w:eastAsia="宋体" w:cs="Times New Roman"/>
                <w:kern w:val="0"/>
                <w:sz w:val="24"/>
              </w:rPr>
              <w:t>人缴纳社会保险。</w:t>
            </w:r>
          </w:p>
        </w:tc>
      </w:tr>
      <w:tr w14:paraId="58F2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14:paraId="0042A54C">
            <w:pPr>
              <w:widowControl/>
              <w:jc w:val="center"/>
              <w:rPr>
                <w:rFonts w:ascii="宋体" w:hAnsi="宋体"/>
                <w:kern w:val="0"/>
                <w:sz w:val="24"/>
              </w:rPr>
            </w:pPr>
            <w:r>
              <w:rPr>
                <w:rFonts w:ascii="宋体" w:hAnsi="宋体"/>
                <w:kern w:val="0"/>
                <w:sz w:val="24"/>
              </w:rPr>
              <w:t>3</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7435C62F">
            <w:pPr>
              <w:widowControl/>
              <w:jc w:val="center"/>
              <w:rPr>
                <w:rFonts w:ascii="宋体" w:hAnsi="宋体"/>
                <w:kern w:val="0"/>
                <w:sz w:val="24"/>
              </w:rPr>
            </w:pPr>
            <w:r>
              <w:rPr>
                <w:rFonts w:ascii="宋体" w:hAnsi="宋体"/>
                <w:kern w:val="0"/>
                <w:sz w:val="24"/>
              </w:rPr>
              <w:t>税金</w:t>
            </w:r>
          </w:p>
        </w:tc>
        <w:tc>
          <w:tcPr>
            <w:tcW w:w="3401" w:type="dxa"/>
            <w:tcBorders>
              <w:top w:val="single" w:color="auto" w:sz="4" w:space="0"/>
              <w:left w:val="single" w:color="auto" w:sz="4" w:space="0"/>
              <w:bottom w:val="single" w:color="auto" w:sz="4" w:space="0"/>
              <w:right w:val="single" w:color="auto" w:sz="4" w:space="0"/>
            </w:tcBorders>
            <w:noWrap w:val="0"/>
            <w:vAlign w:val="center"/>
          </w:tcPr>
          <w:p w14:paraId="3292B6B1">
            <w:pPr>
              <w:widowControl/>
              <w:jc w:val="center"/>
              <w:rPr>
                <w:rFonts w:hint="default" w:ascii="宋体" w:hAnsi="宋体" w:eastAsia="宋体"/>
                <w:kern w:val="0"/>
                <w:sz w:val="24"/>
                <w:lang w:val="en-US" w:eastAsia="zh-CN"/>
              </w:rPr>
            </w:pPr>
            <w:r>
              <w:rPr>
                <w:rFonts w:hint="eastAsia" w:ascii="宋体" w:hAnsi="宋体"/>
                <w:kern w:val="0"/>
                <w:sz w:val="24"/>
                <w:lang w:val="en-US" w:eastAsia="zh-CN"/>
              </w:rPr>
              <w:t>23316.78</w:t>
            </w:r>
          </w:p>
        </w:tc>
        <w:tc>
          <w:tcPr>
            <w:tcW w:w="4294" w:type="dxa"/>
            <w:tcBorders>
              <w:top w:val="single" w:color="auto" w:sz="4" w:space="0"/>
              <w:left w:val="single" w:color="auto" w:sz="4" w:space="0"/>
              <w:bottom w:val="single" w:color="auto" w:sz="4" w:space="0"/>
              <w:right w:val="single" w:color="auto" w:sz="4" w:space="0"/>
            </w:tcBorders>
            <w:noWrap w:val="0"/>
            <w:vAlign w:val="center"/>
          </w:tcPr>
          <w:p w14:paraId="3A318601">
            <w:pPr>
              <w:widowControl/>
              <w:jc w:val="center"/>
              <w:rPr>
                <w:rFonts w:hint="default" w:ascii="宋体" w:hAnsi="宋体" w:eastAsia="宋体"/>
                <w:b/>
                <w:kern w:val="0"/>
                <w:sz w:val="36"/>
                <w:szCs w:val="36"/>
                <w:lang w:val="en-US" w:eastAsia="zh-CN"/>
              </w:rPr>
            </w:pPr>
            <w:r>
              <w:rPr>
                <w:rFonts w:hint="eastAsia" w:ascii="宋体" w:hAnsi="宋体"/>
                <w:b w:val="0"/>
                <w:bCs/>
                <w:kern w:val="0"/>
                <w:sz w:val="21"/>
                <w:szCs w:val="21"/>
                <w:lang w:val="en-US" w:eastAsia="zh-CN"/>
              </w:rPr>
              <w:t>小规模纳税人</w:t>
            </w:r>
            <w:r>
              <w:rPr>
                <w:rFonts w:hint="eastAsia" w:ascii="宋体" w:hAnsi="宋体" w:eastAsia="宋体" w:cs="Times New Roman"/>
                <w:kern w:val="0"/>
                <w:sz w:val="24"/>
              </w:rPr>
              <w:t>小微企业税率</w:t>
            </w:r>
            <w:r>
              <w:rPr>
                <w:rFonts w:hint="eastAsia" w:ascii="宋体" w:hAnsi="宋体" w:eastAsia="宋体" w:cs="Times New Roman"/>
                <w:kern w:val="0"/>
                <w:sz w:val="24"/>
                <w:lang w:val="en-US" w:eastAsia="zh-CN"/>
              </w:rPr>
              <w:t>1</w:t>
            </w:r>
            <w:r>
              <w:rPr>
                <w:rFonts w:hint="eastAsia" w:ascii="宋体" w:hAnsi="宋体" w:eastAsia="宋体" w:cs="Times New Roman"/>
                <w:kern w:val="0"/>
                <w:sz w:val="24"/>
              </w:rPr>
              <w:t>%.</w:t>
            </w:r>
          </w:p>
        </w:tc>
      </w:tr>
      <w:tr w14:paraId="28C3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14:paraId="35671D2F">
            <w:pPr>
              <w:widowControl/>
              <w:jc w:val="center"/>
              <w:rPr>
                <w:rFonts w:ascii="宋体" w:hAnsi="宋体"/>
                <w:kern w:val="0"/>
                <w:sz w:val="24"/>
              </w:rPr>
            </w:pPr>
            <w:r>
              <w:rPr>
                <w:rFonts w:ascii="宋体" w:hAnsi="宋体"/>
                <w:kern w:val="0"/>
                <w:sz w:val="24"/>
              </w:rPr>
              <w:t>4</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7DB2267">
            <w:pPr>
              <w:widowControl/>
              <w:jc w:val="center"/>
              <w:rPr>
                <w:rFonts w:ascii="宋体" w:hAnsi="宋体"/>
                <w:kern w:val="0"/>
                <w:sz w:val="24"/>
              </w:rPr>
            </w:pPr>
            <w:r>
              <w:rPr>
                <w:rFonts w:ascii="宋体" w:hAnsi="宋体"/>
                <w:kern w:val="0"/>
                <w:sz w:val="24"/>
              </w:rPr>
              <w:t>物料</w:t>
            </w:r>
          </w:p>
        </w:tc>
        <w:tc>
          <w:tcPr>
            <w:tcW w:w="3401" w:type="dxa"/>
            <w:tcBorders>
              <w:top w:val="single" w:color="auto" w:sz="4" w:space="0"/>
              <w:left w:val="single" w:color="auto" w:sz="4" w:space="0"/>
              <w:bottom w:val="single" w:color="auto" w:sz="4" w:space="0"/>
              <w:right w:val="single" w:color="auto" w:sz="4" w:space="0"/>
            </w:tcBorders>
            <w:noWrap w:val="0"/>
            <w:vAlign w:val="center"/>
          </w:tcPr>
          <w:p w14:paraId="6AF43134">
            <w:pPr>
              <w:widowControl/>
              <w:jc w:val="center"/>
              <w:rPr>
                <w:rFonts w:hint="eastAsia" w:ascii="宋体" w:hAnsi="宋体" w:eastAsia="宋体"/>
                <w:kern w:val="0"/>
                <w:sz w:val="24"/>
                <w:lang w:val="en-US" w:eastAsia="zh-CN"/>
              </w:rPr>
            </w:pPr>
            <w:r>
              <w:rPr>
                <w:rFonts w:hint="eastAsia" w:ascii="宋体" w:hAnsi="宋体"/>
                <w:kern w:val="0"/>
                <w:sz w:val="24"/>
                <w:lang w:val="en-US" w:eastAsia="zh-CN"/>
              </w:rPr>
              <w:t>0</w:t>
            </w:r>
          </w:p>
        </w:tc>
        <w:tc>
          <w:tcPr>
            <w:tcW w:w="4294" w:type="dxa"/>
            <w:tcBorders>
              <w:top w:val="single" w:color="auto" w:sz="4" w:space="0"/>
              <w:left w:val="single" w:color="auto" w:sz="4" w:space="0"/>
              <w:bottom w:val="single" w:color="auto" w:sz="4" w:space="0"/>
              <w:right w:val="single" w:color="auto" w:sz="4" w:space="0"/>
            </w:tcBorders>
            <w:noWrap w:val="0"/>
            <w:vAlign w:val="center"/>
          </w:tcPr>
          <w:p w14:paraId="460CCB99">
            <w:pPr>
              <w:widowControl/>
              <w:jc w:val="center"/>
              <w:rPr>
                <w:rFonts w:ascii="宋体" w:hAnsi="宋体"/>
                <w:kern w:val="0"/>
                <w:szCs w:val="21"/>
              </w:rPr>
            </w:pPr>
            <w:r>
              <w:rPr>
                <w:rFonts w:hint="eastAsia" w:ascii="宋体" w:hAnsi="宋体"/>
                <w:b w:val="0"/>
                <w:bCs w:val="0"/>
                <w:color w:val="auto"/>
                <w:kern w:val="0"/>
                <w:szCs w:val="21"/>
              </w:rPr>
              <w:t>1列出本项目所有物料清单。2.各类物料清单列明单价附表(格式自拟)。</w:t>
            </w:r>
            <w:r>
              <w:rPr>
                <w:rFonts w:hint="eastAsia" w:ascii="宋体" w:hAnsi="宋体" w:cs="宋体"/>
                <w:b w:val="0"/>
                <w:bCs w:val="0"/>
                <w:color w:val="auto"/>
                <w:kern w:val="0"/>
                <w:szCs w:val="21"/>
                <w:lang w:bidi="ar"/>
              </w:rPr>
              <w:t>3.物料清单列出不全的、单价不合理的，按注4处理。</w:t>
            </w:r>
          </w:p>
        </w:tc>
      </w:tr>
      <w:tr w14:paraId="5983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14:paraId="1C93F8D4">
            <w:pPr>
              <w:widowControl/>
              <w:jc w:val="center"/>
              <w:rPr>
                <w:rFonts w:ascii="宋体" w:hAnsi="宋体"/>
                <w:kern w:val="0"/>
                <w:sz w:val="24"/>
              </w:rPr>
            </w:pPr>
            <w:r>
              <w:rPr>
                <w:rFonts w:hint="eastAsia" w:ascii="宋体" w:hAnsi="宋体"/>
                <w:kern w:val="0"/>
                <w:sz w:val="24"/>
              </w:rPr>
              <w:t>…</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0120BF6">
            <w:pPr>
              <w:widowControl/>
              <w:jc w:val="center"/>
              <w:rPr>
                <w:rFonts w:ascii="宋体" w:hAnsi="宋体"/>
                <w:kern w:val="0"/>
                <w:sz w:val="24"/>
              </w:rPr>
            </w:pPr>
            <w:r>
              <w:rPr>
                <w:rFonts w:hint="eastAsia" w:ascii="宋体" w:hAnsi="宋体"/>
                <w:kern w:val="0"/>
                <w:sz w:val="24"/>
              </w:rPr>
              <w:t>…</w:t>
            </w:r>
          </w:p>
        </w:tc>
        <w:tc>
          <w:tcPr>
            <w:tcW w:w="3401" w:type="dxa"/>
            <w:tcBorders>
              <w:top w:val="single" w:color="auto" w:sz="4" w:space="0"/>
              <w:left w:val="single" w:color="auto" w:sz="4" w:space="0"/>
              <w:bottom w:val="single" w:color="auto" w:sz="4" w:space="0"/>
              <w:right w:val="single" w:color="auto" w:sz="4" w:space="0"/>
            </w:tcBorders>
            <w:noWrap w:val="0"/>
            <w:vAlign w:val="center"/>
          </w:tcPr>
          <w:p w14:paraId="34C68FCB">
            <w:pPr>
              <w:widowControl/>
              <w:jc w:val="center"/>
              <w:rPr>
                <w:rFonts w:ascii="宋体" w:hAnsi="宋体"/>
                <w:kern w:val="0"/>
                <w:sz w:val="24"/>
              </w:rPr>
            </w:pPr>
          </w:p>
        </w:tc>
        <w:tc>
          <w:tcPr>
            <w:tcW w:w="4294" w:type="dxa"/>
            <w:tcBorders>
              <w:top w:val="single" w:color="auto" w:sz="4" w:space="0"/>
              <w:left w:val="single" w:color="auto" w:sz="4" w:space="0"/>
              <w:bottom w:val="single" w:color="auto" w:sz="4" w:space="0"/>
              <w:right w:val="single" w:color="auto" w:sz="4" w:space="0"/>
            </w:tcBorders>
            <w:noWrap w:val="0"/>
            <w:vAlign w:val="center"/>
          </w:tcPr>
          <w:p w14:paraId="18F29EB2">
            <w:pPr>
              <w:widowControl/>
              <w:jc w:val="center"/>
              <w:rPr>
                <w:rFonts w:hint="eastAsia" w:ascii="宋体" w:hAnsi="宋体"/>
                <w:kern w:val="0"/>
                <w:sz w:val="24"/>
              </w:rPr>
            </w:pPr>
          </w:p>
        </w:tc>
      </w:tr>
      <w:tr w14:paraId="7729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35" w:type="dxa"/>
            <w:gridSpan w:val="2"/>
            <w:tcBorders>
              <w:top w:val="single" w:color="auto" w:sz="4" w:space="0"/>
              <w:left w:val="single" w:color="auto" w:sz="4" w:space="0"/>
              <w:bottom w:val="single" w:color="auto" w:sz="4" w:space="0"/>
              <w:right w:val="single" w:color="auto" w:sz="4" w:space="0"/>
            </w:tcBorders>
            <w:noWrap w:val="0"/>
            <w:vAlign w:val="center"/>
          </w:tcPr>
          <w:p w14:paraId="58441489">
            <w:pPr>
              <w:widowControl/>
              <w:jc w:val="center"/>
              <w:rPr>
                <w:rFonts w:ascii="宋体" w:hAnsi="宋体"/>
                <w:kern w:val="0"/>
                <w:sz w:val="24"/>
              </w:rPr>
            </w:pPr>
            <w:r>
              <w:rPr>
                <w:rFonts w:ascii="宋体" w:hAnsi="宋体"/>
                <w:kern w:val="0"/>
                <w:sz w:val="24"/>
              </w:rPr>
              <w:t>合计</w:t>
            </w:r>
          </w:p>
        </w:tc>
        <w:tc>
          <w:tcPr>
            <w:tcW w:w="7695" w:type="dxa"/>
            <w:gridSpan w:val="2"/>
            <w:tcBorders>
              <w:top w:val="single" w:color="auto" w:sz="4" w:space="0"/>
              <w:left w:val="single" w:color="auto" w:sz="4" w:space="0"/>
              <w:bottom w:val="single" w:color="auto" w:sz="4" w:space="0"/>
              <w:right w:val="single" w:color="auto" w:sz="4" w:space="0"/>
            </w:tcBorders>
            <w:noWrap w:val="0"/>
            <w:vAlign w:val="center"/>
          </w:tcPr>
          <w:p w14:paraId="192018C1">
            <w:pPr>
              <w:widowControl/>
              <w:rPr>
                <w:rFonts w:ascii="宋体" w:hAnsi="宋体"/>
                <w:kern w:val="0"/>
                <w:sz w:val="24"/>
              </w:rPr>
            </w:pPr>
            <w:r>
              <w:rPr>
                <w:rFonts w:ascii="宋体" w:hAnsi="宋体"/>
                <w:kern w:val="0"/>
                <w:sz w:val="24"/>
              </w:rPr>
              <w:t>大写</w:t>
            </w:r>
            <w:r>
              <w:rPr>
                <w:rFonts w:hint="eastAsia" w:ascii="宋体" w:hAnsi="宋体"/>
                <w:kern w:val="0"/>
                <w:sz w:val="24"/>
                <w:u w:val="single"/>
                <w:lang w:val="en-US" w:eastAsia="zh-CN"/>
              </w:rPr>
              <w:t>贰佰叁拾伍万肆仟玖佰玖拾伍元贰角陆分</w:t>
            </w:r>
            <w:r>
              <w:rPr>
                <w:rFonts w:hint="eastAsia" w:ascii="宋体" w:hAnsi="宋体"/>
                <w:kern w:val="0"/>
                <w:sz w:val="24"/>
                <w:u w:val="none"/>
                <w:lang w:val="en-US" w:eastAsia="zh-CN"/>
              </w:rPr>
              <w:t xml:space="preserve">   </w:t>
            </w:r>
            <w:r>
              <w:rPr>
                <w:rFonts w:ascii="宋体" w:hAnsi="宋体"/>
                <w:kern w:val="0"/>
                <w:sz w:val="24"/>
              </w:rPr>
              <w:t>小写</w:t>
            </w:r>
            <w:r>
              <w:rPr>
                <w:rFonts w:hint="eastAsia" w:ascii="宋体" w:hAnsi="宋体"/>
                <w:kern w:val="0"/>
                <w:sz w:val="24"/>
                <w:u w:val="single"/>
                <w:lang w:val="en-US" w:eastAsia="zh-CN"/>
              </w:rPr>
              <w:t>2354995.26</w:t>
            </w:r>
            <w:r>
              <w:rPr>
                <w:rFonts w:hint="eastAsia" w:ascii="宋体" w:hAnsi="宋体"/>
                <w:kern w:val="0"/>
                <w:sz w:val="24"/>
                <w:lang w:val="en-US" w:eastAsia="zh-CN"/>
              </w:rPr>
              <w:t>元</w:t>
            </w:r>
            <w:r>
              <w:rPr>
                <w:rFonts w:ascii="宋体" w:hAnsi="宋体"/>
                <w:kern w:val="0"/>
                <w:sz w:val="24"/>
              </w:rPr>
              <w:t xml:space="preserve"> 。 </w:t>
            </w:r>
          </w:p>
        </w:tc>
      </w:tr>
    </w:tbl>
    <w:p w14:paraId="6277FE16">
      <w:pPr>
        <w:widowControl/>
        <w:spacing w:line="360" w:lineRule="auto"/>
        <w:rPr>
          <w:rFonts w:ascii="宋体" w:hAnsi="宋体"/>
          <w:b/>
          <w:kern w:val="0"/>
          <w:sz w:val="24"/>
          <w:szCs w:val="24"/>
        </w:rPr>
      </w:pPr>
      <w:r>
        <w:rPr>
          <w:rFonts w:ascii="宋体" w:hAnsi="宋体"/>
          <w:b/>
          <w:kern w:val="0"/>
          <w:sz w:val="24"/>
          <w:szCs w:val="24"/>
        </w:rPr>
        <w:t>注：</w:t>
      </w:r>
    </w:p>
    <w:p w14:paraId="0659FB8D">
      <w:pPr>
        <w:widowControl/>
        <w:spacing w:line="360" w:lineRule="auto"/>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1、最低工资标准按《河南省人民政府关于调整河南省最低工资标准的通知》 [豫政〔2023〕43号]文执行。</w:t>
      </w:r>
    </w:p>
    <w:p w14:paraId="3A6EDB47">
      <w:pPr>
        <w:widowControl/>
        <w:spacing w:line="360" w:lineRule="auto"/>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2、岗位人员工资、社会保险（养老保险、失业保险、工伤保险、生育保险、医疗保险）、税金须明确费用价格，取费不得低于国家规定的最低标准。</w:t>
      </w:r>
    </w:p>
    <w:p w14:paraId="1C626A89">
      <w:pPr>
        <w:widowControl/>
        <w:spacing w:line="360" w:lineRule="auto"/>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3、若聘用下岗、工龄买断、退休、残疾人员等无需缴纳社会保险的人员，请予以备注说明。</w:t>
      </w:r>
    </w:p>
    <w:p w14:paraId="6E868FBB">
      <w:pPr>
        <w:widowControl/>
        <w:spacing w:line="360" w:lineRule="auto"/>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4、在确定中标供应商之前，评标委员会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材料；不能证明其报价合理性的，评标委员会应当将其作为无效投标处理。</w:t>
      </w:r>
    </w:p>
    <w:p w14:paraId="134B830D">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mMTQxOWRlMWMwMzU3YjIxMjBjNGEyODE3ODE1ZjEifQ=="/>
  </w:docVars>
  <w:rsids>
    <w:rsidRoot w:val="3393061E"/>
    <w:rsid w:val="33930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2024-07-25T02:50:00Z</dcterms:created>
  <dc:creator>Administrator</dc:creator>
  <cp:lastModifiedBy>Administrator</cp:lastModifiedBy>
  <dcterms:modified xsi:type="dcterms:W3CDTF">2024-07-25T02:51:26Z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8712C6E74EA54EC1816E595BE2BDEF19_11</vt:lpwstr>
  </property>
</Properties>
</file>