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>
      <w:pPr>
        <w:ind w:firstLine="0" w:firstLineChars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政府采购优化营商环境承诺书</w:t>
      </w:r>
    </w:p>
    <w:p>
      <w:pPr>
        <w:ind w:firstLine="0" w:firstLineChars="0"/>
        <w:jc w:val="left"/>
        <w:rPr>
          <w:rFonts w:ascii="仿宋_GB2312" w:eastAsia="仿宋_GB2312"/>
          <w:sz w:val="32"/>
          <w:szCs w:val="32"/>
        </w:rPr>
      </w:pP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为优化政府采购营商环境，我单位及委托的代理机构承诺在（项目名称）采购活动中做到：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1.严格执行《中华人民共和国政府采购法》及实施条例等相关法律法规。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2.严格执行政府采购意向公开制度，在发布采购公告前不少于30天在濮阳市政府采购网公开采购意向。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3.严格落实促进中小企业、监狱企业、残疾人福利性单位发展等政府采购政策；节能环保产品优先采购和强制采购；在采购文件中嵌入政府采购合同融资政策告知函。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4.严格执行政府采购负面清单制度，供应商资格、采购需求及商务条款、评审因素等不得有影响公平、公正和充分竞争的行为。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5.严格执行采购计划备案制度，落实《政府采购需求管理办法》《濮阳市本级政府采购项目绩效管理办法》等要求，完善备案资料，并上传本承诺书。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6.评审活动结束后1日内确定采购结果，采购结果和评审情况同时在濮阳市政府采购网上进行公告；同时，向中标（成交）供应商发出中标（成交）通知书（供应商可直接下载电子通知书）。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7.中标（成交）通知书发放后，2日内签订政府采购合同。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8.严格执行政府采购合同备案制度，合同签订后1个工作日内在濮阳市政府采购网备案及公告。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9.收到供应商货物、服务和工程项目验收申请后，5个工作日内进行实质性验收，验收结束后1个工作日内在濮阳市政府采购网备案及公告验收报告（结果）。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10.满足合同约定付款条件的，自收到发票之日起5个工作日内完成合同款项支付。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11.采购人、代理机构在收到供应商质疑后，7个工作日内作出答复，项目不复杂的可在3个工作日内作出答复。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12.严格执行廉政建设要求，做好政府采购廉政风险防控。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以上承诺 ，敬请市场主体和社会各界监督。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采购单位（公章）               代理机构（公章）</w:t>
      </w:r>
    </w:p>
    <w:p>
      <w:pPr>
        <w:ind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经办人签字：                   经办人签字：</w:t>
      </w:r>
    </w:p>
    <w:p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701" w:right="1418" w:bottom="1701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right"/>
    </w:pPr>
    <w:sdt>
      <w:sdtPr>
        <w:id w:val="50710278"/>
        <w:docPartObj>
          <w:docPartGallery w:val="autotext"/>
        </w:docPartObj>
      </w:sdtPr>
      <w:sdtEndPr>
        <w:rPr>
          <w:rFonts w:asciiTheme="majorEastAsia" w:hAnsiTheme="majorEastAsia" w:eastAsiaTheme="majorEastAsia"/>
          <w:sz w:val="28"/>
          <w:szCs w:val="28"/>
        </w:rPr>
      </w:sdtEndPr>
      <w:sdtContent>
        <w:r>
          <w:rPr>
            <w:rFonts w:hint="eastAsia" w:asciiTheme="majorEastAsia" w:hAnsiTheme="majorEastAsia" w:eastAsiaTheme="majorEastAsia"/>
            <w:sz w:val="28"/>
            <w:szCs w:val="28"/>
          </w:rPr>
          <w:t>-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 PAGE   \* MERGEFORMAT 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3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sdtContent>
    </w:sdt>
    <w:r>
      <w:rPr>
        <w:rFonts w:hint="eastAsia" w:asciiTheme="majorEastAsia" w:hAnsiTheme="majorEastAsia" w:eastAsiaTheme="majorEastAsia"/>
        <w:sz w:val="28"/>
        <w:szCs w:val="28"/>
      </w:rPr>
      <w:t>-</w:t>
    </w:r>
  </w:p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560"/>
    </w:pPr>
    <w:r>
      <w:rPr>
        <w:rFonts w:hint="eastAsia" w:asciiTheme="minorEastAsia" w:hAnsiTheme="minorEastAsia"/>
        <w:sz w:val="28"/>
        <w:szCs w:val="28"/>
      </w:rPr>
      <w:t>-</w:t>
    </w:r>
    <w:sdt>
      <w:sdtPr>
        <w:rPr>
          <w:rFonts w:asciiTheme="minorEastAsia" w:hAnsiTheme="minorEastAsia"/>
          <w:sz w:val="28"/>
          <w:szCs w:val="28"/>
        </w:rPr>
        <w:id w:val="50710279"/>
        <w:docPartObj>
          <w:docPartGallery w:val="autotext"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4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>-</w:t>
        </w:r>
      </w:sdtContent>
    </w:sdt>
  </w:p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A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2022-03-21T03:06:30Z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D01E577AB38F4A09950505DEFFB5C64D</vt:lpwstr>
  </property>
</Properties>
</file>